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848C" w14:textId="77777777" w:rsidR="00383122" w:rsidRDefault="00383122" w:rsidP="002E33B5">
      <w:pPr>
        <w:autoSpaceDE w:val="0"/>
        <w:autoSpaceDN w:val="0"/>
        <w:adjustRightInd w:val="0"/>
        <w:spacing w:after="0" w:line="240" w:lineRule="auto"/>
        <w:ind w:left="426" w:hanging="426"/>
        <w:rPr>
          <w:rFonts w:cs="Verdana"/>
          <w:b/>
          <w:bCs/>
          <w:color w:val="000000"/>
          <w:szCs w:val="20"/>
        </w:rPr>
      </w:pPr>
    </w:p>
    <w:p w14:paraId="07B2848D" w14:textId="77777777" w:rsidR="005A5977" w:rsidRPr="001F790F" w:rsidRDefault="000A51B6" w:rsidP="005A5977">
      <w:pPr>
        <w:autoSpaceDE w:val="0"/>
        <w:autoSpaceDN w:val="0"/>
        <w:adjustRightInd w:val="0"/>
        <w:spacing w:after="0" w:line="240" w:lineRule="auto"/>
        <w:ind w:left="426" w:hanging="426"/>
        <w:rPr>
          <w:rFonts w:cs="Verdana"/>
          <w:b/>
          <w:bCs/>
          <w:color w:val="000000"/>
          <w:szCs w:val="20"/>
        </w:rPr>
      </w:pPr>
      <w:r w:rsidRPr="001F790F">
        <w:rPr>
          <w:rFonts w:cs="Verdana"/>
          <w:b/>
          <w:bCs/>
          <w:color w:val="000000"/>
          <w:szCs w:val="20"/>
        </w:rPr>
        <w:t xml:space="preserve">To: </w:t>
      </w:r>
      <w:r w:rsidR="005A5977" w:rsidRPr="001F790F">
        <w:rPr>
          <w:rFonts w:cs="Verdana"/>
          <w:b/>
          <w:bCs/>
          <w:color w:val="000000"/>
          <w:szCs w:val="20"/>
        </w:rPr>
        <w:t>National Grid Gas plc (with respect to its gas distribution networks)</w:t>
      </w:r>
    </w:p>
    <w:p w14:paraId="07B2848E" w14:textId="77777777" w:rsidR="005A5977" w:rsidRPr="001F790F" w:rsidRDefault="005A5977" w:rsidP="005A5977">
      <w:pPr>
        <w:autoSpaceDE w:val="0"/>
        <w:autoSpaceDN w:val="0"/>
        <w:adjustRightInd w:val="0"/>
        <w:spacing w:after="120" w:line="240" w:lineRule="auto"/>
        <w:ind w:left="425"/>
        <w:rPr>
          <w:rFonts w:cs="Verdana"/>
          <w:bCs/>
          <w:color w:val="000000"/>
          <w:szCs w:val="20"/>
        </w:rPr>
      </w:pPr>
      <w:r w:rsidRPr="001F790F">
        <w:rPr>
          <w:rFonts w:cs="Verdana"/>
          <w:bCs/>
          <w:color w:val="000000"/>
          <w:szCs w:val="20"/>
        </w:rPr>
        <w:t>(Company Number: 02006000)</w:t>
      </w:r>
    </w:p>
    <w:p w14:paraId="07B2848F" w14:textId="77777777" w:rsidR="005A5977" w:rsidRPr="001F790F" w:rsidRDefault="005A5977" w:rsidP="005A5977">
      <w:pPr>
        <w:autoSpaceDE w:val="0"/>
        <w:autoSpaceDN w:val="0"/>
        <w:adjustRightInd w:val="0"/>
        <w:spacing w:after="0" w:line="240" w:lineRule="auto"/>
        <w:ind w:firstLine="426"/>
        <w:rPr>
          <w:rFonts w:cs="Verdana"/>
          <w:b/>
          <w:bCs/>
          <w:color w:val="000000"/>
          <w:szCs w:val="20"/>
        </w:rPr>
      </w:pPr>
      <w:r w:rsidRPr="001F790F">
        <w:rPr>
          <w:rFonts w:cs="Verdana"/>
          <w:b/>
          <w:bCs/>
          <w:color w:val="000000"/>
          <w:szCs w:val="20"/>
        </w:rPr>
        <w:t>Northern Gas Networks Limited</w:t>
      </w:r>
    </w:p>
    <w:p w14:paraId="07B28490" w14:textId="77777777" w:rsidR="005A5977" w:rsidRPr="001F790F" w:rsidRDefault="005A5977" w:rsidP="005A5977">
      <w:pPr>
        <w:autoSpaceDE w:val="0"/>
        <w:autoSpaceDN w:val="0"/>
        <w:adjustRightInd w:val="0"/>
        <w:spacing w:after="120" w:line="240" w:lineRule="auto"/>
        <w:ind w:left="425"/>
        <w:rPr>
          <w:rFonts w:cs="Verdana"/>
          <w:bCs/>
          <w:color w:val="000000"/>
          <w:szCs w:val="20"/>
        </w:rPr>
      </w:pPr>
      <w:r w:rsidRPr="001F790F">
        <w:rPr>
          <w:rFonts w:cs="Verdana"/>
          <w:bCs/>
          <w:color w:val="000000"/>
          <w:szCs w:val="20"/>
        </w:rPr>
        <w:t>(Company Number: 05167070)</w:t>
      </w:r>
    </w:p>
    <w:p w14:paraId="07B28491" w14:textId="77777777" w:rsidR="005A5977" w:rsidRPr="001F790F" w:rsidRDefault="005A5977" w:rsidP="005A5977">
      <w:pPr>
        <w:autoSpaceDE w:val="0"/>
        <w:autoSpaceDN w:val="0"/>
        <w:adjustRightInd w:val="0"/>
        <w:spacing w:after="0" w:line="240" w:lineRule="auto"/>
        <w:ind w:firstLine="426"/>
        <w:rPr>
          <w:rFonts w:cs="Verdana"/>
          <w:b/>
          <w:bCs/>
          <w:color w:val="000000"/>
          <w:szCs w:val="20"/>
        </w:rPr>
      </w:pPr>
      <w:r w:rsidRPr="001F790F">
        <w:rPr>
          <w:rFonts w:cs="Verdana"/>
          <w:b/>
          <w:bCs/>
          <w:color w:val="000000"/>
          <w:szCs w:val="20"/>
        </w:rPr>
        <w:t>Scotland Gas Networks plc</w:t>
      </w:r>
    </w:p>
    <w:p w14:paraId="07B28492" w14:textId="77777777" w:rsidR="005A5977" w:rsidRPr="001F790F" w:rsidRDefault="005A5977" w:rsidP="005A5977">
      <w:pPr>
        <w:autoSpaceDE w:val="0"/>
        <w:autoSpaceDN w:val="0"/>
        <w:adjustRightInd w:val="0"/>
        <w:spacing w:after="120" w:line="240" w:lineRule="auto"/>
        <w:ind w:left="425"/>
        <w:rPr>
          <w:rFonts w:cs="Verdana"/>
          <w:bCs/>
          <w:color w:val="000000"/>
          <w:szCs w:val="20"/>
        </w:rPr>
      </w:pPr>
      <w:r w:rsidRPr="001F790F">
        <w:rPr>
          <w:rFonts w:cs="Verdana"/>
          <w:bCs/>
          <w:color w:val="000000"/>
          <w:szCs w:val="20"/>
        </w:rPr>
        <w:t>(Company Number: SC264065)</w:t>
      </w:r>
    </w:p>
    <w:p w14:paraId="07B28493" w14:textId="77777777" w:rsidR="005A5977" w:rsidRPr="001F790F" w:rsidRDefault="005A5977" w:rsidP="005A5977">
      <w:pPr>
        <w:autoSpaceDE w:val="0"/>
        <w:autoSpaceDN w:val="0"/>
        <w:adjustRightInd w:val="0"/>
        <w:spacing w:after="0" w:line="240" w:lineRule="auto"/>
        <w:ind w:firstLine="426"/>
        <w:rPr>
          <w:rFonts w:cs="Verdana"/>
          <w:b/>
          <w:bCs/>
          <w:color w:val="000000"/>
          <w:szCs w:val="20"/>
        </w:rPr>
      </w:pPr>
      <w:r w:rsidRPr="001F790F">
        <w:rPr>
          <w:rFonts w:cs="Verdana"/>
          <w:b/>
          <w:bCs/>
          <w:color w:val="000000"/>
          <w:szCs w:val="20"/>
        </w:rPr>
        <w:t>Southern Gas Networks plc</w:t>
      </w:r>
    </w:p>
    <w:p w14:paraId="07B28494" w14:textId="77777777" w:rsidR="005A5977" w:rsidRPr="001F790F" w:rsidRDefault="005A5977" w:rsidP="00516DD8">
      <w:pPr>
        <w:autoSpaceDE w:val="0"/>
        <w:autoSpaceDN w:val="0"/>
        <w:adjustRightInd w:val="0"/>
        <w:spacing w:after="120" w:line="240" w:lineRule="auto"/>
        <w:ind w:left="425"/>
        <w:rPr>
          <w:rFonts w:cs="Verdana"/>
          <w:bCs/>
          <w:color w:val="000000"/>
          <w:szCs w:val="20"/>
        </w:rPr>
      </w:pPr>
      <w:r w:rsidRPr="001F790F">
        <w:rPr>
          <w:rFonts w:cs="Verdana"/>
          <w:bCs/>
          <w:color w:val="000000"/>
          <w:szCs w:val="20"/>
        </w:rPr>
        <w:t>(Company Number: 05167021)</w:t>
      </w:r>
    </w:p>
    <w:p w14:paraId="07B28495" w14:textId="77777777" w:rsidR="005A5977" w:rsidRPr="001F790F" w:rsidRDefault="005A5977" w:rsidP="005A5977">
      <w:pPr>
        <w:autoSpaceDE w:val="0"/>
        <w:autoSpaceDN w:val="0"/>
        <w:adjustRightInd w:val="0"/>
        <w:spacing w:after="0" w:line="240" w:lineRule="auto"/>
        <w:ind w:firstLine="426"/>
        <w:rPr>
          <w:rFonts w:cs="Verdana"/>
          <w:b/>
          <w:bCs/>
          <w:color w:val="000000"/>
          <w:szCs w:val="20"/>
        </w:rPr>
      </w:pPr>
      <w:r w:rsidRPr="001F790F">
        <w:rPr>
          <w:rFonts w:cs="Verdana"/>
          <w:b/>
          <w:bCs/>
          <w:color w:val="000000"/>
          <w:szCs w:val="20"/>
        </w:rPr>
        <w:t xml:space="preserve">Wales </w:t>
      </w:r>
      <w:r w:rsidR="00DB6C40" w:rsidRPr="001F790F">
        <w:rPr>
          <w:rFonts w:cs="Verdana"/>
          <w:b/>
          <w:bCs/>
          <w:color w:val="000000"/>
          <w:szCs w:val="20"/>
        </w:rPr>
        <w:t>&amp;</w:t>
      </w:r>
      <w:r w:rsidRPr="001F790F">
        <w:rPr>
          <w:rFonts w:cs="Verdana"/>
          <w:b/>
          <w:bCs/>
          <w:color w:val="000000"/>
          <w:szCs w:val="20"/>
        </w:rPr>
        <w:t xml:space="preserve"> West Utilities Limited </w:t>
      </w:r>
    </w:p>
    <w:p w14:paraId="07B28496" w14:textId="77777777" w:rsidR="005A5977" w:rsidRPr="001F790F" w:rsidRDefault="005A5977" w:rsidP="005A5977">
      <w:pPr>
        <w:autoSpaceDE w:val="0"/>
        <w:autoSpaceDN w:val="0"/>
        <w:adjustRightInd w:val="0"/>
        <w:spacing w:after="120" w:line="240" w:lineRule="auto"/>
        <w:ind w:left="425"/>
        <w:rPr>
          <w:rFonts w:cs="Verdana"/>
          <w:bCs/>
          <w:color w:val="000000"/>
          <w:szCs w:val="20"/>
        </w:rPr>
      </w:pPr>
      <w:r w:rsidRPr="001F790F">
        <w:rPr>
          <w:rFonts w:cs="Verdana"/>
          <w:bCs/>
          <w:color w:val="000000"/>
          <w:szCs w:val="20"/>
        </w:rPr>
        <w:t>(Company Number: 05046791)</w:t>
      </w:r>
    </w:p>
    <w:p w14:paraId="07B28497" w14:textId="77777777" w:rsidR="001F790F" w:rsidRDefault="001F790F" w:rsidP="005A5977">
      <w:pPr>
        <w:autoSpaceDE w:val="0"/>
        <w:autoSpaceDN w:val="0"/>
        <w:adjustRightInd w:val="0"/>
        <w:spacing w:after="0" w:line="240" w:lineRule="auto"/>
        <w:ind w:left="426" w:hanging="426"/>
        <w:rPr>
          <w:rFonts w:cs="Verdana"/>
          <w:bCs/>
          <w:color w:val="000000"/>
          <w:szCs w:val="20"/>
        </w:rPr>
      </w:pPr>
    </w:p>
    <w:p w14:paraId="07B28498" w14:textId="05CF79C8" w:rsidR="000A51B6" w:rsidRPr="001F790F" w:rsidRDefault="005A5977" w:rsidP="005A5977">
      <w:pPr>
        <w:autoSpaceDE w:val="0"/>
        <w:autoSpaceDN w:val="0"/>
        <w:adjustRightInd w:val="0"/>
        <w:spacing w:after="0" w:line="240" w:lineRule="auto"/>
        <w:ind w:left="426" w:hanging="426"/>
        <w:rPr>
          <w:rFonts w:cs="Verdana"/>
          <w:b/>
          <w:bCs/>
          <w:color w:val="000000"/>
          <w:szCs w:val="20"/>
        </w:rPr>
      </w:pPr>
      <w:r w:rsidRPr="001F790F">
        <w:rPr>
          <w:rFonts w:cs="Verdana"/>
          <w:b/>
          <w:bCs/>
          <w:color w:val="000000"/>
          <w:szCs w:val="20"/>
        </w:rPr>
        <w:t>(</w:t>
      </w:r>
      <w:r w:rsidR="00516DD8" w:rsidRPr="001F790F">
        <w:rPr>
          <w:rFonts w:cs="Verdana"/>
          <w:b/>
          <w:bCs/>
          <w:color w:val="000000"/>
          <w:szCs w:val="20"/>
        </w:rPr>
        <w:t xml:space="preserve">together </w:t>
      </w:r>
      <w:proofErr w:type="gramStart"/>
      <w:r w:rsidRPr="001F790F">
        <w:rPr>
          <w:rFonts w:cs="Verdana"/>
          <w:b/>
          <w:bCs/>
          <w:color w:val="000000"/>
          <w:szCs w:val="20"/>
        </w:rPr>
        <w:t xml:space="preserve">the </w:t>
      </w:r>
      <w:r w:rsidR="00DB6C40" w:rsidRPr="001F790F">
        <w:rPr>
          <w:rFonts w:cs="Verdana"/>
          <w:b/>
          <w:bCs/>
          <w:color w:val="000000"/>
          <w:szCs w:val="20"/>
        </w:rPr>
        <w:t>”</w:t>
      </w:r>
      <w:proofErr w:type="gramEnd"/>
      <w:r w:rsidR="00DB6C40" w:rsidRPr="001F790F">
        <w:rPr>
          <w:rFonts w:cs="Verdana"/>
          <w:b/>
          <w:bCs/>
          <w:color w:val="000000"/>
          <w:szCs w:val="20"/>
        </w:rPr>
        <w:t>L</w:t>
      </w:r>
      <w:r w:rsidRPr="001F790F">
        <w:rPr>
          <w:rFonts w:cs="Verdana"/>
          <w:b/>
          <w:bCs/>
          <w:color w:val="000000"/>
          <w:szCs w:val="20"/>
        </w:rPr>
        <w:t>icensees”)</w:t>
      </w:r>
      <w:r w:rsidR="00DD2624" w:rsidRPr="001F790F">
        <w:rPr>
          <w:rFonts w:cs="Verdana"/>
          <w:b/>
          <w:bCs/>
          <w:color w:val="000000"/>
          <w:szCs w:val="20"/>
        </w:rPr>
        <w:tab/>
      </w:r>
    </w:p>
    <w:p w14:paraId="07B28499" w14:textId="77777777" w:rsidR="000A51B6" w:rsidRPr="001F790F" w:rsidRDefault="000A51B6" w:rsidP="000A51B6">
      <w:pPr>
        <w:autoSpaceDE w:val="0"/>
        <w:autoSpaceDN w:val="0"/>
        <w:adjustRightInd w:val="0"/>
        <w:spacing w:after="0" w:line="240" w:lineRule="auto"/>
        <w:rPr>
          <w:rFonts w:cs="Verdana"/>
          <w:b/>
          <w:bCs/>
          <w:color w:val="000000"/>
          <w:szCs w:val="20"/>
        </w:rPr>
      </w:pPr>
    </w:p>
    <w:p w14:paraId="07B2849A" w14:textId="77777777" w:rsidR="000A51B6" w:rsidRPr="001F790F" w:rsidRDefault="00516DD8" w:rsidP="00DB6C40">
      <w:pPr>
        <w:autoSpaceDE w:val="0"/>
        <w:autoSpaceDN w:val="0"/>
        <w:adjustRightInd w:val="0"/>
        <w:spacing w:after="0" w:line="240" w:lineRule="auto"/>
        <w:rPr>
          <w:rFonts w:cs="Verdana"/>
          <w:b/>
          <w:bCs/>
          <w:color w:val="000000"/>
          <w:szCs w:val="20"/>
        </w:rPr>
      </w:pPr>
      <w:r w:rsidRPr="001F790F">
        <w:rPr>
          <w:rFonts w:cs="Verdana"/>
          <w:b/>
          <w:bCs/>
          <w:color w:val="000000"/>
          <w:szCs w:val="20"/>
        </w:rPr>
        <w:t>Direction</w:t>
      </w:r>
      <w:r w:rsidR="00DB6C40" w:rsidRPr="001F790F">
        <w:rPr>
          <w:rFonts w:cs="Verdana"/>
          <w:b/>
          <w:bCs/>
          <w:color w:val="000000"/>
          <w:szCs w:val="20"/>
        </w:rPr>
        <w:t xml:space="preserve"> under paragraph </w:t>
      </w:r>
      <w:r w:rsidRPr="001F790F">
        <w:rPr>
          <w:rFonts w:cs="Verdana"/>
          <w:b/>
          <w:bCs/>
          <w:color w:val="000000"/>
          <w:szCs w:val="20"/>
        </w:rPr>
        <w:t>8</w:t>
      </w:r>
      <w:r w:rsidR="00DB6C40" w:rsidRPr="001F790F">
        <w:rPr>
          <w:rFonts w:cs="Verdana"/>
          <w:b/>
          <w:bCs/>
          <w:color w:val="000000"/>
          <w:szCs w:val="20"/>
        </w:rPr>
        <w:t xml:space="preserve"> of Standard Special Condition A40 (Regulatory Instructions and Guidance) (</w:t>
      </w:r>
      <w:r w:rsidR="00285B3F" w:rsidRPr="001F790F">
        <w:rPr>
          <w:rFonts w:cs="Verdana"/>
          <w:b/>
          <w:bCs/>
          <w:color w:val="000000"/>
          <w:szCs w:val="20"/>
        </w:rPr>
        <w:t>“</w:t>
      </w:r>
      <w:r w:rsidR="00DB6C40" w:rsidRPr="001F790F">
        <w:rPr>
          <w:rFonts w:cs="Verdana"/>
          <w:b/>
          <w:bCs/>
          <w:color w:val="000000"/>
          <w:szCs w:val="20"/>
        </w:rPr>
        <w:t>SSC A40</w:t>
      </w:r>
      <w:r w:rsidR="00285B3F" w:rsidRPr="001F790F">
        <w:rPr>
          <w:rFonts w:cs="Verdana"/>
          <w:b/>
          <w:bCs/>
          <w:color w:val="000000"/>
          <w:szCs w:val="20"/>
        </w:rPr>
        <w:t>”</w:t>
      </w:r>
      <w:r w:rsidR="00DB6C40" w:rsidRPr="001F790F">
        <w:rPr>
          <w:rFonts w:cs="Verdana"/>
          <w:b/>
          <w:bCs/>
          <w:color w:val="000000"/>
          <w:szCs w:val="20"/>
        </w:rPr>
        <w:t>) of the Gas Transporter Licence granted to the Licensees under section 7 of the Gas Act 1986</w:t>
      </w:r>
    </w:p>
    <w:p w14:paraId="07B2849B" w14:textId="77777777" w:rsidR="000A51B6" w:rsidRPr="001F790F" w:rsidRDefault="000A51B6" w:rsidP="000A51B6">
      <w:pPr>
        <w:autoSpaceDE w:val="0"/>
        <w:autoSpaceDN w:val="0"/>
        <w:adjustRightInd w:val="0"/>
        <w:spacing w:after="0" w:line="240" w:lineRule="auto"/>
        <w:rPr>
          <w:rFonts w:cs="Verdana"/>
          <w:color w:val="000000"/>
          <w:szCs w:val="20"/>
        </w:rPr>
      </w:pPr>
    </w:p>
    <w:p w14:paraId="07B2849C" w14:textId="77777777" w:rsidR="000A51B6" w:rsidRPr="001F790F" w:rsidRDefault="000A51B6" w:rsidP="000A51B6">
      <w:pPr>
        <w:autoSpaceDE w:val="0"/>
        <w:autoSpaceDN w:val="0"/>
        <w:adjustRightInd w:val="0"/>
        <w:spacing w:after="0" w:line="240" w:lineRule="auto"/>
        <w:rPr>
          <w:rFonts w:cs="Verdana"/>
          <w:color w:val="000000"/>
          <w:szCs w:val="20"/>
        </w:rPr>
      </w:pPr>
    </w:p>
    <w:p w14:paraId="07B2849D" w14:textId="77777777" w:rsidR="00516DD8" w:rsidRPr="001F790F" w:rsidRDefault="00516DD8" w:rsidP="000A51B6">
      <w:pPr>
        <w:autoSpaceDE w:val="0"/>
        <w:autoSpaceDN w:val="0"/>
        <w:adjustRightInd w:val="0"/>
        <w:spacing w:after="0" w:line="240" w:lineRule="auto"/>
        <w:rPr>
          <w:rFonts w:cs="Verdana"/>
          <w:b/>
          <w:color w:val="000000"/>
          <w:szCs w:val="20"/>
        </w:rPr>
      </w:pPr>
      <w:r w:rsidRPr="001F790F">
        <w:rPr>
          <w:rFonts w:cs="Verdana"/>
          <w:b/>
          <w:color w:val="000000"/>
          <w:szCs w:val="20"/>
        </w:rPr>
        <w:t xml:space="preserve">Whereas – </w:t>
      </w:r>
    </w:p>
    <w:p w14:paraId="07B2849E" w14:textId="77777777" w:rsidR="00516DD8" w:rsidRPr="001F790F" w:rsidRDefault="00516DD8" w:rsidP="000A51B6">
      <w:pPr>
        <w:autoSpaceDE w:val="0"/>
        <w:autoSpaceDN w:val="0"/>
        <w:adjustRightInd w:val="0"/>
        <w:spacing w:after="0" w:line="240" w:lineRule="auto"/>
        <w:rPr>
          <w:rFonts w:cs="Verdana"/>
          <w:color w:val="000000"/>
          <w:szCs w:val="20"/>
        </w:rPr>
      </w:pPr>
    </w:p>
    <w:p w14:paraId="07B2849F" w14:textId="77777777" w:rsidR="00516DD8" w:rsidRPr="001F790F" w:rsidRDefault="00516DD8" w:rsidP="00516DD8">
      <w:pPr>
        <w:pStyle w:val="ListParagraph"/>
        <w:numPr>
          <w:ilvl w:val="0"/>
          <w:numId w:val="4"/>
        </w:numPr>
        <w:autoSpaceDE w:val="0"/>
        <w:autoSpaceDN w:val="0"/>
        <w:adjustRightInd w:val="0"/>
        <w:spacing w:after="0" w:line="240" w:lineRule="auto"/>
        <w:ind w:left="567" w:hanging="567"/>
        <w:rPr>
          <w:rFonts w:cs="Verdana"/>
          <w:color w:val="000000"/>
          <w:szCs w:val="20"/>
        </w:rPr>
      </w:pPr>
      <w:r w:rsidRPr="001F790F">
        <w:rPr>
          <w:rFonts w:cs="Verdana"/>
          <w:color w:val="000000"/>
          <w:szCs w:val="20"/>
        </w:rPr>
        <w:t>The Licensees have each been granted a Gas Transporter Licence (</w:t>
      </w:r>
      <w:r w:rsidR="00186ECC" w:rsidRPr="001F790F">
        <w:rPr>
          <w:rFonts w:cs="Verdana"/>
          <w:color w:val="000000"/>
          <w:szCs w:val="20"/>
        </w:rPr>
        <w:t>the</w:t>
      </w:r>
      <w:r w:rsidRPr="001F790F">
        <w:rPr>
          <w:rFonts w:cs="Verdana"/>
          <w:color w:val="000000"/>
          <w:szCs w:val="20"/>
        </w:rPr>
        <w:t xml:space="preserve"> “Licence”) under section 7 of the Gas Act 1986 (the “Act”) and are subject to the conditions contained in the Licence.</w:t>
      </w:r>
    </w:p>
    <w:p w14:paraId="07B284A0" w14:textId="77777777" w:rsidR="00516DD8" w:rsidRPr="001F790F" w:rsidRDefault="00516DD8" w:rsidP="00516DD8">
      <w:pPr>
        <w:autoSpaceDE w:val="0"/>
        <w:autoSpaceDN w:val="0"/>
        <w:adjustRightInd w:val="0"/>
        <w:spacing w:after="0" w:line="240" w:lineRule="auto"/>
        <w:rPr>
          <w:rFonts w:cs="Verdana"/>
          <w:color w:val="000000"/>
          <w:szCs w:val="20"/>
        </w:rPr>
      </w:pPr>
    </w:p>
    <w:p w14:paraId="3DCA37A2" w14:textId="77777777" w:rsidR="00A87D13" w:rsidRPr="001F790F" w:rsidRDefault="00A87D13" w:rsidP="00A87D13">
      <w:pPr>
        <w:pStyle w:val="ListParagraph"/>
        <w:numPr>
          <w:ilvl w:val="0"/>
          <w:numId w:val="4"/>
        </w:numPr>
        <w:autoSpaceDE w:val="0"/>
        <w:autoSpaceDN w:val="0"/>
        <w:adjustRightInd w:val="0"/>
        <w:spacing w:after="0" w:line="240" w:lineRule="auto"/>
        <w:ind w:left="567" w:hanging="567"/>
        <w:rPr>
          <w:rFonts w:cs="Verdana"/>
          <w:color w:val="000000"/>
          <w:szCs w:val="20"/>
        </w:rPr>
      </w:pPr>
      <w:r w:rsidRPr="001F790F">
        <w:rPr>
          <w:rFonts w:cs="Verdana"/>
          <w:color w:val="000000"/>
          <w:szCs w:val="20"/>
        </w:rPr>
        <w:t xml:space="preserve">SSC A40 came into effect on </w:t>
      </w:r>
      <w:r w:rsidRPr="001014A9">
        <w:rPr>
          <w:rFonts w:cs="Verdana"/>
          <w:color w:val="000000"/>
          <w:szCs w:val="20"/>
        </w:rPr>
        <w:t xml:space="preserve">1 April 2013, </w:t>
      </w:r>
      <w:r>
        <w:rPr>
          <w:rFonts w:cs="Verdana"/>
          <w:color w:val="000000"/>
          <w:szCs w:val="20"/>
        </w:rPr>
        <w:t xml:space="preserve">at </w:t>
      </w:r>
      <w:r w:rsidRPr="001014A9">
        <w:rPr>
          <w:rFonts w:cs="Verdana"/>
          <w:color w:val="000000"/>
          <w:szCs w:val="20"/>
        </w:rPr>
        <w:t>the start of RIIO-GD1 price control period</w:t>
      </w:r>
      <w:r>
        <w:rPr>
          <w:rFonts w:cs="Verdana"/>
          <w:color w:val="000000"/>
          <w:szCs w:val="20"/>
        </w:rPr>
        <w:t>,</w:t>
      </w:r>
      <w:r w:rsidRPr="001014A9">
        <w:rPr>
          <w:rFonts w:cs="Verdana"/>
          <w:color w:val="000000"/>
          <w:szCs w:val="20"/>
        </w:rPr>
        <w:t xml:space="preserve"> and the Authority proposed to issue the RIGs with effect from 1 April 2013</w:t>
      </w:r>
      <w:r w:rsidRPr="001F790F">
        <w:rPr>
          <w:rFonts w:cs="Verdana"/>
          <w:color w:val="000000"/>
          <w:szCs w:val="20"/>
        </w:rPr>
        <w:t>.</w:t>
      </w:r>
    </w:p>
    <w:p w14:paraId="4BC22D95" w14:textId="77777777" w:rsidR="00A87D13" w:rsidRPr="00A87D13" w:rsidRDefault="00A87D13" w:rsidP="00A87D13">
      <w:pPr>
        <w:pStyle w:val="ListParagraph"/>
        <w:rPr>
          <w:rFonts w:cs="Verdana"/>
          <w:color w:val="000000"/>
          <w:szCs w:val="20"/>
        </w:rPr>
      </w:pPr>
    </w:p>
    <w:p w14:paraId="670B86D6" w14:textId="77777777" w:rsidR="00A87D13" w:rsidRDefault="00A87D13" w:rsidP="00A87D13">
      <w:pPr>
        <w:pStyle w:val="ListParagraph"/>
        <w:autoSpaceDE w:val="0"/>
        <w:autoSpaceDN w:val="0"/>
        <w:adjustRightInd w:val="0"/>
        <w:spacing w:after="0" w:line="240" w:lineRule="auto"/>
        <w:ind w:left="567"/>
        <w:rPr>
          <w:rFonts w:cs="Verdana"/>
          <w:color w:val="000000"/>
          <w:szCs w:val="20"/>
        </w:rPr>
      </w:pPr>
    </w:p>
    <w:p w14:paraId="31C0CA27" w14:textId="45A2D529" w:rsidR="00A87D13" w:rsidRPr="001F790F" w:rsidRDefault="0041342D" w:rsidP="00A87D13">
      <w:pPr>
        <w:pStyle w:val="ListParagraph"/>
        <w:numPr>
          <w:ilvl w:val="0"/>
          <w:numId w:val="4"/>
        </w:numPr>
        <w:autoSpaceDE w:val="0"/>
        <w:autoSpaceDN w:val="0"/>
        <w:adjustRightInd w:val="0"/>
        <w:spacing w:after="0" w:line="240" w:lineRule="auto"/>
        <w:ind w:left="567" w:hanging="567"/>
        <w:rPr>
          <w:rFonts w:cs="Verdana"/>
          <w:color w:val="000000"/>
          <w:szCs w:val="20"/>
        </w:rPr>
      </w:pPr>
      <w:r>
        <w:rPr>
          <w:rFonts w:cs="Verdana"/>
          <w:color w:val="000000"/>
          <w:szCs w:val="20"/>
        </w:rPr>
        <w:t xml:space="preserve">The aim of </w:t>
      </w:r>
      <w:r w:rsidR="00A87D13" w:rsidRPr="001F790F">
        <w:rPr>
          <w:rFonts w:cs="Verdana"/>
          <w:color w:val="000000"/>
          <w:szCs w:val="20"/>
        </w:rPr>
        <w:t>the RIGs is to enable the Authority to collect the information to enable it to administer the Special Conditions of the Licence and, where not referenced in the Licence, the RIIO-GD1 Final Proposals.</w:t>
      </w:r>
    </w:p>
    <w:p w14:paraId="4040B202" w14:textId="77777777" w:rsidR="00A87D13" w:rsidRPr="00A87D13" w:rsidRDefault="00A87D13" w:rsidP="00A87D13">
      <w:pPr>
        <w:pStyle w:val="ListParagraph"/>
        <w:rPr>
          <w:rFonts w:cs="Verdana"/>
          <w:color w:val="000000"/>
          <w:szCs w:val="20"/>
        </w:rPr>
      </w:pPr>
    </w:p>
    <w:p w14:paraId="07B284A1" w14:textId="479F6D36" w:rsidR="004C00B4" w:rsidRDefault="00516DD8" w:rsidP="00186ECC">
      <w:pPr>
        <w:pStyle w:val="ListParagraph"/>
        <w:numPr>
          <w:ilvl w:val="0"/>
          <w:numId w:val="4"/>
        </w:numPr>
        <w:autoSpaceDE w:val="0"/>
        <w:autoSpaceDN w:val="0"/>
        <w:adjustRightInd w:val="0"/>
        <w:spacing w:after="0" w:line="240" w:lineRule="auto"/>
        <w:ind w:left="567" w:hanging="567"/>
        <w:rPr>
          <w:rFonts w:cs="Verdana"/>
          <w:color w:val="000000"/>
          <w:szCs w:val="20"/>
        </w:rPr>
      </w:pPr>
      <w:r w:rsidRPr="001F790F">
        <w:rPr>
          <w:rFonts w:cs="Verdana"/>
          <w:color w:val="000000"/>
          <w:szCs w:val="20"/>
        </w:rPr>
        <w:t>In accordance with paragraph 10 of SSC A40 of the Licence</w:t>
      </w:r>
      <w:r w:rsidR="009816FB">
        <w:rPr>
          <w:rFonts w:cs="Verdana"/>
          <w:color w:val="000000"/>
          <w:szCs w:val="20"/>
        </w:rPr>
        <w:t>,</w:t>
      </w:r>
      <w:r w:rsidRPr="001F790F">
        <w:rPr>
          <w:rFonts w:cs="Verdana"/>
          <w:color w:val="000000"/>
          <w:szCs w:val="20"/>
        </w:rPr>
        <w:t xml:space="preserve"> </w:t>
      </w:r>
      <w:r w:rsidR="00186ECC" w:rsidRPr="001F790F">
        <w:rPr>
          <w:rFonts w:cs="Verdana"/>
          <w:color w:val="000000"/>
          <w:szCs w:val="20"/>
        </w:rPr>
        <w:t>t</w:t>
      </w:r>
      <w:r w:rsidR="000A51B6" w:rsidRPr="001F790F">
        <w:rPr>
          <w:rFonts w:cs="Verdana"/>
          <w:color w:val="000000"/>
          <w:szCs w:val="20"/>
        </w:rPr>
        <w:t xml:space="preserve">he Gas and Electricity Markets Authority (the </w:t>
      </w:r>
      <w:r w:rsidR="00DB6C40" w:rsidRPr="001F790F">
        <w:rPr>
          <w:rFonts w:cs="Verdana"/>
          <w:color w:val="000000"/>
          <w:szCs w:val="20"/>
        </w:rPr>
        <w:t>“</w:t>
      </w:r>
      <w:r w:rsidR="00186ECC" w:rsidRPr="001F790F">
        <w:rPr>
          <w:rFonts w:cs="Verdana"/>
          <w:color w:val="000000"/>
          <w:szCs w:val="20"/>
        </w:rPr>
        <w:t>Authority”) gave</w:t>
      </w:r>
      <w:r w:rsidR="000A51B6" w:rsidRPr="001F790F">
        <w:rPr>
          <w:rFonts w:cs="Verdana"/>
          <w:color w:val="000000"/>
          <w:szCs w:val="20"/>
        </w:rPr>
        <w:t xml:space="preserve"> notice</w:t>
      </w:r>
      <w:r w:rsidR="001C5898">
        <w:rPr>
          <w:rFonts w:cs="Verdana"/>
          <w:color w:val="000000"/>
          <w:szCs w:val="20"/>
        </w:rPr>
        <w:t xml:space="preserve"> </w:t>
      </w:r>
      <w:r w:rsidR="001C5898" w:rsidRPr="00F84643">
        <w:rPr>
          <w:rFonts w:cs="Verdana"/>
          <w:color w:val="000000"/>
          <w:szCs w:val="20"/>
        </w:rPr>
        <w:t xml:space="preserve">on </w:t>
      </w:r>
      <w:r w:rsidR="005E0FFD" w:rsidRPr="00F84643">
        <w:rPr>
          <w:rFonts w:cs="Verdana"/>
          <w:color w:val="000000"/>
          <w:szCs w:val="20"/>
        </w:rPr>
        <w:t>2</w:t>
      </w:r>
      <w:r w:rsidR="003E044E">
        <w:rPr>
          <w:rFonts w:cs="Verdana"/>
          <w:color w:val="000000"/>
          <w:szCs w:val="20"/>
        </w:rPr>
        <w:t>7 April</w:t>
      </w:r>
      <w:r w:rsidR="005E0FFD" w:rsidRPr="00F84643">
        <w:rPr>
          <w:rFonts w:cs="Verdana"/>
          <w:color w:val="000000"/>
          <w:szCs w:val="20"/>
        </w:rPr>
        <w:t xml:space="preserve"> 201</w:t>
      </w:r>
      <w:r w:rsidR="003E044E">
        <w:rPr>
          <w:rFonts w:cs="Verdana"/>
          <w:color w:val="000000"/>
          <w:szCs w:val="20"/>
        </w:rPr>
        <w:t>6</w:t>
      </w:r>
      <w:r w:rsidR="00186ECC" w:rsidRPr="001F790F">
        <w:rPr>
          <w:rFonts w:cs="Verdana"/>
          <w:color w:val="000000"/>
          <w:szCs w:val="20"/>
        </w:rPr>
        <w:t xml:space="preserve"> that it proposed</w:t>
      </w:r>
      <w:r w:rsidR="00B273F0" w:rsidRPr="001F790F">
        <w:rPr>
          <w:rFonts w:cs="Verdana"/>
          <w:color w:val="000000"/>
          <w:szCs w:val="20"/>
        </w:rPr>
        <w:t xml:space="preserve"> to </w:t>
      </w:r>
      <w:r w:rsidR="006F2765">
        <w:rPr>
          <w:rFonts w:cs="Verdana"/>
          <w:color w:val="000000"/>
          <w:szCs w:val="20"/>
        </w:rPr>
        <w:t>modify the</w:t>
      </w:r>
      <w:r w:rsidR="004358BE" w:rsidRPr="001F790F">
        <w:rPr>
          <w:rFonts w:cs="Verdana"/>
          <w:color w:val="000000"/>
          <w:szCs w:val="20"/>
        </w:rPr>
        <w:t xml:space="preserve"> Regulatory</w:t>
      </w:r>
      <w:r w:rsidR="00BA5774" w:rsidRPr="001F790F">
        <w:rPr>
          <w:rFonts w:cs="Verdana"/>
          <w:color w:val="000000"/>
          <w:szCs w:val="20"/>
        </w:rPr>
        <w:t xml:space="preserve"> Instructions and Guidance</w:t>
      </w:r>
      <w:r w:rsidR="004358BE" w:rsidRPr="001F790F">
        <w:rPr>
          <w:rFonts w:cs="Verdana"/>
          <w:color w:val="000000"/>
          <w:szCs w:val="20"/>
        </w:rPr>
        <w:t xml:space="preserve"> </w:t>
      </w:r>
      <w:r w:rsidR="00285B3F" w:rsidRPr="001F790F">
        <w:rPr>
          <w:rFonts w:cs="Verdana"/>
          <w:color w:val="000000"/>
          <w:szCs w:val="20"/>
        </w:rPr>
        <w:t>(the “RIGs”</w:t>
      </w:r>
      <w:r w:rsidR="00325BE1" w:rsidRPr="001F790F">
        <w:rPr>
          <w:rFonts w:cs="Verdana"/>
          <w:color w:val="000000"/>
          <w:szCs w:val="20"/>
        </w:rPr>
        <w:t>)</w:t>
      </w:r>
      <w:r w:rsidR="00A33FE5" w:rsidRPr="001F790F">
        <w:rPr>
          <w:rFonts w:cs="Verdana"/>
          <w:color w:val="000000"/>
          <w:szCs w:val="20"/>
        </w:rPr>
        <w:t xml:space="preserve">. </w:t>
      </w:r>
    </w:p>
    <w:p w14:paraId="30625727" w14:textId="77777777" w:rsidR="00E808DE" w:rsidRPr="00E808DE" w:rsidRDefault="00E808DE" w:rsidP="00E808DE">
      <w:pPr>
        <w:pStyle w:val="ListParagraph"/>
        <w:rPr>
          <w:rFonts w:cs="Verdana"/>
          <w:color w:val="000000"/>
          <w:szCs w:val="20"/>
        </w:rPr>
      </w:pPr>
    </w:p>
    <w:p w14:paraId="3DC7BDB9" w14:textId="64686EB3" w:rsidR="00E808DE" w:rsidRDefault="00E808DE" w:rsidP="00E808DE">
      <w:pPr>
        <w:pStyle w:val="Default"/>
        <w:numPr>
          <w:ilvl w:val="0"/>
          <w:numId w:val="4"/>
        </w:numPr>
        <w:ind w:left="567" w:hanging="567"/>
        <w:rPr>
          <w:sz w:val="20"/>
          <w:szCs w:val="20"/>
        </w:rPr>
      </w:pPr>
      <w:r w:rsidRPr="006F2765">
        <w:rPr>
          <w:sz w:val="20"/>
          <w:szCs w:val="20"/>
        </w:rPr>
        <w:t xml:space="preserve">The Authority requested that any representations on the proposed RIGs be made on or before </w:t>
      </w:r>
      <w:r>
        <w:rPr>
          <w:sz w:val="20"/>
          <w:szCs w:val="20"/>
        </w:rPr>
        <w:t>27</w:t>
      </w:r>
      <w:r w:rsidRPr="006F2765">
        <w:rPr>
          <w:sz w:val="20"/>
          <w:szCs w:val="20"/>
        </w:rPr>
        <w:t xml:space="preserve"> </w:t>
      </w:r>
      <w:r>
        <w:rPr>
          <w:sz w:val="20"/>
          <w:szCs w:val="20"/>
        </w:rPr>
        <w:t>May 2016</w:t>
      </w:r>
      <w:r w:rsidRPr="006F2765">
        <w:rPr>
          <w:sz w:val="20"/>
          <w:szCs w:val="20"/>
        </w:rPr>
        <w:t>. The Authority received representations from</w:t>
      </w:r>
      <w:r w:rsidR="00AA4716">
        <w:rPr>
          <w:sz w:val="20"/>
          <w:szCs w:val="20"/>
        </w:rPr>
        <w:t xml:space="preserve"> two of</w:t>
      </w:r>
      <w:r w:rsidRPr="006F2765">
        <w:rPr>
          <w:sz w:val="20"/>
          <w:szCs w:val="20"/>
        </w:rPr>
        <w:t xml:space="preserve"> the Gas Distribution Network companies. We considered the representations and made changes as set out in Appendix 1 included with this </w:t>
      </w:r>
      <w:r>
        <w:rPr>
          <w:sz w:val="20"/>
          <w:szCs w:val="20"/>
        </w:rPr>
        <w:t>Direction</w:t>
      </w:r>
      <w:r w:rsidRPr="006F2765">
        <w:rPr>
          <w:sz w:val="20"/>
          <w:szCs w:val="20"/>
        </w:rPr>
        <w:t>.</w:t>
      </w:r>
    </w:p>
    <w:p w14:paraId="1845D2D4" w14:textId="77777777" w:rsidR="00322D27" w:rsidRDefault="00322D27" w:rsidP="00322D27">
      <w:pPr>
        <w:pStyle w:val="ListParagraph"/>
        <w:rPr>
          <w:szCs w:val="20"/>
        </w:rPr>
      </w:pPr>
    </w:p>
    <w:p w14:paraId="6F368AF3" w14:textId="77819389" w:rsidR="00A91B21" w:rsidRPr="00322D27" w:rsidRDefault="00322D27" w:rsidP="00322D27">
      <w:pPr>
        <w:pStyle w:val="Default"/>
        <w:numPr>
          <w:ilvl w:val="0"/>
          <w:numId w:val="4"/>
        </w:numPr>
        <w:ind w:left="567" w:hanging="567"/>
        <w:rPr>
          <w:sz w:val="20"/>
          <w:szCs w:val="20"/>
        </w:rPr>
      </w:pPr>
      <w:r w:rsidRPr="00322D27">
        <w:rPr>
          <w:sz w:val="20"/>
          <w:szCs w:val="20"/>
        </w:rPr>
        <w:t xml:space="preserve">The effect of the modification will be to improve the transparency and accuracy of the reporting by the </w:t>
      </w:r>
      <w:proofErr w:type="gramStart"/>
      <w:r w:rsidRPr="00322D27">
        <w:rPr>
          <w:sz w:val="20"/>
          <w:szCs w:val="20"/>
        </w:rPr>
        <w:t>Licensees  under</w:t>
      </w:r>
      <w:proofErr w:type="gramEnd"/>
      <w:r w:rsidRPr="00322D27">
        <w:rPr>
          <w:sz w:val="20"/>
          <w:szCs w:val="20"/>
        </w:rPr>
        <w:t xml:space="preserve"> the RIGs</w:t>
      </w:r>
      <w:r w:rsidR="009342DE">
        <w:rPr>
          <w:sz w:val="20"/>
          <w:szCs w:val="20"/>
        </w:rPr>
        <w:t>.</w:t>
      </w:r>
    </w:p>
    <w:p w14:paraId="07B284A6" w14:textId="77777777" w:rsidR="00186ECC" w:rsidRPr="00322D27" w:rsidRDefault="00186ECC" w:rsidP="00322D27">
      <w:pPr>
        <w:rPr>
          <w:rFonts w:cs="Verdana"/>
          <w:color w:val="000000"/>
          <w:szCs w:val="20"/>
        </w:rPr>
      </w:pPr>
    </w:p>
    <w:p w14:paraId="07B284A7" w14:textId="752ADDE9" w:rsidR="00BA5774" w:rsidRPr="00C7747A" w:rsidRDefault="00F9155B" w:rsidP="00C7747A">
      <w:pPr>
        <w:pStyle w:val="ListParagraph"/>
        <w:numPr>
          <w:ilvl w:val="0"/>
          <w:numId w:val="4"/>
        </w:numPr>
        <w:autoSpaceDE w:val="0"/>
        <w:autoSpaceDN w:val="0"/>
        <w:adjustRightInd w:val="0"/>
        <w:spacing w:after="0" w:line="240" w:lineRule="auto"/>
        <w:ind w:left="567" w:hanging="567"/>
        <w:rPr>
          <w:rFonts w:cs="Verdana"/>
          <w:color w:val="000000"/>
          <w:szCs w:val="20"/>
        </w:rPr>
      </w:pPr>
      <w:r w:rsidRPr="00C7747A">
        <w:rPr>
          <w:rFonts w:cs="Verdana"/>
          <w:color w:val="000000"/>
          <w:szCs w:val="20"/>
        </w:rPr>
        <w:t>A</w:t>
      </w:r>
      <w:r w:rsidR="00AD52E6" w:rsidRPr="00C7747A">
        <w:rPr>
          <w:rFonts w:cs="Verdana"/>
          <w:color w:val="000000"/>
          <w:szCs w:val="20"/>
        </w:rPr>
        <w:t xml:space="preserve"> </w:t>
      </w:r>
      <w:r w:rsidRPr="00C7747A">
        <w:rPr>
          <w:rFonts w:cs="Verdana"/>
          <w:color w:val="000000"/>
          <w:szCs w:val="20"/>
        </w:rPr>
        <w:t>copy of th</w:t>
      </w:r>
      <w:r w:rsidR="003711E0">
        <w:rPr>
          <w:rFonts w:cs="Verdana"/>
          <w:color w:val="000000"/>
          <w:szCs w:val="20"/>
        </w:rPr>
        <w:t>is modified version of the</w:t>
      </w:r>
      <w:r w:rsidR="00474D38">
        <w:rPr>
          <w:rFonts w:cs="Verdana"/>
          <w:color w:val="000000"/>
          <w:szCs w:val="20"/>
        </w:rPr>
        <w:t xml:space="preserve"> </w:t>
      </w:r>
      <w:r w:rsidR="003711E0">
        <w:rPr>
          <w:rFonts w:cs="Verdana"/>
          <w:color w:val="000000"/>
          <w:szCs w:val="20"/>
        </w:rPr>
        <w:t>‘</w:t>
      </w:r>
      <w:r w:rsidR="00BA5774" w:rsidRPr="00C7747A">
        <w:rPr>
          <w:rFonts w:cs="Verdana"/>
          <w:color w:val="000000"/>
          <w:szCs w:val="20"/>
        </w:rPr>
        <w:t xml:space="preserve">RIIO-GD1 Gas Distribution Price Control – Regulatory Instructions and Guidance: Version </w:t>
      </w:r>
      <w:r w:rsidR="003E044E">
        <w:rPr>
          <w:rFonts w:cs="Verdana"/>
          <w:color w:val="000000"/>
          <w:szCs w:val="20"/>
        </w:rPr>
        <w:t>3</w:t>
      </w:r>
      <w:r w:rsidR="005E0FFD">
        <w:rPr>
          <w:rFonts w:cs="Verdana"/>
          <w:color w:val="000000"/>
          <w:szCs w:val="20"/>
        </w:rPr>
        <w:t>.0</w:t>
      </w:r>
      <w:r w:rsidR="003711E0">
        <w:rPr>
          <w:rFonts w:cs="Verdana"/>
          <w:color w:val="000000"/>
          <w:szCs w:val="20"/>
        </w:rPr>
        <w:t>’</w:t>
      </w:r>
      <w:r w:rsidR="001C5898" w:rsidRPr="00C7747A">
        <w:rPr>
          <w:rFonts w:cs="Verdana"/>
          <w:color w:val="000000"/>
          <w:szCs w:val="20"/>
        </w:rPr>
        <w:t xml:space="preserve"> is included in the Schedule to this Direction.</w:t>
      </w:r>
    </w:p>
    <w:p w14:paraId="07B284A8" w14:textId="77777777" w:rsidR="00BC7E8A" w:rsidRPr="001F790F" w:rsidRDefault="00BC7E8A" w:rsidP="00BC7E8A">
      <w:pPr>
        <w:pStyle w:val="Default"/>
        <w:ind w:left="1134"/>
        <w:rPr>
          <w:sz w:val="20"/>
          <w:szCs w:val="20"/>
        </w:rPr>
      </w:pPr>
    </w:p>
    <w:p w14:paraId="07B284AA" w14:textId="77777777" w:rsidR="00621D89" w:rsidRPr="001F790F" w:rsidRDefault="00621D89" w:rsidP="00621D89">
      <w:pPr>
        <w:pStyle w:val="ListParagraph"/>
        <w:autoSpaceDE w:val="0"/>
        <w:autoSpaceDN w:val="0"/>
        <w:adjustRightInd w:val="0"/>
        <w:spacing w:after="0" w:line="240" w:lineRule="auto"/>
        <w:rPr>
          <w:rFonts w:cs="Verdana"/>
          <w:szCs w:val="20"/>
        </w:rPr>
      </w:pPr>
    </w:p>
    <w:p w14:paraId="07B284AB" w14:textId="77777777" w:rsidR="000F708D" w:rsidRPr="001F790F" w:rsidRDefault="000F708D" w:rsidP="000F708D">
      <w:pPr>
        <w:autoSpaceDE w:val="0"/>
        <w:autoSpaceDN w:val="0"/>
        <w:adjustRightInd w:val="0"/>
        <w:spacing w:after="0" w:line="240" w:lineRule="auto"/>
        <w:ind w:left="720" w:hanging="720"/>
        <w:rPr>
          <w:rFonts w:cs="Verdana"/>
          <w:color w:val="000000"/>
          <w:szCs w:val="20"/>
        </w:rPr>
      </w:pPr>
      <w:r w:rsidRPr="001F790F">
        <w:rPr>
          <w:rFonts w:cs="Verdana"/>
          <w:color w:val="000000"/>
          <w:szCs w:val="20"/>
        </w:rPr>
        <w:tab/>
      </w:r>
    </w:p>
    <w:p w14:paraId="07B284AC" w14:textId="77777777" w:rsidR="000F708D" w:rsidRPr="001F790F" w:rsidRDefault="00BC7E8A" w:rsidP="000F708D">
      <w:pPr>
        <w:autoSpaceDE w:val="0"/>
        <w:autoSpaceDN w:val="0"/>
        <w:adjustRightInd w:val="0"/>
        <w:spacing w:after="0" w:line="240" w:lineRule="auto"/>
        <w:rPr>
          <w:rFonts w:cs="Verdana"/>
          <w:b/>
          <w:bCs/>
          <w:color w:val="000000"/>
          <w:szCs w:val="20"/>
        </w:rPr>
      </w:pPr>
      <w:r w:rsidRPr="001F790F">
        <w:rPr>
          <w:rFonts w:cs="Verdana"/>
          <w:b/>
          <w:bCs/>
          <w:color w:val="000000"/>
          <w:szCs w:val="20"/>
        </w:rPr>
        <w:lastRenderedPageBreak/>
        <w:t xml:space="preserve">Now therefore – </w:t>
      </w:r>
    </w:p>
    <w:p w14:paraId="07B284AD" w14:textId="77777777" w:rsidR="004C00B4" w:rsidRPr="001F790F" w:rsidRDefault="004C00B4" w:rsidP="000F708D">
      <w:pPr>
        <w:autoSpaceDE w:val="0"/>
        <w:autoSpaceDN w:val="0"/>
        <w:adjustRightInd w:val="0"/>
        <w:spacing w:after="0" w:line="240" w:lineRule="auto"/>
        <w:rPr>
          <w:rFonts w:cs="Verdana"/>
          <w:b/>
          <w:bCs/>
          <w:color w:val="000000"/>
          <w:szCs w:val="20"/>
        </w:rPr>
      </w:pPr>
    </w:p>
    <w:p w14:paraId="49AF3046" w14:textId="77777777" w:rsidR="00474D38" w:rsidRPr="00474D38" w:rsidRDefault="004C00B4" w:rsidP="00474D38">
      <w:pPr>
        <w:pStyle w:val="Default"/>
        <w:rPr>
          <w:sz w:val="20"/>
          <w:szCs w:val="20"/>
        </w:rPr>
      </w:pPr>
      <w:r w:rsidRPr="00474D38">
        <w:rPr>
          <w:sz w:val="20"/>
          <w:szCs w:val="20"/>
        </w:rPr>
        <w:t xml:space="preserve">In accordance with the powers contained in paragraph 8 of SSC A40 of the Licence, the Authority hereby </w:t>
      </w:r>
      <w:r w:rsidR="006F2765" w:rsidRPr="00474D38">
        <w:rPr>
          <w:sz w:val="20"/>
          <w:szCs w:val="20"/>
        </w:rPr>
        <w:t>modifies</w:t>
      </w:r>
      <w:r w:rsidRPr="00474D38">
        <w:rPr>
          <w:sz w:val="20"/>
          <w:szCs w:val="20"/>
        </w:rPr>
        <w:t xml:space="preserve"> the RIGs in the manner specified in </w:t>
      </w:r>
      <w:r w:rsidR="001F790F" w:rsidRPr="00474D38">
        <w:rPr>
          <w:sz w:val="20"/>
          <w:szCs w:val="20"/>
        </w:rPr>
        <w:t xml:space="preserve">the </w:t>
      </w:r>
      <w:r w:rsidRPr="00474D38">
        <w:rPr>
          <w:sz w:val="20"/>
          <w:szCs w:val="20"/>
        </w:rPr>
        <w:t>attached Sch</w:t>
      </w:r>
      <w:r w:rsidR="001F790F" w:rsidRPr="00474D38">
        <w:rPr>
          <w:sz w:val="20"/>
          <w:szCs w:val="20"/>
        </w:rPr>
        <w:t>edule</w:t>
      </w:r>
      <w:r w:rsidRPr="00474D38">
        <w:rPr>
          <w:sz w:val="20"/>
          <w:szCs w:val="20"/>
        </w:rPr>
        <w:t xml:space="preserve">. </w:t>
      </w:r>
    </w:p>
    <w:p w14:paraId="68B89E2D" w14:textId="77777777" w:rsidR="00322D27" w:rsidRDefault="00322D27" w:rsidP="004C00B4">
      <w:pPr>
        <w:autoSpaceDE w:val="0"/>
        <w:autoSpaceDN w:val="0"/>
        <w:adjustRightInd w:val="0"/>
        <w:spacing w:after="0" w:line="240" w:lineRule="auto"/>
        <w:rPr>
          <w:rFonts w:cs="Verdana"/>
          <w:bCs/>
          <w:color w:val="000000"/>
          <w:sz w:val="21"/>
          <w:szCs w:val="21"/>
        </w:rPr>
      </w:pPr>
    </w:p>
    <w:p w14:paraId="7D84CE9D" w14:textId="29C716A0" w:rsidR="00C073E1" w:rsidRPr="001F790F" w:rsidRDefault="00BA7039" w:rsidP="004C00B4">
      <w:pPr>
        <w:autoSpaceDE w:val="0"/>
        <w:autoSpaceDN w:val="0"/>
        <w:adjustRightInd w:val="0"/>
        <w:spacing w:after="0" w:line="240" w:lineRule="auto"/>
        <w:rPr>
          <w:rFonts w:cs="Verdana"/>
          <w:bCs/>
          <w:color w:val="000000"/>
          <w:sz w:val="21"/>
          <w:szCs w:val="21"/>
        </w:rPr>
      </w:pPr>
      <w:r>
        <w:rPr>
          <w:rFonts w:cs="Verdana"/>
          <w:bCs/>
          <w:color w:val="000000"/>
          <w:sz w:val="21"/>
          <w:szCs w:val="21"/>
        </w:rPr>
        <w:t>This modification will take effect on 29 June 2016</w:t>
      </w:r>
      <w:r w:rsidR="00ED4ADB">
        <w:rPr>
          <w:rFonts w:cs="Verdana"/>
          <w:bCs/>
          <w:color w:val="000000"/>
          <w:sz w:val="21"/>
          <w:szCs w:val="21"/>
        </w:rPr>
        <w:t>.</w:t>
      </w:r>
      <w:r w:rsidR="00985797">
        <w:rPr>
          <w:rFonts w:cs="Verdana"/>
          <w:bCs/>
          <w:color w:val="000000"/>
          <w:sz w:val="21"/>
          <w:szCs w:val="21"/>
        </w:rPr>
        <w:t xml:space="preserve"> </w:t>
      </w:r>
    </w:p>
    <w:p w14:paraId="066B9826" w14:textId="77777777" w:rsidR="00322D27" w:rsidRDefault="00322D27" w:rsidP="004C00B4">
      <w:pPr>
        <w:autoSpaceDE w:val="0"/>
        <w:autoSpaceDN w:val="0"/>
        <w:adjustRightInd w:val="0"/>
        <w:spacing w:after="0" w:line="240" w:lineRule="auto"/>
        <w:rPr>
          <w:rFonts w:cs="Verdana"/>
          <w:bCs/>
          <w:color w:val="000000"/>
          <w:szCs w:val="20"/>
        </w:rPr>
      </w:pPr>
    </w:p>
    <w:p w14:paraId="07B284B0" w14:textId="77777777" w:rsidR="004C00B4" w:rsidRPr="001F790F" w:rsidRDefault="004C00B4" w:rsidP="004C00B4">
      <w:pPr>
        <w:autoSpaceDE w:val="0"/>
        <w:autoSpaceDN w:val="0"/>
        <w:adjustRightInd w:val="0"/>
        <w:spacing w:after="0" w:line="240" w:lineRule="auto"/>
        <w:rPr>
          <w:rFonts w:cs="Verdana"/>
          <w:bCs/>
          <w:color w:val="000000"/>
          <w:szCs w:val="20"/>
        </w:rPr>
      </w:pPr>
      <w:r w:rsidRPr="001F790F">
        <w:rPr>
          <w:rFonts w:cs="Verdana"/>
          <w:bCs/>
          <w:color w:val="000000"/>
          <w:szCs w:val="20"/>
        </w:rPr>
        <w:t xml:space="preserve">This document constitutes notice of the reasons for the </w:t>
      </w:r>
      <w:r w:rsidR="001C5898">
        <w:rPr>
          <w:rFonts w:cs="Verdana"/>
          <w:bCs/>
          <w:color w:val="000000"/>
          <w:szCs w:val="20"/>
        </w:rPr>
        <w:t>D</w:t>
      </w:r>
      <w:r w:rsidRPr="001F790F">
        <w:rPr>
          <w:rFonts w:cs="Verdana"/>
          <w:bCs/>
          <w:color w:val="000000"/>
          <w:szCs w:val="20"/>
        </w:rPr>
        <w:t xml:space="preserve">irection as required by section </w:t>
      </w:r>
      <w:r w:rsidR="001C5898">
        <w:rPr>
          <w:rFonts w:cs="Verdana"/>
          <w:bCs/>
          <w:color w:val="000000"/>
          <w:szCs w:val="20"/>
        </w:rPr>
        <w:t>38</w:t>
      </w:r>
      <w:r w:rsidRPr="001F790F">
        <w:rPr>
          <w:rFonts w:cs="Verdana"/>
          <w:bCs/>
          <w:color w:val="000000"/>
          <w:szCs w:val="20"/>
        </w:rPr>
        <w:t>A of the Act</w:t>
      </w:r>
      <w:r w:rsidR="0063077F">
        <w:rPr>
          <w:rFonts w:cs="Verdana"/>
          <w:bCs/>
          <w:color w:val="000000"/>
          <w:szCs w:val="20"/>
        </w:rPr>
        <w:t>.</w:t>
      </w:r>
    </w:p>
    <w:p w14:paraId="07B284B1" w14:textId="77777777" w:rsidR="00BC7E8A" w:rsidRPr="001F790F" w:rsidRDefault="00BC7E8A" w:rsidP="000F708D">
      <w:pPr>
        <w:autoSpaceDE w:val="0"/>
        <w:autoSpaceDN w:val="0"/>
        <w:adjustRightInd w:val="0"/>
        <w:spacing w:after="0" w:line="240" w:lineRule="auto"/>
        <w:rPr>
          <w:rFonts w:cs="Verdana"/>
          <w:bCs/>
          <w:color w:val="000000"/>
          <w:szCs w:val="20"/>
        </w:rPr>
      </w:pPr>
    </w:p>
    <w:p w14:paraId="07B284B2" w14:textId="77777777" w:rsidR="00BC7E8A" w:rsidRPr="001F790F" w:rsidRDefault="00BC7E8A" w:rsidP="000F708D">
      <w:pPr>
        <w:autoSpaceDE w:val="0"/>
        <w:autoSpaceDN w:val="0"/>
        <w:adjustRightInd w:val="0"/>
        <w:spacing w:after="0" w:line="240" w:lineRule="auto"/>
        <w:rPr>
          <w:rFonts w:cs="Verdana"/>
          <w:bCs/>
          <w:color w:val="000000"/>
          <w:szCs w:val="20"/>
        </w:rPr>
      </w:pPr>
    </w:p>
    <w:p w14:paraId="07B284B3" w14:textId="0D725D2A" w:rsidR="000F708D" w:rsidRPr="001F790F" w:rsidRDefault="00B60F02" w:rsidP="000F708D">
      <w:pPr>
        <w:autoSpaceDE w:val="0"/>
        <w:autoSpaceDN w:val="0"/>
        <w:adjustRightInd w:val="0"/>
        <w:spacing w:after="0" w:line="240" w:lineRule="auto"/>
        <w:rPr>
          <w:rFonts w:cs="Verdana"/>
          <w:bCs/>
          <w:color w:val="000000"/>
          <w:szCs w:val="20"/>
        </w:rPr>
      </w:pPr>
      <w:r>
        <w:rPr>
          <w:noProof/>
          <w:lang w:eastAsia="en-GB"/>
        </w:rPr>
        <w:drawing>
          <wp:inline distT="0" distB="0" distL="0" distR="0" wp14:anchorId="776CC57C" wp14:editId="22E10CDA">
            <wp:extent cx="1400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p w14:paraId="07B284B4" w14:textId="77777777" w:rsidR="000F708D" w:rsidRPr="001F790F" w:rsidRDefault="000F708D" w:rsidP="000F708D">
      <w:pPr>
        <w:autoSpaceDE w:val="0"/>
        <w:autoSpaceDN w:val="0"/>
        <w:adjustRightInd w:val="0"/>
        <w:spacing w:after="0" w:line="240" w:lineRule="auto"/>
        <w:rPr>
          <w:rFonts w:cs="Verdana"/>
          <w:b/>
          <w:bCs/>
          <w:color w:val="000000"/>
          <w:szCs w:val="20"/>
        </w:rPr>
      </w:pPr>
      <w:r w:rsidRPr="001F790F">
        <w:rPr>
          <w:rFonts w:cs="Verdana"/>
          <w:b/>
          <w:bCs/>
          <w:color w:val="000000"/>
          <w:szCs w:val="20"/>
        </w:rPr>
        <w:t>…………………………………………..</w:t>
      </w:r>
    </w:p>
    <w:p w14:paraId="0E8E3333" w14:textId="5E571405" w:rsidR="004A0776" w:rsidRPr="004A0776" w:rsidRDefault="00040797" w:rsidP="004A0776">
      <w:pPr>
        <w:rPr>
          <w:rFonts w:cs="Verdana"/>
          <w:b/>
          <w:bCs/>
          <w:color w:val="000000"/>
          <w:szCs w:val="20"/>
        </w:rPr>
      </w:pPr>
      <w:r>
        <w:rPr>
          <w:rFonts w:cs="Verdana"/>
          <w:b/>
          <w:bCs/>
          <w:color w:val="000000"/>
          <w:szCs w:val="20"/>
        </w:rPr>
        <w:t>Kersti Berge</w:t>
      </w:r>
    </w:p>
    <w:p w14:paraId="004ED3FE" w14:textId="7971C3FC" w:rsidR="004A0776" w:rsidRPr="00E0661F" w:rsidRDefault="00040797" w:rsidP="004A0776">
      <w:pPr>
        <w:spacing w:after="0"/>
        <w:rPr>
          <w:rFonts w:cs="Verdana"/>
          <w:b/>
          <w:bCs/>
          <w:color w:val="000000"/>
          <w:szCs w:val="20"/>
        </w:rPr>
      </w:pPr>
      <w:r>
        <w:rPr>
          <w:rFonts w:cs="Verdana"/>
          <w:b/>
          <w:bCs/>
          <w:color w:val="000000"/>
          <w:szCs w:val="20"/>
        </w:rPr>
        <w:t>Partner for Networks</w:t>
      </w:r>
    </w:p>
    <w:p w14:paraId="07B284B7" w14:textId="77777777" w:rsidR="002D6351" w:rsidRPr="001F790F" w:rsidRDefault="000F708D" w:rsidP="004A0776">
      <w:pPr>
        <w:autoSpaceDE w:val="0"/>
        <w:autoSpaceDN w:val="0"/>
        <w:adjustRightInd w:val="0"/>
        <w:spacing w:after="0" w:line="240" w:lineRule="auto"/>
        <w:rPr>
          <w:rFonts w:cs="Verdana"/>
          <w:b/>
          <w:bCs/>
          <w:color w:val="000000"/>
          <w:szCs w:val="20"/>
        </w:rPr>
      </w:pPr>
      <w:r w:rsidRPr="001F790F">
        <w:rPr>
          <w:rFonts w:cs="Verdana"/>
          <w:b/>
          <w:bCs/>
          <w:color w:val="000000"/>
          <w:szCs w:val="20"/>
        </w:rPr>
        <w:t xml:space="preserve">Duly authorised on behalf of </w:t>
      </w:r>
      <w:r w:rsidR="002D6351" w:rsidRPr="001F790F">
        <w:rPr>
          <w:rFonts w:cs="Verdana"/>
          <w:b/>
          <w:bCs/>
          <w:color w:val="000000"/>
          <w:szCs w:val="20"/>
        </w:rPr>
        <w:t>the Authority</w:t>
      </w:r>
      <w:r w:rsidR="00DD2624" w:rsidRPr="001F790F">
        <w:rPr>
          <w:rFonts w:cs="Verdana"/>
          <w:b/>
          <w:bCs/>
          <w:color w:val="000000"/>
          <w:szCs w:val="20"/>
        </w:rPr>
        <w:t xml:space="preserve"> </w:t>
      </w:r>
      <w:r w:rsidR="00DD2624" w:rsidRPr="001F790F">
        <w:rPr>
          <w:rFonts w:cs="Verdana"/>
          <w:b/>
          <w:bCs/>
          <w:color w:val="000000"/>
          <w:szCs w:val="20"/>
        </w:rPr>
        <w:tab/>
      </w:r>
      <w:r w:rsidR="00DD2624" w:rsidRPr="001F790F">
        <w:rPr>
          <w:rFonts w:cs="Verdana"/>
          <w:b/>
          <w:bCs/>
          <w:color w:val="000000"/>
          <w:szCs w:val="20"/>
        </w:rPr>
        <w:tab/>
      </w:r>
      <w:r w:rsidR="00DD2624" w:rsidRPr="001F790F">
        <w:rPr>
          <w:rFonts w:cs="Verdana"/>
          <w:b/>
          <w:bCs/>
          <w:color w:val="000000"/>
          <w:szCs w:val="20"/>
        </w:rPr>
        <w:tab/>
      </w:r>
      <w:r w:rsidR="00DD2624" w:rsidRPr="001F790F">
        <w:rPr>
          <w:rFonts w:cs="Verdana"/>
          <w:b/>
          <w:bCs/>
          <w:color w:val="000000"/>
          <w:szCs w:val="20"/>
        </w:rPr>
        <w:tab/>
      </w:r>
    </w:p>
    <w:p w14:paraId="6463381E" w14:textId="77777777" w:rsidR="00206907" w:rsidRDefault="00206907" w:rsidP="002D6351">
      <w:pPr>
        <w:autoSpaceDE w:val="0"/>
        <w:autoSpaceDN w:val="0"/>
        <w:adjustRightInd w:val="0"/>
        <w:spacing w:after="0" w:line="240" w:lineRule="auto"/>
        <w:rPr>
          <w:rFonts w:cs="Verdana"/>
          <w:b/>
          <w:bCs/>
          <w:color w:val="000000"/>
          <w:szCs w:val="20"/>
          <w:highlight w:val="yellow"/>
        </w:rPr>
      </w:pPr>
    </w:p>
    <w:p w14:paraId="07B284B9" w14:textId="4F5A688D" w:rsidR="0095735F" w:rsidRPr="003E044E" w:rsidRDefault="003E044E" w:rsidP="003E044E">
      <w:pPr>
        <w:autoSpaceDE w:val="0"/>
        <w:autoSpaceDN w:val="0"/>
        <w:adjustRightInd w:val="0"/>
        <w:spacing w:after="0" w:line="240" w:lineRule="auto"/>
        <w:rPr>
          <w:rFonts w:cs="Verdana"/>
          <w:bCs/>
          <w:color w:val="000000"/>
          <w:szCs w:val="20"/>
        </w:rPr>
        <w:sectPr w:rsidR="0095735F" w:rsidRPr="003E044E" w:rsidSect="00DD262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r>
        <w:rPr>
          <w:rFonts w:cs="Verdana"/>
          <w:b/>
          <w:bCs/>
          <w:color w:val="000000"/>
          <w:szCs w:val="20"/>
        </w:rPr>
        <w:t>29 June 2016</w:t>
      </w:r>
    </w:p>
    <w:p w14:paraId="07B284BA" w14:textId="68F61808" w:rsidR="00F2141F" w:rsidRDefault="001F790F" w:rsidP="00112ED5">
      <w:pPr>
        <w:rPr>
          <w:rFonts w:cs="Verdana"/>
          <w:b/>
          <w:bCs/>
          <w:color w:val="000000"/>
          <w:sz w:val="24"/>
          <w:szCs w:val="24"/>
        </w:rPr>
      </w:pPr>
      <w:r>
        <w:rPr>
          <w:rFonts w:cs="Verdana"/>
          <w:b/>
          <w:bCs/>
          <w:color w:val="000000"/>
          <w:sz w:val="24"/>
          <w:szCs w:val="24"/>
        </w:rPr>
        <w:lastRenderedPageBreak/>
        <w:t>Schedule</w:t>
      </w:r>
      <w:r w:rsidR="002970F2" w:rsidRPr="00234C43">
        <w:rPr>
          <w:rFonts w:cs="Verdana"/>
          <w:b/>
          <w:bCs/>
          <w:color w:val="000000"/>
          <w:sz w:val="24"/>
          <w:szCs w:val="24"/>
        </w:rPr>
        <w:t xml:space="preserve"> </w:t>
      </w:r>
      <w:r w:rsidR="00A33A49">
        <w:rPr>
          <w:rFonts w:cs="Verdana"/>
          <w:b/>
          <w:bCs/>
          <w:color w:val="000000"/>
          <w:sz w:val="24"/>
          <w:szCs w:val="24"/>
        </w:rPr>
        <w:t xml:space="preserve">to the Authority’s Direction dated </w:t>
      </w:r>
      <w:r w:rsidR="00B04A48">
        <w:rPr>
          <w:rFonts w:cs="Verdana"/>
          <w:b/>
          <w:bCs/>
          <w:color w:val="000000"/>
          <w:sz w:val="24"/>
          <w:szCs w:val="24"/>
        </w:rPr>
        <w:t>29 June 2016</w:t>
      </w:r>
    </w:p>
    <w:p w14:paraId="07B284BB" w14:textId="15032103" w:rsidR="002970F2" w:rsidRDefault="00264FE3" w:rsidP="00112ED5">
      <w:pPr>
        <w:rPr>
          <w:rFonts w:cs="Verdana"/>
          <w:b/>
          <w:bCs/>
          <w:color w:val="000000"/>
          <w:sz w:val="24"/>
          <w:szCs w:val="24"/>
        </w:rPr>
      </w:pPr>
      <w:r>
        <w:rPr>
          <w:rFonts w:cs="Verdana"/>
          <w:b/>
          <w:bCs/>
          <w:color w:val="000000"/>
          <w:sz w:val="24"/>
          <w:szCs w:val="24"/>
        </w:rPr>
        <w:t>Regulatory Instructions and Guidance</w:t>
      </w:r>
      <w:r w:rsidR="00322D27">
        <w:rPr>
          <w:rFonts w:cs="Verdana"/>
          <w:b/>
          <w:bCs/>
          <w:color w:val="000000"/>
          <w:sz w:val="24"/>
          <w:szCs w:val="24"/>
        </w:rPr>
        <w:t xml:space="preserve"> </w:t>
      </w:r>
    </w:p>
    <w:p w14:paraId="540169C5" w14:textId="605A761E" w:rsidR="002B6E5F" w:rsidRPr="0091042A" w:rsidRDefault="0091042A" w:rsidP="002B6E5F">
      <w:pPr>
        <w:rPr>
          <w:rStyle w:val="Hyperlink"/>
          <w:b/>
          <w:sz w:val="24"/>
          <w:szCs w:val="24"/>
        </w:rPr>
      </w:pPr>
      <w:r>
        <w:rPr>
          <w:rFonts w:cs="Verdana"/>
          <w:szCs w:val="20"/>
        </w:rPr>
        <w:fldChar w:fldCharType="begin"/>
      </w:r>
      <w:r w:rsidR="001C05BA">
        <w:rPr>
          <w:rFonts w:cs="Verdana"/>
          <w:szCs w:val="20"/>
        </w:rPr>
        <w:instrText>HYPERLINK "https://www.ofgem.gov.uk/system/files/docs/2016/06/riio-gd1_gas_distribution_rigs_version_3.0_final_2015-16_1.pdf"</w:instrText>
      </w:r>
      <w:r w:rsidR="001C05BA">
        <w:rPr>
          <w:rFonts w:cs="Verdana"/>
          <w:szCs w:val="20"/>
        </w:rPr>
      </w:r>
      <w:r>
        <w:rPr>
          <w:rFonts w:cs="Verdana"/>
          <w:szCs w:val="20"/>
        </w:rPr>
        <w:fldChar w:fldCharType="separate"/>
      </w:r>
      <w:r w:rsidR="00322D27" w:rsidRPr="0091042A">
        <w:rPr>
          <w:rStyle w:val="Hyperlink"/>
          <w:rFonts w:cs="Verdana"/>
          <w:szCs w:val="20"/>
        </w:rPr>
        <w:t>RIIO-GD1 Gas Distribution Price Control – Regulatory Instructions and Guidance: Version 3.0</w:t>
      </w:r>
      <w:bookmarkStart w:id="0" w:name="_GoBack"/>
      <w:bookmarkEnd w:id="0"/>
    </w:p>
    <w:p w14:paraId="549113F4" w14:textId="6D92FD48" w:rsidR="003D1369" w:rsidRPr="003D1369" w:rsidRDefault="0091042A" w:rsidP="003D1369">
      <w:pPr>
        <w:autoSpaceDE w:val="0"/>
        <w:autoSpaceDN w:val="0"/>
        <w:adjustRightInd w:val="0"/>
        <w:spacing w:after="0" w:line="240" w:lineRule="auto"/>
        <w:rPr>
          <w:rFonts w:cs="Verdana"/>
          <w:color w:val="000000"/>
          <w:szCs w:val="20"/>
        </w:rPr>
      </w:pPr>
      <w:r>
        <w:rPr>
          <w:rFonts w:cs="Verdana"/>
          <w:szCs w:val="20"/>
        </w:rPr>
        <w:fldChar w:fldCharType="end"/>
      </w:r>
      <w:hyperlink r:id="rId21" w:history="1">
        <w:r w:rsidR="003D1369" w:rsidRPr="0091042A">
          <w:rPr>
            <w:rStyle w:val="Hyperlink"/>
            <w:rFonts w:cs="Verdana"/>
            <w:szCs w:val="20"/>
          </w:rPr>
          <w:t>RIIO-GD1 Gas Distribution Costs and Outputs Reporting Template version3.0</w:t>
        </w:r>
      </w:hyperlink>
      <w:r w:rsidR="003D1369" w:rsidRPr="003D1369">
        <w:rPr>
          <w:rFonts w:cs="Verdana"/>
          <w:color w:val="000000"/>
          <w:szCs w:val="20"/>
        </w:rPr>
        <w:t xml:space="preserve"> </w:t>
      </w:r>
    </w:p>
    <w:p w14:paraId="7E9B5A6A" w14:textId="77777777" w:rsidR="003D1369" w:rsidRDefault="003D1369" w:rsidP="003D1369">
      <w:pPr>
        <w:rPr>
          <w:rFonts w:cs="Verdana"/>
          <w:color w:val="000000"/>
          <w:szCs w:val="20"/>
        </w:rPr>
      </w:pPr>
    </w:p>
    <w:p w14:paraId="2E949AA6" w14:textId="1AA073F4" w:rsidR="00D0508D" w:rsidRPr="005307F1" w:rsidRDefault="001C05BA" w:rsidP="003D1369">
      <w:pPr>
        <w:rPr>
          <w:rStyle w:val="Hyperlink"/>
          <w:sz w:val="24"/>
          <w:szCs w:val="24"/>
        </w:rPr>
      </w:pPr>
      <w:hyperlink r:id="rId22" w:history="1">
        <w:r w:rsidR="003D1369" w:rsidRPr="0091042A">
          <w:rPr>
            <w:rStyle w:val="Hyperlink"/>
            <w:rFonts w:cs="Verdana"/>
            <w:szCs w:val="20"/>
          </w:rPr>
          <w:t>RIIO-GD1 Gas Distribution Revenue Return Template version 3.0</w:t>
        </w:r>
      </w:hyperlink>
    </w:p>
    <w:p w14:paraId="418D1DD3" w14:textId="77777777" w:rsidR="003D10E3" w:rsidRDefault="003D10E3">
      <w:pPr>
        <w:rPr>
          <w:rFonts w:cs="Verdana"/>
          <w:b/>
          <w:bCs/>
          <w:color w:val="000000"/>
          <w:sz w:val="24"/>
          <w:szCs w:val="24"/>
        </w:rPr>
      </w:pPr>
      <w:r>
        <w:rPr>
          <w:rFonts w:cs="Verdana"/>
          <w:b/>
          <w:bCs/>
          <w:color w:val="000000"/>
          <w:sz w:val="24"/>
          <w:szCs w:val="24"/>
        </w:rPr>
        <w:br w:type="page"/>
      </w:r>
    </w:p>
    <w:p w14:paraId="3FAFC7FD" w14:textId="098B0886" w:rsidR="00E40EEC" w:rsidRDefault="003D10E3" w:rsidP="003D10E3">
      <w:pPr>
        <w:spacing w:after="0"/>
        <w:rPr>
          <w:rFonts w:cs="Verdana"/>
          <w:b/>
          <w:bCs/>
          <w:color w:val="000000"/>
          <w:sz w:val="24"/>
          <w:szCs w:val="24"/>
        </w:rPr>
      </w:pPr>
      <w:r>
        <w:rPr>
          <w:rFonts w:cs="Verdana"/>
          <w:b/>
          <w:bCs/>
          <w:color w:val="000000"/>
          <w:sz w:val="24"/>
          <w:szCs w:val="24"/>
        </w:rPr>
        <w:lastRenderedPageBreak/>
        <w:t xml:space="preserve">Appendix 1 to the Authority’s Decision dated </w:t>
      </w:r>
      <w:r w:rsidR="008F4746">
        <w:rPr>
          <w:rFonts w:cs="Verdana"/>
          <w:b/>
          <w:bCs/>
          <w:color w:val="000000"/>
          <w:sz w:val="24"/>
          <w:szCs w:val="24"/>
        </w:rPr>
        <w:t xml:space="preserve">29 June </w:t>
      </w:r>
      <w:r w:rsidR="00B04A48">
        <w:rPr>
          <w:rFonts w:cs="Verdana"/>
          <w:b/>
          <w:bCs/>
          <w:color w:val="000000"/>
          <w:sz w:val="24"/>
          <w:szCs w:val="24"/>
        </w:rPr>
        <w:t>2016</w:t>
      </w:r>
    </w:p>
    <w:p w14:paraId="30DF101E" w14:textId="77777777" w:rsidR="00075EEB" w:rsidRDefault="00075EEB" w:rsidP="003D10E3">
      <w:pPr>
        <w:spacing w:after="0"/>
        <w:rPr>
          <w:rFonts w:cs="Verdana"/>
          <w:b/>
          <w:bCs/>
          <w:color w:val="000000"/>
          <w:sz w:val="24"/>
          <w:szCs w:val="24"/>
        </w:rPr>
      </w:pPr>
    </w:p>
    <w:p w14:paraId="5DBDEC83" w14:textId="132C1ECE" w:rsidR="003D10E3" w:rsidRDefault="003D10E3" w:rsidP="003D10E3">
      <w:pPr>
        <w:spacing w:after="0"/>
        <w:rPr>
          <w:rFonts w:cs="Verdana"/>
          <w:b/>
          <w:bCs/>
          <w:color w:val="000000"/>
          <w:sz w:val="24"/>
          <w:szCs w:val="24"/>
        </w:rPr>
      </w:pPr>
      <w:r>
        <w:rPr>
          <w:rFonts w:cs="Verdana"/>
          <w:b/>
          <w:bCs/>
          <w:color w:val="000000"/>
          <w:sz w:val="24"/>
          <w:szCs w:val="24"/>
        </w:rPr>
        <w:t>Modification of Regulatory Instructions and Guidance</w:t>
      </w:r>
      <w:r w:rsidR="00D6675E" w:rsidRPr="00D6675E">
        <w:rPr>
          <w:rFonts w:cs="Verdana"/>
          <w:b/>
          <w:bCs/>
          <w:color w:val="000000"/>
          <w:sz w:val="24"/>
          <w:szCs w:val="24"/>
        </w:rPr>
        <w:t xml:space="preserve"> </w:t>
      </w:r>
      <w:r w:rsidR="00D6675E">
        <w:rPr>
          <w:rFonts w:cs="Verdana"/>
          <w:b/>
          <w:bCs/>
          <w:color w:val="000000"/>
          <w:sz w:val="24"/>
          <w:szCs w:val="24"/>
        </w:rPr>
        <w:t>- Summary of Re</w:t>
      </w:r>
      <w:r w:rsidR="00363BE3">
        <w:rPr>
          <w:rFonts w:cs="Verdana"/>
          <w:b/>
          <w:bCs/>
          <w:color w:val="000000"/>
          <w:sz w:val="24"/>
          <w:szCs w:val="24"/>
        </w:rPr>
        <w:t xml:space="preserve">presentations to the </w:t>
      </w:r>
      <w:hyperlink r:id="rId23" w:history="1">
        <w:r w:rsidR="00363BE3">
          <w:rPr>
            <w:rStyle w:val="Hyperlink"/>
            <w:rFonts w:cs="Verdana"/>
            <w:b/>
            <w:bCs/>
            <w:sz w:val="24"/>
            <w:szCs w:val="24"/>
          </w:rPr>
          <w:t>Consultation</w:t>
        </w:r>
      </w:hyperlink>
      <w:r w:rsidR="00363BE3">
        <w:rPr>
          <w:rFonts w:cs="Verdana"/>
          <w:b/>
          <w:bCs/>
          <w:color w:val="000000"/>
          <w:sz w:val="24"/>
          <w:szCs w:val="24"/>
        </w:rPr>
        <w:t xml:space="preserve"> from the </w:t>
      </w:r>
      <w:r w:rsidR="00363BE3" w:rsidRPr="00363BE3">
        <w:rPr>
          <w:rFonts w:cs="Verdana"/>
          <w:b/>
          <w:bCs/>
          <w:color w:val="000000"/>
          <w:sz w:val="24"/>
          <w:szCs w:val="24"/>
        </w:rPr>
        <w:t>Gas Distribution Network companies</w:t>
      </w:r>
      <w:r w:rsidR="00363BE3">
        <w:rPr>
          <w:rFonts w:cs="Verdana"/>
          <w:b/>
          <w:bCs/>
          <w:color w:val="000000"/>
          <w:sz w:val="24"/>
          <w:szCs w:val="24"/>
        </w:rPr>
        <w:t xml:space="preserve"> </w:t>
      </w:r>
    </w:p>
    <w:p w14:paraId="6150F7FA" w14:textId="5435E596" w:rsidR="0001599E" w:rsidRDefault="0001599E" w:rsidP="006E0A79">
      <w:pPr>
        <w:spacing w:after="0"/>
        <w:rPr>
          <w:rFonts w:cs="Verdana"/>
          <w:bCs/>
          <w:color w:val="000000"/>
          <w:sz w:val="24"/>
          <w:szCs w:val="24"/>
        </w:rPr>
      </w:pPr>
    </w:p>
    <w:p w14:paraId="54F7D63C" w14:textId="77777777" w:rsidR="00D0508D" w:rsidRDefault="00D0508D" w:rsidP="006E0A79">
      <w:pPr>
        <w:spacing w:after="0"/>
        <w:rPr>
          <w:rFonts w:cs="Verdana"/>
          <w:bCs/>
          <w:color w:val="000000"/>
          <w:sz w:val="24"/>
          <w:szCs w:val="24"/>
        </w:rPr>
      </w:pPr>
    </w:p>
    <w:tbl>
      <w:tblPr>
        <w:tblStyle w:val="TableGrid"/>
        <w:tblW w:w="15451" w:type="dxa"/>
        <w:tblInd w:w="-601" w:type="dxa"/>
        <w:tblLook w:val="04A0" w:firstRow="1" w:lastRow="0" w:firstColumn="1" w:lastColumn="0" w:noHBand="0" w:noVBand="1"/>
      </w:tblPr>
      <w:tblGrid>
        <w:gridCol w:w="1539"/>
        <w:gridCol w:w="955"/>
        <w:gridCol w:w="8280"/>
        <w:gridCol w:w="4677"/>
      </w:tblGrid>
      <w:tr w:rsidR="00D507AF" w:rsidRPr="006319B6" w14:paraId="47019EA4" w14:textId="77777777" w:rsidTr="00D507AF">
        <w:tc>
          <w:tcPr>
            <w:tcW w:w="1539" w:type="dxa"/>
          </w:tcPr>
          <w:p w14:paraId="51354878" w14:textId="77777777" w:rsidR="00D507AF" w:rsidRPr="0094643F" w:rsidRDefault="00D507AF" w:rsidP="00D507AF">
            <w:pPr>
              <w:jc w:val="center"/>
              <w:rPr>
                <w:b/>
              </w:rPr>
            </w:pPr>
            <w:r w:rsidRPr="0094643F">
              <w:rPr>
                <w:b/>
              </w:rPr>
              <w:t>Company</w:t>
            </w:r>
          </w:p>
        </w:tc>
        <w:tc>
          <w:tcPr>
            <w:tcW w:w="955" w:type="dxa"/>
          </w:tcPr>
          <w:p w14:paraId="0429F485" w14:textId="77777777" w:rsidR="00D507AF" w:rsidRPr="0094643F" w:rsidRDefault="00D507AF" w:rsidP="00D507AF">
            <w:pPr>
              <w:jc w:val="center"/>
              <w:rPr>
                <w:b/>
              </w:rPr>
            </w:pPr>
            <w:r w:rsidRPr="0094643F">
              <w:rPr>
                <w:b/>
              </w:rPr>
              <w:t>Table</w:t>
            </w:r>
          </w:p>
        </w:tc>
        <w:tc>
          <w:tcPr>
            <w:tcW w:w="8280" w:type="dxa"/>
          </w:tcPr>
          <w:p w14:paraId="58964C62" w14:textId="77777777" w:rsidR="00D507AF" w:rsidRPr="0094643F" w:rsidRDefault="00D507AF" w:rsidP="00D507AF">
            <w:pPr>
              <w:jc w:val="center"/>
              <w:rPr>
                <w:b/>
              </w:rPr>
            </w:pPr>
            <w:r w:rsidRPr="0094643F">
              <w:rPr>
                <w:b/>
              </w:rPr>
              <w:t>GDN comment</w:t>
            </w:r>
          </w:p>
        </w:tc>
        <w:tc>
          <w:tcPr>
            <w:tcW w:w="4677" w:type="dxa"/>
          </w:tcPr>
          <w:p w14:paraId="18FD430A" w14:textId="5B0EFF25" w:rsidR="00D507AF" w:rsidRPr="0094643F" w:rsidRDefault="00D507AF" w:rsidP="005D6CA9">
            <w:pPr>
              <w:jc w:val="center"/>
              <w:rPr>
                <w:b/>
              </w:rPr>
            </w:pPr>
            <w:proofErr w:type="spellStart"/>
            <w:r w:rsidRPr="0094643F">
              <w:rPr>
                <w:b/>
              </w:rPr>
              <w:t>Ofgem</w:t>
            </w:r>
            <w:proofErr w:type="spellEnd"/>
            <w:r w:rsidRPr="0094643F">
              <w:rPr>
                <w:b/>
              </w:rPr>
              <w:t xml:space="preserve"> </w:t>
            </w:r>
            <w:r w:rsidR="005D6CA9">
              <w:rPr>
                <w:b/>
              </w:rPr>
              <w:t>comment- modification</w:t>
            </w:r>
          </w:p>
        </w:tc>
      </w:tr>
      <w:tr w:rsidR="00D507AF" w:rsidRPr="006630EB" w14:paraId="27F1EF4E" w14:textId="77777777" w:rsidTr="00D507AF">
        <w:tc>
          <w:tcPr>
            <w:tcW w:w="1539" w:type="dxa"/>
          </w:tcPr>
          <w:p w14:paraId="242FC269" w14:textId="77777777" w:rsidR="00D507AF" w:rsidRPr="006630EB" w:rsidRDefault="00D507AF" w:rsidP="006630EB">
            <w:pPr>
              <w:rPr>
                <w:sz w:val="16"/>
                <w:szCs w:val="16"/>
              </w:rPr>
            </w:pPr>
          </w:p>
        </w:tc>
        <w:tc>
          <w:tcPr>
            <w:tcW w:w="955" w:type="dxa"/>
          </w:tcPr>
          <w:p w14:paraId="5741FEE6" w14:textId="77777777" w:rsidR="00D507AF" w:rsidRPr="006630EB" w:rsidRDefault="00D507AF" w:rsidP="006630EB">
            <w:pPr>
              <w:rPr>
                <w:sz w:val="16"/>
                <w:szCs w:val="16"/>
              </w:rPr>
            </w:pPr>
            <w:r w:rsidRPr="006630EB">
              <w:rPr>
                <w:sz w:val="16"/>
                <w:szCs w:val="16"/>
              </w:rPr>
              <w:t>1.4</w:t>
            </w:r>
          </w:p>
          <w:p w14:paraId="19DCA5B5" w14:textId="77777777" w:rsidR="00D507AF" w:rsidRPr="006630EB" w:rsidRDefault="00D507AF" w:rsidP="006630EB">
            <w:pPr>
              <w:rPr>
                <w:sz w:val="16"/>
                <w:szCs w:val="16"/>
              </w:rPr>
            </w:pPr>
          </w:p>
        </w:tc>
        <w:tc>
          <w:tcPr>
            <w:tcW w:w="8280" w:type="dxa"/>
          </w:tcPr>
          <w:p w14:paraId="40CDD6AA" w14:textId="77777777" w:rsidR="00D507AF" w:rsidRPr="006630EB" w:rsidRDefault="00D507AF" w:rsidP="006630EB">
            <w:pPr>
              <w:rPr>
                <w:sz w:val="16"/>
                <w:szCs w:val="16"/>
              </w:rPr>
            </w:pPr>
            <w:r w:rsidRPr="006630EB">
              <w:rPr>
                <w:sz w:val="16"/>
                <w:szCs w:val="16"/>
              </w:rPr>
              <w:t>Cell F13 says ‘2015’ – this should be ‘2016’</w:t>
            </w:r>
          </w:p>
        </w:tc>
        <w:tc>
          <w:tcPr>
            <w:tcW w:w="4677" w:type="dxa"/>
          </w:tcPr>
          <w:p w14:paraId="33B0FD4B" w14:textId="77777777" w:rsidR="00D507AF" w:rsidRPr="006630EB" w:rsidRDefault="00D507AF" w:rsidP="006630EB">
            <w:pPr>
              <w:rPr>
                <w:sz w:val="16"/>
                <w:szCs w:val="16"/>
              </w:rPr>
            </w:pPr>
            <w:r w:rsidRPr="006630EB">
              <w:rPr>
                <w:sz w:val="16"/>
                <w:szCs w:val="16"/>
              </w:rPr>
              <w:t>Changed</w:t>
            </w:r>
          </w:p>
        </w:tc>
      </w:tr>
      <w:tr w:rsidR="00D507AF" w:rsidRPr="006630EB" w14:paraId="7A392353" w14:textId="77777777" w:rsidTr="00D507AF">
        <w:tc>
          <w:tcPr>
            <w:tcW w:w="1539" w:type="dxa"/>
            <w:vMerge w:val="restart"/>
            <w:textDirection w:val="btLr"/>
          </w:tcPr>
          <w:p w14:paraId="07763AA3" w14:textId="77777777" w:rsidR="00D507AF" w:rsidRPr="006630EB" w:rsidRDefault="00D507AF" w:rsidP="001F642B">
            <w:pPr>
              <w:ind w:left="113" w:right="113"/>
              <w:jc w:val="center"/>
              <w:rPr>
                <w:sz w:val="16"/>
                <w:szCs w:val="16"/>
              </w:rPr>
            </w:pPr>
            <w:r w:rsidRPr="006630EB">
              <w:rPr>
                <w:b/>
                <w:sz w:val="16"/>
                <w:szCs w:val="16"/>
              </w:rPr>
              <w:t>National Grid Gas distribution</w:t>
            </w:r>
          </w:p>
        </w:tc>
        <w:tc>
          <w:tcPr>
            <w:tcW w:w="955" w:type="dxa"/>
          </w:tcPr>
          <w:p w14:paraId="5DB434A3" w14:textId="77777777" w:rsidR="00D507AF" w:rsidRPr="006630EB" w:rsidRDefault="00D507AF" w:rsidP="006630EB">
            <w:pPr>
              <w:rPr>
                <w:sz w:val="16"/>
                <w:szCs w:val="16"/>
              </w:rPr>
            </w:pPr>
            <w:r w:rsidRPr="006630EB">
              <w:rPr>
                <w:sz w:val="16"/>
                <w:szCs w:val="16"/>
              </w:rPr>
              <w:t>1.6</w:t>
            </w:r>
          </w:p>
          <w:p w14:paraId="65543E9C" w14:textId="77777777" w:rsidR="00D507AF" w:rsidRPr="006630EB" w:rsidRDefault="00D507AF" w:rsidP="006630EB">
            <w:pPr>
              <w:rPr>
                <w:sz w:val="16"/>
                <w:szCs w:val="16"/>
              </w:rPr>
            </w:pPr>
          </w:p>
        </w:tc>
        <w:tc>
          <w:tcPr>
            <w:tcW w:w="8280" w:type="dxa"/>
          </w:tcPr>
          <w:p w14:paraId="6BF2C800" w14:textId="77777777" w:rsidR="00D507AF" w:rsidRPr="006630EB" w:rsidRDefault="00D507AF" w:rsidP="006630EB">
            <w:pPr>
              <w:rPr>
                <w:sz w:val="16"/>
                <w:szCs w:val="16"/>
              </w:rPr>
            </w:pPr>
            <w:r w:rsidRPr="006630EB">
              <w:rPr>
                <w:sz w:val="16"/>
                <w:szCs w:val="16"/>
              </w:rPr>
              <w:t xml:space="preserve">The “Former use of site/land” cells are now grey and appear to contain profit and loss calculations. It is unclear whether </w:t>
            </w:r>
            <w:proofErr w:type="spellStart"/>
            <w:r w:rsidRPr="006630EB">
              <w:rPr>
                <w:sz w:val="16"/>
                <w:szCs w:val="16"/>
              </w:rPr>
              <w:t>Ofgem</w:t>
            </w:r>
            <w:proofErr w:type="spellEnd"/>
            <w:r w:rsidRPr="006630EB">
              <w:rPr>
                <w:sz w:val="16"/>
                <w:szCs w:val="16"/>
              </w:rPr>
              <w:t xml:space="preserve"> still require the former use of site/land as there is no column to put this information now.</w:t>
            </w:r>
          </w:p>
          <w:p w14:paraId="5BEFA654" w14:textId="77777777" w:rsidR="00D507AF" w:rsidRPr="006630EB" w:rsidRDefault="00D507AF" w:rsidP="006630EB">
            <w:pPr>
              <w:rPr>
                <w:sz w:val="16"/>
                <w:szCs w:val="16"/>
              </w:rPr>
            </w:pPr>
            <w:r w:rsidRPr="006630EB">
              <w:rPr>
                <w:sz w:val="16"/>
                <w:szCs w:val="16"/>
              </w:rPr>
              <w:t>The profit and loss calculations mentioned here require a title, and perhaps a reference in the RIGs.</w:t>
            </w:r>
          </w:p>
          <w:p w14:paraId="58DEAFEB" w14:textId="77777777" w:rsidR="00D507AF" w:rsidRPr="006630EB" w:rsidRDefault="00D507AF" w:rsidP="006630EB">
            <w:pPr>
              <w:rPr>
                <w:sz w:val="16"/>
                <w:szCs w:val="16"/>
              </w:rPr>
            </w:pPr>
            <w:r w:rsidRPr="006630EB">
              <w:rPr>
                <w:sz w:val="16"/>
                <w:szCs w:val="16"/>
              </w:rPr>
              <w:t>Columns C and D are now yellow, but do not have a heading – presumably this would be cost and accumulated depreciation as the totals link through to the top table. Furthermore if they are linked and contain formula shouldn't the cells be grey because they require no input?</w:t>
            </w:r>
          </w:p>
          <w:p w14:paraId="13CCC7F3" w14:textId="77777777" w:rsidR="00D507AF" w:rsidRPr="006630EB" w:rsidRDefault="00D507AF" w:rsidP="006630EB">
            <w:pPr>
              <w:rPr>
                <w:sz w:val="16"/>
                <w:szCs w:val="16"/>
              </w:rPr>
            </w:pPr>
          </w:p>
        </w:tc>
        <w:tc>
          <w:tcPr>
            <w:tcW w:w="4677" w:type="dxa"/>
          </w:tcPr>
          <w:p w14:paraId="321F6A2E" w14:textId="77777777" w:rsidR="00D507AF" w:rsidRPr="006630EB" w:rsidRDefault="00D507AF" w:rsidP="006630EB">
            <w:pPr>
              <w:rPr>
                <w:sz w:val="16"/>
                <w:szCs w:val="16"/>
              </w:rPr>
            </w:pPr>
            <w:r w:rsidRPr="006630EB">
              <w:rPr>
                <w:sz w:val="16"/>
                <w:szCs w:val="16"/>
              </w:rPr>
              <w:t>Removed the following cells from sub-table on table 1.6: C28:C46, D28:D46 and amended J28:J46. Changed cells C15 and D15 from linked cells back to input cells as per Change Log (Row 138)</w:t>
            </w:r>
          </w:p>
        </w:tc>
      </w:tr>
      <w:tr w:rsidR="00D507AF" w:rsidRPr="006630EB" w14:paraId="4F6DFFB7" w14:textId="77777777" w:rsidTr="00D507AF">
        <w:tc>
          <w:tcPr>
            <w:tcW w:w="1539" w:type="dxa"/>
            <w:vMerge/>
          </w:tcPr>
          <w:p w14:paraId="7D0D2554" w14:textId="77777777" w:rsidR="00D507AF" w:rsidRPr="006630EB" w:rsidRDefault="00D507AF" w:rsidP="006630EB">
            <w:pPr>
              <w:rPr>
                <w:sz w:val="16"/>
                <w:szCs w:val="16"/>
              </w:rPr>
            </w:pPr>
          </w:p>
        </w:tc>
        <w:tc>
          <w:tcPr>
            <w:tcW w:w="955" w:type="dxa"/>
          </w:tcPr>
          <w:p w14:paraId="7C5E0338" w14:textId="77777777" w:rsidR="00D507AF" w:rsidRPr="006630EB" w:rsidRDefault="00D507AF" w:rsidP="006630EB">
            <w:pPr>
              <w:rPr>
                <w:sz w:val="16"/>
                <w:szCs w:val="16"/>
              </w:rPr>
            </w:pPr>
            <w:r w:rsidRPr="006630EB">
              <w:rPr>
                <w:sz w:val="16"/>
                <w:szCs w:val="16"/>
              </w:rPr>
              <w:t>1.10</w:t>
            </w:r>
          </w:p>
          <w:p w14:paraId="3DAE775A" w14:textId="77777777" w:rsidR="00D507AF" w:rsidRPr="006630EB" w:rsidRDefault="00D507AF" w:rsidP="006630EB">
            <w:pPr>
              <w:rPr>
                <w:sz w:val="16"/>
                <w:szCs w:val="16"/>
              </w:rPr>
            </w:pPr>
          </w:p>
        </w:tc>
        <w:tc>
          <w:tcPr>
            <w:tcW w:w="8280" w:type="dxa"/>
          </w:tcPr>
          <w:p w14:paraId="692582D9" w14:textId="77777777" w:rsidR="00D507AF" w:rsidRPr="006630EB" w:rsidRDefault="00D507AF" w:rsidP="006630EB">
            <w:pPr>
              <w:rPr>
                <w:sz w:val="16"/>
                <w:szCs w:val="16"/>
              </w:rPr>
            </w:pPr>
            <w:r w:rsidRPr="006630EB">
              <w:rPr>
                <w:sz w:val="16"/>
                <w:szCs w:val="16"/>
              </w:rPr>
              <w:t>The formulas from row 94 to row 117 do not seem to be correct for</w:t>
            </w:r>
          </w:p>
          <w:p w14:paraId="5F199FCA" w14:textId="77777777" w:rsidR="00D507AF" w:rsidRPr="006630EB" w:rsidRDefault="00D507AF" w:rsidP="006630EB">
            <w:pPr>
              <w:rPr>
                <w:sz w:val="16"/>
                <w:szCs w:val="16"/>
              </w:rPr>
            </w:pPr>
            <w:r w:rsidRPr="006630EB">
              <w:rPr>
                <w:sz w:val="16"/>
                <w:szCs w:val="16"/>
              </w:rPr>
              <w:t>example, cell 94 contains the formula:</w:t>
            </w:r>
          </w:p>
          <w:p w14:paraId="7513E3DE" w14:textId="77777777" w:rsidR="00D507AF" w:rsidRPr="006630EB" w:rsidRDefault="00D507AF" w:rsidP="006630EB">
            <w:pPr>
              <w:rPr>
                <w:sz w:val="16"/>
                <w:szCs w:val="16"/>
              </w:rPr>
            </w:pPr>
            <w:r w:rsidRPr="006630EB">
              <w:rPr>
                <w:sz w:val="16"/>
                <w:szCs w:val="16"/>
              </w:rPr>
              <w:t>=IF((D$19+D$27)&gt;0,(D15+D23)/(D$20+D$28),0)</w:t>
            </w:r>
          </w:p>
          <w:p w14:paraId="1719B389" w14:textId="77777777" w:rsidR="00D507AF" w:rsidRPr="006630EB" w:rsidRDefault="00D507AF" w:rsidP="006630EB">
            <w:pPr>
              <w:rPr>
                <w:sz w:val="16"/>
                <w:szCs w:val="16"/>
              </w:rPr>
            </w:pPr>
            <w:r w:rsidRPr="006630EB">
              <w:rPr>
                <w:sz w:val="16"/>
                <w:szCs w:val="16"/>
              </w:rPr>
              <w:t>The figures highlighted in red should be changed to the following:</w:t>
            </w:r>
          </w:p>
          <w:p w14:paraId="50095A39" w14:textId="77777777" w:rsidR="00D507AF" w:rsidRPr="006630EB" w:rsidRDefault="00D507AF" w:rsidP="006630EB">
            <w:pPr>
              <w:rPr>
                <w:sz w:val="16"/>
                <w:szCs w:val="16"/>
              </w:rPr>
            </w:pPr>
            <w:r w:rsidRPr="006630EB">
              <w:rPr>
                <w:sz w:val="16"/>
                <w:szCs w:val="16"/>
              </w:rPr>
              <w:t>=IF((D$20+D$28)&gt;0,(D15+D23)/(D$20+D$28),0)</w:t>
            </w:r>
          </w:p>
          <w:p w14:paraId="1E525DA1" w14:textId="77777777" w:rsidR="00D507AF" w:rsidRPr="006630EB" w:rsidRDefault="00D507AF" w:rsidP="006630EB">
            <w:pPr>
              <w:rPr>
                <w:sz w:val="16"/>
                <w:szCs w:val="16"/>
              </w:rPr>
            </w:pPr>
            <w:r w:rsidRPr="006630EB">
              <w:rPr>
                <w:sz w:val="16"/>
                <w:szCs w:val="16"/>
              </w:rPr>
              <w:t>The same issue applies to all affected rows.</w:t>
            </w:r>
          </w:p>
          <w:p w14:paraId="11D7132D" w14:textId="77777777" w:rsidR="00D507AF" w:rsidRPr="006630EB" w:rsidRDefault="00D507AF" w:rsidP="006630EB">
            <w:pPr>
              <w:rPr>
                <w:sz w:val="16"/>
                <w:szCs w:val="16"/>
              </w:rPr>
            </w:pPr>
          </w:p>
        </w:tc>
        <w:tc>
          <w:tcPr>
            <w:tcW w:w="4677" w:type="dxa"/>
          </w:tcPr>
          <w:p w14:paraId="0307705B" w14:textId="77777777" w:rsidR="00D507AF" w:rsidRPr="006630EB" w:rsidRDefault="00D507AF" w:rsidP="006630EB">
            <w:pPr>
              <w:rPr>
                <w:sz w:val="16"/>
                <w:szCs w:val="16"/>
              </w:rPr>
            </w:pPr>
            <w:r w:rsidRPr="006630EB">
              <w:rPr>
                <w:sz w:val="16"/>
                <w:szCs w:val="16"/>
              </w:rPr>
              <w:t xml:space="preserve">Corrected </w:t>
            </w:r>
          </w:p>
        </w:tc>
      </w:tr>
      <w:tr w:rsidR="00D507AF" w:rsidRPr="006630EB" w14:paraId="1692D3B9" w14:textId="77777777" w:rsidTr="00D507AF">
        <w:tc>
          <w:tcPr>
            <w:tcW w:w="1539" w:type="dxa"/>
            <w:vMerge/>
          </w:tcPr>
          <w:p w14:paraId="49F7F336" w14:textId="77777777" w:rsidR="00D507AF" w:rsidRPr="006630EB" w:rsidRDefault="00D507AF" w:rsidP="006630EB">
            <w:pPr>
              <w:rPr>
                <w:sz w:val="16"/>
                <w:szCs w:val="16"/>
              </w:rPr>
            </w:pPr>
          </w:p>
        </w:tc>
        <w:tc>
          <w:tcPr>
            <w:tcW w:w="955" w:type="dxa"/>
          </w:tcPr>
          <w:p w14:paraId="483A4665" w14:textId="77777777" w:rsidR="00D507AF" w:rsidRPr="006630EB" w:rsidRDefault="00D507AF" w:rsidP="006630EB">
            <w:pPr>
              <w:rPr>
                <w:sz w:val="16"/>
                <w:szCs w:val="16"/>
              </w:rPr>
            </w:pPr>
            <w:r w:rsidRPr="006630EB">
              <w:rPr>
                <w:sz w:val="16"/>
                <w:szCs w:val="16"/>
              </w:rPr>
              <w:t>1.13</w:t>
            </w:r>
          </w:p>
        </w:tc>
        <w:tc>
          <w:tcPr>
            <w:tcW w:w="8280" w:type="dxa"/>
          </w:tcPr>
          <w:p w14:paraId="7EAB5A1E" w14:textId="77777777" w:rsidR="00D507AF" w:rsidRPr="006630EB" w:rsidRDefault="00D507AF" w:rsidP="006630EB">
            <w:pPr>
              <w:rPr>
                <w:sz w:val="16"/>
                <w:szCs w:val="16"/>
              </w:rPr>
            </w:pPr>
            <w:r w:rsidRPr="006630EB">
              <w:rPr>
                <w:sz w:val="16"/>
                <w:szCs w:val="16"/>
              </w:rPr>
              <w:t>Table 1.13 – cell E12 says ‘2015’ – this should be ‘2016’</w:t>
            </w:r>
          </w:p>
        </w:tc>
        <w:tc>
          <w:tcPr>
            <w:tcW w:w="4677" w:type="dxa"/>
          </w:tcPr>
          <w:p w14:paraId="0EAD3167" w14:textId="77777777" w:rsidR="00D507AF" w:rsidRPr="006630EB" w:rsidRDefault="00D507AF" w:rsidP="006630EB">
            <w:pPr>
              <w:rPr>
                <w:sz w:val="16"/>
                <w:szCs w:val="16"/>
              </w:rPr>
            </w:pPr>
            <w:r w:rsidRPr="006630EB">
              <w:rPr>
                <w:sz w:val="16"/>
                <w:szCs w:val="16"/>
              </w:rPr>
              <w:t>Changed</w:t>
            </w:r>
          </w:p>
          <w:p w14:paraId="254D03AD" w14:textId="77777777" w:rsidR="00D507AF" w:rsidRPr="006630EB" w:rsidRDefault="00D507AF" w:rsidP="006630EB">
            <w:pPr>
              <w:rPr>
                <w:sz w:val="16"/>
                <w:szCs w:val="16"/>
              </w:rPr>
            </w:pPr>
          </w:p>
        </w:tc>
      </w:tr>
      <w:tr w:rsidR="00D507AF" w:rsidRPr="006630EB" w14:paraId="2EF1D9E4" w14:textId="77777777" w:rsidTr="00D507AF">
        <w:tc>
          <w:tcPr>
            <w:tcW w:w="1539" w:type="dxa"/>
            <w:vMerge/>
          </w:tcPr>
          <w:p w14:paraId="19D12BD0" w14:textId="77777777" w:rsidR="00D507AF" w:rsidRPr="006630EB" w:rsidRDefault="00D507AF" w:rsidP="006630EB">
            <w:pPr>
              <w:rPr>
                <w:sz w:val="16"/>
                <w:szCs w:val="16"/>
              </w:rPr>
            </w:pPr>
          </w:p>
        </w:tc>
        <w:tc>
          <w:tcPr>
            <w:tcW w:w="955" w:type="dxa"/>
          </w:tcPr>
          <w:p w14:paraId="088A889B" w14:textId="77777777" w:rsidR="00D507AF" w:rsidRPr="006630EB" w:rsidRDefault="00D507AF" w:rsidP="006630EB">
            <w:pPr>
              <w:rPr>
                <w:sz w:val="16"/>
                <w:szCs w:val="16"/>
              </w:rPr>
            </w:pPr>
            <w:r w:rsidRPr="006630EB">
              <w:rPr>
                <w:sz w:val="16"/>
                <w:szCs w:val="16"/>
              </w:rPr>
              <w:t>2.2</w:t>
            </w:r>
          </w:p>
        </w:tc>
        <w:tc>
          <w:tcPr>
            <w:tcW w:w="8280" w:type="dxa"/>
          </w:tcPr>
          <w:p w14:paraId="6F379CC8" w14:textId="77777777" w:rsidR="00D507AF" w:rsidRPr="006630EB" w:rsidRDefault="00D507AF" w:rsidP="006630EB">
            <w:pPr>
              <w:rPr>
                <w:sz w:val="16"/>
                <w:szCs w:val="16"/>
              </w:rPr>
            </w:pPr>
            <w:r w:rsidRPr="006630EB">
              <w:rPr>
                <w:sz w:val="16"/>
                <w:szCs w:val="16"/>
              </w:rPr>
              <w:t>Sub-deduct allowances have changed (row 136)</w:t>
            </w:r>
            <w:proofErr w:type="gramStart"/>
            <w:r w:rsidRPr="006630EB">
              <w:rPr>
                <w:sz w:val="16"/>
                <w:szCs w:val="16"/>
              </w:rPr>
              <w:t>,</w:t>
            </w:r>
            <w:proofErr w:type="gramEnd"/>
            <w:r w:rsidRPr="006630EB">
              <w:rPr>
                <w:sz w:val="16"/>
                <w:szCs w:val="16"/>
              </w:rPr>
              <w:t xml:space="preserve"> however the reason for this is not clear.</w:t>
            </w:r>
          </w:p>
          <w:p w14:paraId="438693DA" w14:textId="77777777" w:rsidR="00D507AF" w:rsidRPr="006630EB" w:rsidRDefault="00D507AF" w:rsidP="006630EB">
            <w:pPr>
              <w:rPr>
                <w:sz w:val="16"/>
                <w:szCs w:val="16"/>
              </w:rPr>
            </w:pPr>
          </w:p>
          <w:p w14:paraId="1CE2DAF4" w14:textId="77777777" w:rsidR="00D507AF" w:rsidRPr="006630EB" w:rsidRDefault="00D507AF" w:rsidP="006630EB">
            <w:pPr>
              <w:rPr>
                <w:sz w:val="16"/>
                <w:szCs w:val="16"/>
              </w:rPr>
            </w:pPr>
          </w:p>
          <w:p w14:paraId="45F6846D" w14:textId="77777777" w:rsidR="00D507AF" w:rsidRPr="006630EB" w:rsidRDefault="00D507AF" w:rsidP="006630EB">
            <w:pPr>
              <w:rPr>
                <w:sz w:val="16"/>
                <w:szCs w:val="16"/>
              </w:rPr>
            </w:pPr>
          </w:p>
          <w:p w14:paraId="45A76512" w14:textId="77777777" w:rsidR="00D507AF" w:rsidRPr="006630EB" w:rsidRDefault="00D507AF" w:rsidP="006630EB">
            <w:pPr>
              <w:rPr>
                <w:sz w:val="16"/>
                <w:szCs w:val="16"/>
              </w:rPr>
            </w:pPr>
          </w:p>
        </w:tc>
        <w:tc>
          <w:tcPr>
            <w:tcW w:w="4677" w:type="dxa"/>
          </w:tcPr>
          <w:p w14:paraId="41DD374F" w14:textId="77777777" w:rsidR="00D507AF" w:rsidRPr="006630EB" w:rsidRDefault="00D507AF" w:rsidP="006630EB">
            <w:pPr>
              <w:rPr>
                <w:sz w:val="16"/>
                <w:szCs w:val="16"/>
              </w:rPr>
            </w:pPr>
            <w:r w:rsidRPr="006630EB">
              <w:rPr>
                <w:sz w:val="16"/>
                <w:szCs w:val="16"/>
              </w:rPr>
              <w:t>This should be consistent with what was reported last year. Changed to with link to row 177 with 2015/16 price adjustment.</w:t>
            </w:r>
          </w:p>
          <w:p w14:paraId="5E9FAE62" w14:textId="77777777" w:rsidR="00D507AF" w:rsidRPr="006630EB" w:rsidRDefault="00D507AF" w:rsidP="006630EB">
            <w:pPr>
              <w:rPr>
                <w:sz w:val="16"/>
                <w:szCs w:val="16"/>
              </w:rPr>
            </w:pPr>
          </w:p>
        </w:tc>
      </w:tr>
      <w:tr w:rsidR="00D507AF" w:rsidRPr="006630EB" w14:paraId="1FF63289" w14:textId="77777777" w:rsidTr="00D507AF">
        <w:tc>
          <w:tcPr>
            <w:tcW w:w="1539" w:type="dxa"/>
            <w:vMerge/>
          </w:tcPr>
          <w:p w14:paraId="0F40D613" w14:textId="77777777" w:rsidR="00D507AF" w:rsidRPr="006630EB" w:rsidRDefault="00D507AF" w:rsidP="006630EB">
            <w:pPr>
              <w:rPr>
                <w:sz w:val="16"/>
                <w:szCs w:val="16"/>
              </w:rPr>
            </w:pPr>
          </w:p>
        </w:tc>
        <w:tc>
          <w:tcPr>
            <w:tcW w:w="955" w:type="dxa"/>
          </w:tcPr>
          <w:p w14:paraId="45614D00" w14:textId="77777777" w:rsidR="00D507AF" w:rsidRPr="006630EB" w:rsidRDefault="00D507AF" w:rsidP="006630EB">
            <w:pPr>
              <w:rPr>
                <w:sz w:val="16"/>
                <w:szCs w:val="16"/>
              </w:rPr>
            </w:pPr>
            <w:r w:rsidRPr="006630EB">
              <w:rPr>
                <w:sz w:val="16"/>
                <w:szCs w:val="16"/>
              </w:rPr>
              <w:t>2.2</w:t>
            </w:r>
          </w:p>
        </w:tc>
        <w:tc>
          <w:tcPr>
            <w:tcW w:w="8280" w:type="dxa"/>
          </w:tcPr>
          <w:p w14:paraId="40D3D862" w14:textId="77777777" w:rsidR="00D507AF" w:rsidRPr="006630EB" w:rsidRDefault="00D507AF" w:rsidP="006630EB">
            <w:pPr>
              <w:rPr>
                <w:sz w:val="16"/>
                <w:szCs w:val="16"/>
              </w:rPr>
            </w:pPr>
            <w:r w:rsidRPr="006630EB">
              <w:rPr>
                <w:sz w:val="16"/>
                <w:szCs w:val="16"/>
              </w:rPr>
              <w:t>There is a miss-calculation in respect of Non-HSE driven mains &amp; services in</w:t>
            </w:r>
          </w:p>
          <w:p w14:paraId="332787E0" w14:textId="0E946D73" w:rsidR="00D507AF" w:rsidRPr="006630EB" w:rsidRDefault="00D507AF" w:rsidP="006630EB">
            <w:pPr>
              <w:rPr>
                <w:sz w:val="16"/>
                <w:szCs w:val="16"/>
              </w:rPr>
            </w:pPr>
            <w:r w:rsidRPr="006630EB">
              <w:rPr>
                <w:sz w:val="16"/>
                <w:szCs w:val="16"/>
              </w:rPr>
              <w:t>2014/15 where the numbers don’t match once RPI has been included.</w:t>
            </w:r>
          </w:p>
          <w:p w14:paraId="00916E98" w14:textId="77777777" w:rsidR="00D507AF" w:rsidRPr="006630EB" w:rsidRDefault="00D507AF" w:rsidP="006630EB">
            <w:pPr>
              <w:rPr>
                <w:sz w:val="16"/>
                <w:szCs w:val="16"/>
              </w:rPr>
            </w:pPr>
            <w:r w:rsidRPr="006630EB">
              <w:rPr>
                <w:sz w:val="16"/>
                <w:szCs w:val="16"/>
              </w:rPr>
              <w:t>We struggled to match the previous year forecasts to 2015/16 and could not trace the RPI factor. Last year they matched, this year they do not. We believe the value of 259.4 should be 260.0</w:t>
            </w:r>
          </w:p>
        </w:tc>
        <w:tc>
          <w:tcPr>
            <w:tcW w:w="4677" w:type="dxa"/>
          </w:tcPr>
          <w:p w14:paraId="664C80CD" w14:textId="77777777" w:rsidR="00D507AF" w:rsidRPr="006630EB" w:rsidRDefault="00D507AF" w:rsidP="006630EB">
            <w:pPr>
              <w:rPr>
                <w:sz w:val="16"/>
                <w:szCs w:val="16"/>
              </w:rPr>
            </w:pPr>
            <w:r w:rsidRPr="006630EB">
              <w:rPr>
                <w:sz w:val="16"/>
                <w:szCs w:val="16"/>
              </w:rPr>
              <w:t>The RPI we have used is correct at 259.4. NGGD refer to February RPI in diagram, not the financial year average RPI. No change required.</w:t>
            </w:r>
          </w:p>
        </w:tc>
      </w:tr>
      <w:tr w:rsidR="00D507AF" w:rsidRPr="006630EB" w14:paraId="610E7E77" w14:textId="77777777" w:rsidTr="00D507AF">
        <w:tc>
          <w:tcPr>
            <w:tcW w:w="1539" w:type="dxa"/>
            <w:vMerge/>
          </w:tcPr>
          <w:p w14:paraId="42FD6C97" w14:textId="77777777" w:rsidR="00D507AF" w:rsidRPr="006630EB" w:rsidRDefault="00D507AF" w:rsidP="006630EB">
            <w:pPr>
              <w:rPr>
                <w:sz w:val="16"/>
                <w:szCs w:val="16"/>
              </w:rPr>
            </w:pPr>
          </w:p>
        </w:tc>
        <w:tc>
          <w:tcPr>
            <w:tcW w:w="955" w:type="dxa"/>
          </w:tcPr>
          <w:p w14:paraId="0F3BA6E3" w14:textId="77777777" w:rsidR="00D507AF" w:rsidRPr="006630EB" w:rsidRDefault="00D507AF" w:rsidP="006630EB">
            <w:pPr>
              <w:rPr>
                <w:sz w:val="16"/>
                <w:szCs w:val="16"/>
              </w:rPr>
            </w:pPr>
            <w:r w:rsidRPr="006630EB">
              <w:rPr>
                <w:sz w:val="16"/>
                <w:szCs w:val="16"/>
              </w:rPr>
              <w:t>2.3</w:t>
            </w:r>
          </w:p>
        </w:tc>
        <w:tc>
          <w:tcPr>
            <w:tcW w:w="8280" w:type="dxa"/>
          </w:tcPr>
          <w:p w14:paraId="7E7E179F" w14:textId="77777777" w:rsidR="00D507AF" w:rsidRPr="006630EB" w:rsidRDefault="00D507AF" w:rsidP="006630EB">
            <w:pPr>
              <w:rPr>
                <w:sz w:val="16"/>
                <w:szCs w:val="16"/>
              </w:rPr>
            </w:pPr>
            <w:r w:rsidRPr="006630EB">
              <w:rPr>
                <w:sz w:val="16"/>
                <w:szCs w:val="16"/>
              </w:rPr>
              <w:t>Governor intervention formulae have been reset; this is noted in change log, however the previous year’s forecast – on row 54 – has just that submitted under last year’s RRP request and not the updated classification that was requested in a later supplementary question.</w:t>
            </w:r>
          </w:p>
          <w:p w14:paraId="465D21B4" w14:textId="77777777" w:rsidR="00D507AF" w:rsidRPr="006630EB" w:rsidRDefault="00D507AF" w:rsidP="006630EB">
            <w:pPr>
              <w:rPr>
                <w:sz w:val="16"/>
                <w:szCs w:val="16"/>
              </w:rPr>
            </w:pPr>
            <w:r w:rsidRPr="006630EB">
              <w:rPr>
                <w:sz w:val="16"/>
                <w:szCs w:val="16"/>
              </w:rPr>
              <w:t>The table needs to have the answer we provided in respect of the</w:t>
            </w:r>
          </w:p>
          <w:p w14:paraId="5C43564B" w14:textId="77777777" w:rsidR="00D507AF" w:rsidRPr="006630EB" w:rsidRDefault="00D507AF" w:rsidP="006630EB">
            <w:pPr>
              <w:rPr>
                <w:sz w:val="16"/>
                <w:szCs w:val="16"/>
              </w:rPr>
            </w:pPr>
            <w:r w:rsidRPr="006630EB">
              <w:rPr>
                <w:sz w:val="16"/>
                <w:szCs w:val="16"/>
              </w:rPr>
              <w:t>Supplementary Question put in.</w:t>
            </w:r>
          </w:p>
          <w:p w14:paraId="7DE2C270" w14:textId="77777777" w:rsidR="00D507AF" w:rsidRPr="006630EB" w:rsidRDefault="00D507AF" w:rsidP="006630EB">
            <w:pPr>
              <w:rPr>
                <w:sz w:val="16"/>
                <w:szCs w:val="16"/>
              </w:rPr>
            </w:pPr>
          </w:p>
        </w:tc>
        <w:tc>
          <w:tcPr>
            <w:tcW w:w="4677" w:type="dxa"/>
          </w:tcPr>
          <w:p w14:paraId="7F4A50E6" w14:textId="77777777" w:rsidR="00D507AF" w:rsidRPr="006630EB" w:rsidRDefault="00D507AF" w:rsidP="006630EB">
            <w:pPr>
              <w:rPr>
                <w:sz w:val="16"/>
                <w:szCs w:val="16"/>
              </w:rPr>
            </w:pPr>
            <w:r w:rsidRPr="006630EB">
              <w:rPr>
                <w:sz w:val="16"/>
                <w:szCs w:val="16"/>
              </w:rPr>
              <w:t>Forecast for previous 2 years won’t be written over with response to SQ but actuals for 2014 and 2015 will be incorporated.</w:t>
            </w:r>
          </w:p>
        </w:tc>
      </w:tr>
      <w:tr w:rsidR="00D507AF" w:rsidRPr="006630EB" w14:paraId="61CF7C36" w14:textId="77777777" w:rsidTr="00D507AF">
        <w:tc>
          <w:tcPr>
            <w:tcW w:w="1539" w:type="dxa"/>
            <w:vMerge/>
          </w:tcPr>
          <w:p w14:paraId="04167F44" w14:textId="77777777" w:rsidR="00D507AF" w:rsidRPr="006630EB" w:rsidRDefault="00D507AF" w:rsidP="006630EB">
            <w:pPr>
              <w:rPr>
                <w:sz w:val="16"/>
                <w:szCs w:val="16"/>
              </w:rPr>
            </w:pPr>
          </w:p>
        </w:tc>
        <w:tc>
          <w:tcPr>
            <w:tcW w:w="955" w:type="dxa"/>
          </w:tcPr>
          <w:p w14:paraId="6E1CF39F" w14:textId="77777777" w:rsidR="00D507AF" w:rsidRPr="006630EB" w:rsidRDefault="00D507AF" w:rsidP="006630EB">
            <w:pPr>
              <w:rPr>
                <w:sz w:val="16"/>
                <w:szCs w:val="16"/>
              </w:rPr>
            </w:pPr>
            <w:r w:rsidRPr="006630EB">
              <w:rPr>
                <w:sz w:val="16"/>
                <w:szCs w:val="16"/>
              </w:rPr>
              <w:t>2.4</w:t>
            </w:r>
          </w:p>
        </w:tc>
        <w:tc>
          <w:tcPr>
            <w:tcW w:w="8280" w:type="dxa"/>
          </w:tcPr>
          <w:p w14:paraId="67BB0322" w14:textId="77777777" w:rsidR="00D507AF" w:rsidRPr="006630EB" w:rsidRDefault="00D507AF" w:rsidP="006630EB">
            <w:pPr>
              <w:rPr>
                <w:sz w:val="16"/>
                <w:szCs w:val="16"/>
              </w:rPr>
            </w:pPr>
            <w:r w:rsidRPr="006630EB">
              <w:rPr>
                <w:sz w:val="16"/>
                <w:szCs w:val="16"/>
              </w:rPr>
              <w:t>The formula in cell C15 is now incorrect. It ought to contain the formula</w:t>
            </w:r>
          </w:p>
          <w:p w14:paraId="0C74309B" w14:textId="77777777" w:rsidR="00D507AF" w:rsidRPr="006630EB" w:rsidRDefault="00D507AF" w:rsidP="006630EB">
            <w:pPr>
              <w:rPr>
                <w:sz w:val="16"/>
                <w:szCs w:val="16"/>
              </w:rPr>
            </w:pPr>
            <w:r w:rsidRPr="006630EB">
              <w:rPr>
                <w:sz w:val="16"/>
                <w:szCs w:val="16"/>
              </w:rPr>
              <w:t>=B15+C13 as it did last year however in the new version it shows only as</w:t>
            </w:r>
          </w:p>
          <w:p w14:paraId="6EE82E41" w14:textId="77777777" w:rsidR="00D507AF" w:rsidRPr="006630EB" w:rsidRDefault="00D507AF" w:rsidP="006630EB">
            <w:pPr>
              <w:rPr>
                <w:sz w:val="16"/>
                <w:szCs w:val="16"/>
              </w:rPr>
            </w:pPr>
            <w:r w:rsidRPr="006630EB">
              <w:rPr>
                <w:sz w:val="16"/>
                <w:szCs w:val="16"/>
              </w:rPr>
              <w:t>=C13.</w:t>
            </w:r>
          </w:p>
          <w:p w14:paraId="60796A72" w14:textId="77777777" w:rsidR="00D507AF" w:rsidRPr="006630EB" w:rsidRDefault="00D507AF" w:rsidP="006630EB">
            <w:pPr>
              <w:rPr>
                <w:sz w:val="16"/>
                <w:szCs w:val="16"/>
              </w:rPr>
            </w:pPr>
          </w:p>
        </w:tc>
        <w:tc>
          <w:tcPr>
            <w:tcW w:w="4677" w:type="dxa"/>
          </w:tcPr>
          <w:p w14:paraId="2CF583D6" w14:textId="77777777" w:rsidR="00D507AF" w:rsidRPr="006630EB" w:rsidRDefault="00D507AF" w:rsidP="006630EB">
            <w:pPr>
              <w:rPr>
                <w:sz w:val="16"/>
                <w:szCs w:val="16"/>
              </w:rPr>
            </w:pPr>
            <w:r w:rsidRPr="006630EB">
              <w:rPr>
                <w:sz w:val="16"/>
                <w:szCs w:val="16"/>
              </w:rPr>
              <w:t>Changed as suggested</w:t>
            </w:r>
          </w:p>
        </w:tc>
      </w:tr>
      <w:tr w:rsidR="00D507AF" w:rsidRPr="006630EB" w14:paraId="248D742B" w14:textId="77777777" w:rsidTr="00D507AF">
        <w:tc>
          <w:tcPr>
            <w:tcW w:w="1539" w:type="dxa"/>
            <w:vMerge/>
          </w:tcPr>
          <w:p w14:paraId="6FDD0ACA" w14:textId="77777777" w:rsidR="00D507AF" w:rsidRPr="006630EB" w:rsidRDefault="00D507AF" w:rsidP="006630EB">
            <w:pPr>
              <w:rPr>
                <w:sz w:val="16"/>
                <w:szCs w:val="16"/>
              </w:rPr>
            </w:pPr>
          </w:p>
        </w:tc>
        <w:tc>
          <w:tcPr>
            <w:tcW w:w="955" w:type="dxa"/>
          </w:tcPr>
          <w:p w14:paraId="0DF3EC29" w14:textId="77777777" w:rsidR="00D507AF" w:rsidRPr="006630EB" w:rsidRDefault="00D507AF" w:rsidP="006630EB">
            <w:pPr>
              <w:rPr>
                <w:sz w:val="16"/>
                <w:szCs w:val="16"/>
              </w:rPr>
            </w:pPr>
            <w:r w:rsidRPr="006630EB">
              <w:rPr>
                <w:sz w:val="16"/>
                <w:szCs w:val="16"/>
              </w:rPr>
              <w:t>2.4</w:t>
            </w:r>
          </w:p>
        </w:tc>
        <w:tc>
          <w:tcPr>
            <w:tcW w:w="8280" w:type="dxa"/>
          </w:tcPr>
          <w:p w14:paraId="61B78F46" w14:textId="77777777" w:rsidR="00D507AF" w:rsidRPr="006630EB" w:rsidRDefault="00D507AF" w:rsidP="006630EB">
            <w:pPr>
              <w:rPr>
                <w:sz w:val="16"/>
                <w:szCs w:val="16"/>
              </w:rPr>
            </w:pPr>
            <w:r w:rsidRPr="006630EB">
              <w:rPr>
                <w:sz w:val="16"/>
                <w:szCs w:val="16"/>
              </w:rPr>
              <w:t xml:space="preserve">For Cell B24, in our final submission for last year (East of England) the cell had the sum =B22-B23 but in the new version there is no calculation. This is repeated across the cells for the whole period. </w:t>
            </w:r>
          </w:p>
          <w:p w14:paraId="5A005AFA" w14:textId="77777777" w:rsidR="00D507AF" w:rsidRPr="006630EB" w:rsidRDefault="00D507AF" w:rsidP="006630EB">
            <w:pPr>
              <w:rPr>
                <w:sz w:val="16"/>
                <w:szCs w:val="16"/>
              </w:rPr>
            </w:pPr>
          </w:p>
          <w:p w14:paraId="5621EF5A" w14:textId="77777777" w:rsidR="00D507AF" w:rsidRPr="006630EB" w:rsidRDefault="00D507AF" w:rsidP="006630EB">
            <w:pPr>
              <w:rPr>
                <w:sz w:val="16"/>
                <w:szCs w:val="16"/>
              </w:rPr>
            </w:pPr>
            <w:r w:rsidRPr="006630EB">
              <w:rPr>
                <w:sz w:val="16"/>
                <w:szCs w:val="16"/>
              </w:rPr>
              <w:t>For cell B25, in our final submission for last year the cell had the sum =B23 but in the new version there are no calculations. This is repeated across the cells for the whole period so for C25 – I25. It needs the sum =B25+C23</w:t>
            </w:r>
          </w:p>
          <w:p w14:paraId="5AAF0DE6" w14:textId="77777777" w:rsidR="00D507AF" w:rsidRPr="006630EB" w:rsidRDefault="00D507AF" w:rsidP="006630EB">
            <w:pPr>
              <w:rPr>
                <w:sz w:val="16"/>
                <w:szCs w:val="16"/>
              </w:rPr>
            </w:pPr>
          </w:p>
        </w:tc>
        <w:tc>
          <w:tcPr>
            <w:tcW w:w="4677" w:type="dxa"/>
          </w:tcPr>
          <w:p w14:paraId="08B50BAC" w14:textId="77777777" w:rsidR="00D507AF" w:rsidRPr="006630EB" w:rsidRDefault="00D507AF" w:rsidP="006630EB">
            <w:pPr>
              <w:rPr>
                <w:sz w:val="16"/>
                <w:szCs w:val="16"/>
              </w:rPr>
            </w:pPr>
            <w:r w:rsidRPr="006630EB">
              <w:rPr>
                <w:sz w:val="16"/>
                <w:szCs w:val="16"/>
              </w:rPr>
              <w:t>Changed for consistency- there was no formula as this refers back to the previous year’s RRP.</w:t>
            </w:r>
          </w:p>
        </w:tc>
      </w:tr>
      <w:tr w:rsidR="00D507AF" w:rsidRPr="006630EB" w14:paraId="0CAC4448" w14:textId="77777777" w:rsidTr="00D507AF">
        <w:tc>
          <w:tcPr>
            <w:tcW w:w="1539" w:type="dxa"/>
            <w:vMerge/>
          </w:tcPr>
          <w:p w14:paraId="61AE4F50" w14:textId="77777777" w:rsidR="00D507AF" w:rsidRPr="006630EB" w:rsidRDefault="00D507AF" w:rsidP="006630EB">
            <w:pPr>
              <w:rPr>
                <w:sz w:val="16"/>
                <w:szCs w:val="16"/>
              </w:rPr>
            </w:pPr>
          </w:p>
        </w:tc>
        <w:tc>
          <w:tcPr>
            <w:tcW w:w="955" w:type="dxa"/>
          </w:tcPr>
          <w:p w14:paraId="7725AB04" w14:textId="77777777" w:rsidR="00D507AF" w:rsidRPr="006630EB" w:rsidRDefault="00D507AF" w:rsidP="006630EB">
            <w:pPr>
              <w:rPr>
                <w:sz w:val="16"/>
                <w:szCs w:val="16"/>
              </w:rPr>
            </w:pPr>
            <w:r w:rsidRPr="006630EB">
              <w:rPr>
                <w:sz w:val="16"/>
                <w:szCs w:val="16"/>
              </w:rPr>
              <w:t>2.4</w:t>
            </w:r>
          </w:p>
        </w:tc>
        <w:tc>
          <w:tcPr>
            <w:tcW w:w="8280" w:type="dxa"/>
          </w:tcPr>
          <w:p w14:paraId="7B1EBB6D" w14:textId="77777777" w:rsidR="00D507AF" w:rsidRPr="006630EB" w:rsidRDefault="00D507AF" w:rsidP="006630EB">
            <w:pPr>
              <w:rPr>
                <w:sz w:val="16"/>
                <w:szCs w:val="16"/>
              </w:rPr>
            </w:pPr>
            <w:r w:rsidRPr="006630EB">
              <w:rPr>
                <w:sz w:val="16"/>
                <w:szCs w:val="16"/>
              </w:rPr>
              <w:t>Cells 39 &amp; 40 in the new templates show data to 2 decimal places however</w:t>
            </w:r>
          </w:p>
          <w:p w14:paraId="650931EB" w14:textId="77777777" w:rsidR="00D507AF" w:rsidRPr="006630EB" w:rsidRDefault="00D507AF" w:rsidP="006630EB">
            <w:pPr>
              <w:rPr>
                <w:sz w:val="16"/>
                <w:szCs w:val="16"/>
              </w:rPr>
            </w:pPr>
            <w:r w:rsidRPr="006630EB">
              <w:rPr>
                <w:sz w:val="16"/>
                <w:szCs w:val="16"/>
              </w:rPr>
              <w:t>given the magnitude of these numbers (in the millions) this is a spurious</w:t>
            </w:r>
          </w:p>
          <w:p w14:paraId="2CCCDED0" w14:textId="77777777" w:rsidR="00D507AF" w:rsidRPr="006630EB" w:rsidRDefault="00D507AF" w:rsidP="006630EB">
            <w:pPr>
              <w:rPr>
                <w:sz w:val="16"/>
                <w:szCs w:val="16"/>
              </w:rPr>
            </w:pPr>
            <w:proofErr w:type="gramStart"/>
            <w:r w:rsidRPr="006630EB">
              <w:rPr>
                <w:sz w:val="16"/>
                <w:szCs w:val="16"/>
              </w:rPr>
              <w:t>degree</w:t>
            </w:r>
            <w:proofErr w:type="gramEnd"/>
            <w:r w:rsidRPr="006630EB">
              <w:rPr>
                <w:sz w:val="16"/>
                <w:szCs w:val="16"/>
              </w:rPr>
              <w:t xml:space="preserve"> of accuracy.</w:t>
            </w:r>
          </w:p>
        </w:tc>
        <w:tc>
          <w:tcPr>
            <w:tcW w:w="4677" w:type="dxa"/>
          </w:tcPr>
          <w:p w14:paraId="4A8C8E41" w14:textId="77777777" w:rsidR="00D507AF" w:rsidRPr="006630EB" w:rsidRDefault="00D507AF" w:rsidP="006630EB">
            <w:pPr>
              <w:rPr>
                <w:sz w:val="16"/>
                <w:szCs w:val="16"/>
              </w:rPr>
            </w:pPr>
            <w:r w:rsidRPr="006630EB">
              <w:rPr>
                <w:sz w:val="16"/>
                <w:szCs w:val="16"/>
              </w:rPr>
              <w:t>Changed. From this a couple of formula errors were highlighted in individual GDN templates. Some previous year links linked back to 2013/14 rather than 2014/15. This has now been updated.</w:t>
            </w:r>
          </w:p>
          <w:p w14:paraId="0D3A3267" w14:textId="77777777" w:rsidR="00D507AF" w:rsidRPr="006630EB" w:rsidRDefault="00D507AF" w:rsidP="006630EB">
            <w:pPr>
              <w:rPr>
                <w:sz w:val="16"/>
                <w:szCs w:val="16"/>
              </w:rPr>
            </w:pPr>
          </w:p>
        </w:tc>
      </w:tr>
      <w:tr w:rsidR="00D507AF" w:rsidRPr="006630EB" w14:paraId="77427908" w14:textId="77777777" w:rsidTr="00D507AF">
        <w:tc>
          <w:tcPr>
            <w:tcW w:w="1539" w:type="dxa"/>
            <w:vMerge/>
          </w:tcPr>
          <w:p w14:paraId="47C42DBC" w14:textId="77777777" w:rsidR="00D507AF" w:rsidRPr="006630EB" w:rsidRDefault="00D507AF" w:rsidP="006630EB">
            <w:pPr>
              <w:rPr>
                <w:sz w:val="16"/>
                <w:szCs w:val="16"/>
              </w:rPr>
            </w:pPr>
          </w:p>
        </w:tc>
        <w:tc>
          <w:tcPr>
            <w:tcW w:w="955" w:type="dxa"/>
          </w:tcPr>
          <w:p w14:paraId="4C1B6C3F" w14:textId="77777777" w:rsidR="00D507AF" w:rsidRPr="006630EB" w:rsidRDefault="00D507AF" w:rsidP="006630EB">
            <w:pPr>
              <w:rPr>
                <w:sz w:val="16"/>
                <w:szCs w:val="16"/>
              </w:rPr>
            </w:pPr>
            <w:r w:rsidRPr="006630EB">
              <w:rPr>
                <w:sz w:val="16"/>
                <w:szCs w:val="16"/>
              </w:rPr>
              <w:t>2.4</w:t>
            </w:r>
          </w:p>
        </w:tc>
        <w:tc>
          <w:tcPr>
            <w:tcW w:w="8280" w:type="dxa"/>
          </w:tcPr>
          <w:p w14:paraId="53149CC1" w14:textId="77777777" w:rsidR="00D507AF" w:rsidRPr="006630EB" w:rsidRDefault="00D507AF" w:rsidP="006630EB">
            <w:pPr>
              <w:rPr>
                <w:sz w:val="16"/>
                <w:szCs w:val="16"/>
              </w:rPr>
            </w:pPr>
            <w:r w:rsidRPr="006630EB">
              <w:rPr>
                <w:sz w:val="16"/>
                <w:szCs w:val="16"/>
              </w:rPr>
              <w:t>For cell L48 in the new version it is missing the calculation =B40-B48</w:t>
            </w:r>
          </w:p>
          <w:p w14:paraId="58CE7938" w14:textId="77777777" w:rsidR="00D507AF" w:rsidRPr="006630EB" w:rsidRDefault="00D507AF" w:rsidP="006630EB">
            <w:pPr>
              <w:rPr>
                <w:sz w:val="16"/>
                <w:szCs w:val="16"/>
              </w:rPr>
            </w:pPr>
            <w:r w:rsidRPr="006630EB">
              <w:rPr>
                <w:sz w:val="16"/>
                <w:szCs w:val="16"/>
              </w:rPr>
              <w:t>C82 &amp; C83 are grey but contain no data or formula.</w:t>
            </w:r>
          </w:p>
        </w:tc>
        <w:tc>
          <w:tcPr>
            <w:tcW w:w="4677" w:type="dxa"/>
          </w:tcPr>
          <w:p w14:paraId="040D42C6" w14:textId="77777777" w:rsidR="00D507AF" w:rsidRPr="006630EB" w:rsidRDefault="00D507AF" w:rsidP="006630EB">
            <w:pPr>
              <w:rPr>
                <w:sz w:val="16"/>
                <w:szCs w:val="16"/>
              </w:rPr>
            </w:pPr>
            <w:r w:rsidRPr="006630EB">
              <w:rPr>
                <w:sz w:val="16"/>
                <w:szCs w:val="16"/>
              </w:rPr>
              <w:t>L48 now contains calculation. C82 and C83 should be filled with previous year’s data.</w:t>
            </w:r>
          </w:p>
          <w:p w14:paraId="0BC748DA" w14:textId="77777777" w:rsidR="00D507AF" w:rsidRPr="006630EB" w:rsidRDefault="00D507AF" w:rsidP="006630EB">
            <w:pPr>
              <w:rPr>
                <w:sz w:val="16"/>
                <w:szCs w:val="16"/>
              </w:rPr>
            </w:pPr>
          </w:p>
        </w:tc>
      </w:tr>
      <w:tr w:rsidR="00D507AF" w:rsidRPr="006630EB" w14:paraId="5D0D6144" w14:textId="77777777" w:rsidTr="00D507AF">
        <w:tc>
          <w:tcPr>
            <w:tcW w:w="1539" w:type="dxa"/>
            <w:vMerge/>
          </w:tcPr>
          <w:p w14:paraId="4C2A1DB1" w14:textId="77777777" w:rsidR="00D507AF" w:rsidRPr="006630EB" w:rsidRDefault="00D507AF" w:rsidP="006630EB">
            <w:pPr>
              <w:rPr>
                <w:sz w:val="16"/>
                <w:szCs w:val="16"/>
              </w:rPr>
            </w:pPr>
          </w:p>
        </w:tc>
        <w:tc>
          <w:tcPr>
            <w:tcW w:w="955" w:type="dxa"/>
          </w:tcPr>
          <w:p w14:paraId="06C1FDD3" w14:textId="77777777" w:rsidR="00D507AF" w:rsidRPr="006630EB" w:rsidRDefault="00D507AF" w:rsidP="006630EB">
            <w:pPr>
              <w:rPr>
                <w:sz w:val="16"/>
                <w:szCs w:val="16"/>
              </w:rPr>
            </w:pPr>
            <w:r w:rsidRPr="006630EB">
              <w:rPr>
                <w:sz w:val="16"/>
                <w:szCs w:val="16"/>
              </w:rPr>
              <w:t>2.4</w:t>
            </w:r>
          </w:p>
        </w:tc>
        <w:tc>
          <w:tcPr>
            <w:tcW w:w="8280" w:type="dxa"/>
          </w:tcPr>
          <w:p w14:paraId="5B33380E" w14:textId="5AF40E7E" w:rsidR="00D507AF" w:rsidRPr="006630EB" w:rsidRDefault="00D507AF" w:rsidP="006630EB">
            <w:pPr>
              <w:rPr>
                <w:sz w:val="16"/>
                <w:szCs w:val="16"/>
              </w:rPr>
            </w:pPr>
            <w:r w:rsidRPr="006630EB">
              <w:rPr>
                <w:sz w:val="16"/>
                <w:szCs w:val="16"/>
              </w:rPr>
              <w:t>Cells E39 – I39 in the new templates show data to 2 decimal places however given the magnitude of these numbers (in the millions) this is a spurious degree of accuracy.</w:t>
            </w:r>
          </w:p>
        </w:tc>
        <w:tc>
          <w:tcPr>
            <w:tcW w:w="4677" w:type="dxa"/>
          </w:tcPr>
          <w:p w14:paraId="56FA57F6" w14:textId="77777777" w:rsidR="00D507AF" w:rsidRPr="006630EB" w:rsidRDefault="00D507AF" w:rsidP="006630EB">
            <w:pPr>
              <w:rPr>
                <w:sz w:val="16"/>
                <w:szCs w:val="16"/>
              </w:rPr>
            </w:pPr>
            <w:r w:rsidRPr="006630EB">
              <w:rPr>
                <w:sz w:val="16"/>
                <w:szCs w:val="16"/>
              </w:rPr>
              <w:t>Changed- agree 2dp not required</w:t>
            </w:r>
          </w:p>
        </w:tc>
      </w:tr>
      <w:tr w:rsidR="00D507AF" w:rsidRPr="006630EB" w14:paraId="1F352361" w14:textId="77777777" w:rsidTr="00D507AF">
        <w:tc>
          <w:tcPr>
            <w:tcW w:w="1539" w:type="dxa"/>
            <w:vMerge/>
          </w:tcPr>
          <w:p w14:paraId="655952EE" w14:textId="77777777" w:rsidR="00D507AF" w:rsidRPr="006630EB" w:rsidRDefault="00D507AF" w:rsidP="006630EB">
            <w:pPr>
              <w:rPr>
                <w:sz w:val="16"/>
                <w:szCs w:val="16"/>
              </w:rPr>
            </w:pPr>
          </w:p>
        </w:tc>
        <w:tc>
          <w:tcPr>
            <w:tcW w:w="955" w:type="dxa"/>
          </w:tcPr>
          <w:p w14:paraId="2ECF5D83" w14:textId="77777777" w:rsidR="00D507AF" w:rsidRPr="006630EB" w:rsidRDefault="00D507AF" w:rsidP="006630EB">
            <w:pPr>
              <w:rPr>
                <w:sz w:val="16"/>
                <w:szCs w:val="16"/>
              </w:rPr>
            </w:pPr>
            <w:r w:rsidRPr="006630EB">
              <w:rPr>
                <w:sz w:val="16"/>
                <w:szCs w:val="16"/>
              </w:rPr>
              <w:t>2.5</w:t>
            </w:r>
          </w:p>
        </w:tc>
        <w:tc>
          <w:tcPr>
            <w:tcW w:w="8280" w:type="dxa"/>
          </w:tcPr>
          <w:p w14:paraId="64433764" w14:textId="77777777" w:rsidR="00D507AF" w:rsidRPr="006630EB" w:rsidRDefault="00D507AF" w:rsidP="006630EB">
            <w:pPr>
              <w:rPr>
                <w:sz w:val="16"/>
                <w:szCs w:val="16"/>
              </w:rPr>
            </w:pPr>
            <w:r w:rsidRPr="006630EB">
              <w:rPr>
                <w:sz w:val="16"/>
                <w:szCs w:val="16"/>
              </w:rPr>
              <w:t>In the new version cell B25 (&amp; across the RIIO period) does not have the</w:t>
            </w:r>
          </w:p>
          <w:p w14:paraId="01B0D824" w14:textId="77777777" w:rsidR="00D507AF" w:rsidRPr="006630EB" w:rsidRDefault="00D507AF" w:rsidP="006630EB">
            <w:pPr>
              <w:rPr>
                <w:sz w:val="16"/>
                <w:szCs w:val="16"/>
              </w:rPr>
            </w:pPr>
            <w:r w:rsidRPr="006630EB">
              <w:rPr>
                <w:sz w:val="16"/>
                <w:szCs w:val="16"/>
              </w:rPr>
              <w:t>calculation behind it, which the 2015 version does (these cells contain</w:t>
            </w:r>
          </w:p>
          <w:p w14:paraId="735C896A" w14:textId="77777777" w:rsidR="00D507AF" w:rsidRPr="006630EB" w:rsidRDefault="00D507AF" w:rsidP="006630EB">
            <w:pPr>
              <w:rPr>
                <w:sz w:val="16"/>
                <w:szCs w:val="16"/>
              </w:rPr>
            </w:pPr>
            <w:r w:rsidRPr="006630EB">
              <w:rPr>
                <w:sz w:val="16"/>
                <w:szCs w:val="16"/>
              </w:rPr>
              <w:t>=SUM(B23:B24) in 2015 version)</w:t>
            </w:r>
          </w:p>
          <w:p w14:paraId="78608443" w14:textId="77777777" w:rsidR="00D507AF" w:rsidRPr="006630EB" w:rsidRDefault="00D507AF" w:rsidP="006630EB">
            <w:pPr>
              <w:rPr>
                <w:sz w:val="16"/>
                <w:szCs w:val="16"/>
              </w:rPr>
            </w:pPr>
          </w:p>
        </w:tc>
        <w:tc>
          <w:tcPr>
            <w:tcW w:w="4677" w:type="dxa"/>
          </w:tcPr>
          <w:p w14:paraId="29BEFE79" w14:textId="77777777" w:rsidR="00D507AF" w:rsidRPr="006630EB" w:rsidRDefault="00D507AF" w:rsidP="006630EB">
            <w:pPr>
              <w:rPr>
                <w:sz w:val="16"/>
                <w:szCs w:val="16"/>
              </w:rPr>
            </w:pPr>
            <w:r w:rsidRPr="006630EB">
              <w:rPr>
                <w:sz w:val="16"/>
                <w:szCs w:val="16"/>
              </w:rPr>
              <w:t>Changed</w:t>
            </w:r>
          </w:p>
        </w:tc>
      </w:tr>
      <w:tr w:rsidR="00D507AF" w:rsidRPr="006630EB" w14:paraId="5FC0485C" w14:textId="77777777" w:rsidTr="00D507AF">
        <w:tc>
          <w:tcPr>
            <w:tcW w:w="1539" w:type="dxa"/>
            <w:vMerge/>
          </w:tcPr>
          <w:p w14:paraId="549AF549" w14:textId="77777777" w:rsidR="00D507AF" w:rsidRPr="006630EB" w:rsidRDefault="00D507AF" w:rsidP="006630EB">
            <w:pPr>
              <w:rPr>
                <w:sz w:val="16"/>
                <w:szCs w:val="16"/>
              </w:rPr>
            </w:pPr>
          </w:p>
        </w:tc>
        <w:tc>
          <w:tcPr>
            <w:tcW w:w="955" w:type="dxa"/>
          </w:tcPr>
          <w:p w14:paraId="57C0E26F" w14:textId="77777777" w:rsidR="00D507AF" w:rsidRPr="006630EB" w:rsidRDefault="00D507AF" w:rsidP="006630EB">
            <w:pPr>
              <w:rPr>
                <w:sz w:val="16"/>
                <w:szCs w:val="16"/>
              </w:rPr>
            </w:pPr>
            <w:r w:rsidRPr="006630EB">
              <w:rPr>
                <w:sz w:val="16"/>
                <w:szCs w:val="16"/>
              </w:rPr>
              <w:t>2.5</w:t>
            </w:r>
          </w:p>
        </w:tc>
        <w:tc>
          <w:tcPr>
            <w:tcW w:w="8280" w:type="dxa"/>
          </w:tcPr>
          <w:p w14:paraId="1DBBB244" w14:textId="77777777" w:rsidR="00D507AF" w:rsidRPr="006630EB" w:rsidRDefault="00D507AF" w:rsidP="006630EB">
            <w:pPr>
              <w:rPr>
                <w:sz w:val="16"/>
                <w:szCs w:val="16"/>
              </w:rPr>
            </w:pPr>
            <w:r w:rsidRPr="006630EB">
              <w:rPr>
                <w:sz w:val="16"/>
                <w:szCs w:val="16"/>
              </w:rPr>
              <w:t>In the new version the grey cells C112 – 114 for offtake meter errors for</w:t>
            </w:r>
          </w:p>
          <w:p w14:paraId="44B28A6F" w14:textId="77777777" w:rsidR="00D507AF" w:rsidRPr="006630EB" w:rsidRDefault="00D507AF" w:rsidP="006630EB">
            <w:pPr>
              <w:rPr>
                <w:sz w:val="16"/>
                <w:szCs w:val="16"/>
              </w:rPr>
            </w:pPr>
            <w:r w:rsidRPr="006630EB">
              <w:rPr>
                <w:sz w:val="16"/>
                <w:szCs w:val="16"/>
              </w:rPr>
              <w:t>2015, need to show what we submitted last year for example East of</w:t>
            </w:r>
          </w:p>
          <w:p w14:paraId="5469A144" w14:textId="77777777" w:rsidR="00D507AF" w:rsidRPr="006630EB" w:rsidRDefault="00D507AF" w:rsidP="006630EB">
            <w:pPr>
              <w:rPr>
                <w:sz w:val="16"/>
                <w:szCs w:val="16"/>
              </w:rPr>
            </w:pPr>
            <w:r w:rsidRPr="006630EB">
              <w:rPr>
                <w:sz w:val="16"/>
                <w:szCs w:val="16"/>
              </w:rPr>
              <w:t xml:space="preserve">England 2015 should be 97,396 </w:t>
            </w:r>
            <w:proofErr w:type="spellStart"/>
            <w:r w:rsidRPr="006630EB">
              <w:rPr>
                <w:sz w:val="16"/>
                <w:szCs w:val="16"/>
              </w:rPr>
              <w:t>GWh</w:t>
            </w:r>
            <w:proofErr w:type="spellEnd"/>
            <w:r w:rsidRPr="006630EB">
              <w:rPr>
                <w:sz w:val="16"/>
                <w:szCs w:val="16"/>
              </w:rPr>
              <w:t xml:space="preserve"> in cell C113.</w:t>
            </w:r>
          </w:p>
          <w:p w14:paraId="107592DA" w14:textId="77777777" w:rsidR="00D507AF" w:rsidRPr="006630EB" w:rsidRDefault="00D507AF" w:rsidP="006630EB">
            <w:pPr>
              <w:rPr>
                <w:sz w:val="16"/>
                <w:szCs w:val="16"/>
              </w:rPr>
            </w:pPr>
          </w:p>
        </w:tc>
        <w:tc>
          <w:tcPr>
            <w:tcW w:w="4677" w:type="dxa"/>
          </w:tcPr>
          <w:p w14:paraId="098F7676" w14:textId="77777777" w:rsidR="00D507AF" w:rsidRPr="006630EB" w:rsidRDefault="00D507AF" w:rsidP="006630EB">
            <w:pPr>
              <w:rPr>
                <w:sz w:val="16"/>
                <w:szCs w:val="16"/>
              </w:rPr>
            </w:pPr>
            <w:r w:rsidRPr="006630EB">
              <w:rPr>
                <w:sz w:val="16"/>
                <w:szCs w:val="16"/>
              </w:rPr>
              <w:t>Changed</w:t>
            </w:r>
          </w:p>
        </w:tc>
      </w:tr>
      <w:tr w:rsidR="00D507AF" w:rsidRPr="006630EB" w14:paraId="394AE11C" w14:textId="77777777" w:rsidTr="00D507AF">
        <w:tc>
          <w:tcPr>
            <w:tcW w:w="1539" w:type="dxa"/>
            <w:vMerge/>
          </w:tcPr>
          <w:p w14:paraId="6EA4D3CD" w14:textId="77777777" w:rsidR="00D507AF" w:rsidRPr="006630EB" w:rsidRDefault="00D507AF" w:rsidP="006630EB">
            <w:pPr>
              <w:rPr>
                <w:sz w:val="16"/>
                <w:szCs w:val="16"/>
              </w:rPr>
            </w:pPr>
          </w:p>
        </w:tc>
        <w:tc>
          <w:tcPr>
            <w:tcW w:w="955" w:type="dxa"/>
          </w:tcPr>
          <w:p w14:paraId="445E4C45" w14:textId="77777777" w:rsidR="00D507AF" w:rsidRPr="006630EB" w:rsidRDefault="00D507AF" w:rsidP="006630EB">
            <w:pPr>
              <w:rPr>
                <w:sz w:val="16"/>
                <w:szCs w:val="16"/>
              </w:rPr>
            </w:pPr>
            <w:r w:rsidRPr="006630EB">
              <w:rPr>
                <w:sz w:val="16"/>
                <w:szCs w:val="16"/>
              </w:rPr>
              <w:t>2.5</w:t>
            </w:r>
          </w:p>
        </w:tc>
        <w:tc>
          <w:tcPr>
            <w:tcW w:w="8280" w:type="dxa"/>
          </w:tcPr>
          <w:p w14:paraId="70A0C303" w14:textId="77777777" w:rsidR="00D507AF" w:rsidRPr="006630EB" w:rsidRDefault="00D507AF" w:rsidP="006630EB">
            <w:pPr>
              <w:rPr>
                <w:sz w:val="16"/>
                <w:szCs w:val="16"/>
              </w:rPr>
            </w:pPr>
            <w:r w:rsidRPr="006630EB">
              <w:rPr>
                <w:sz w:val="16"/>
                <w:szCs w:val="16"/>
              </w:rPr>
              <w:t>Rows D68 – I68 (telemetered faults), the spreadsheet allows the input of data with two decimal places &amp; shows this on the location line at the top of the spreadsheet, but the decimal places do not show in the table itself.</w:t>
            </w:r>
          </w:p>
          <w:p w14:paraId="62664306" w14:textId="77777777" w:rsidR="00D507AF" w:rsidRPr="006630EB" w:rsidRDefault="00D507AF" w:rsidP="006630EB">
            <w:pPr>
              <w:rPr>
                <w:sz w:val="16"/>
                <w:szCs w:val="16"/>
              </w:rPr>
            </w:pPr>
            <w:r w:rsidRPr="006630EB">
              <w:rPr>
                <w:sz w:val="16"/>
                <w:szCs w:val="16"/>
              </w:rPr>
              <w:t>2.6</w:t>
            </w:r>
          </w:p>
        </w:tc>
        <w:tc>
          <w:tcPr>
            <w:tcW w:w="4677" w:type="dxa"/>
          </w:tcPr>
          <w:p w14:paraId="08261D9E" w14:textId="77777777" w:rsidR="00D507AF" w:rsidRPr="006630EB" w:rsidRDefault="00D507AF" w:rsidP="006630EB">
            <w:pPr>
              <w:rPr>
                <w:sz w:val="16"/>
                <w:szCs w:val="16"/>
              </w:rPr>
            </w:pPr>
            <w:r w:rsidRPr="006630EB">
              <w:rPr>
                <w:sz w:val="16"/>
                <w:szCs w:val="16"/>
              </w:rPr>
              <w:t>Changed to show 1dp as in previous year</w:t>
            </w:r>
          </w:p>
        </w:tc>
      </w:tr>
      <w:tr w:rsidR="00D507AF" w:rsidRPr="006630EB" w14:paraId="77E7D3F3" w14:textId="77777777" w:rsidTr="00D507AF">
        <w:tc>
          <w:tcPr>
            <w:tcW w:w="1539" w:type="dxa"/>
            <w:vMerge/>
          </w:tcPr>
          <w:p w14:paraId="08AAB72F" w14:textId="77777777" w:rsidR="00D507AF" w:rsidRPr="006630EB" w:rsidRDefault="00D507AF" w:rsidP="006630EB">
            <w:pPr>
              <w:rPr>
                <w:sz w:val="16"/>
                <w:szCs w:val="16"/>
              </w:rPr>
            </w:pPr>
          </w:p>
        </w:tc>
        <w:tc>
          <w:tcPr>
            <w:tcW w:w="955" w:type="dxa"/>
          </w:tcPr>
          <w:p w14:paraId="1842288B" w14:textId="77777777" w:rsidR="00D507AF" w:rsidRPr="006630EB" w:rsidRDefault="00D507AF" w:rsidP="006630EB">
            <w:pPr>
              <w:rPr>
                <w:sz w:val="16"/>
                <w:szCs w:val="16"/>
              </w:rPr>
            </w:pPr>
            <w:r w:rsidRPr="006630EB">
              <w:rPr>
                <w:sz w:val="16"/>
                <w:szCs w:val="16"/>
              </w:rPr>
              <w:t>2.6</w:t>
            </w:r>
          </w:p>
        </w:tc>
        <w:tc>
          <w:tcPr>
            <w:tcW w:w="8280" w:type="dxa"/>
          </w:tcPr>
          <w:p w14:paraId="3D1A2541" w14:textId="77777777" w:rsidR="00D507AF" w:rsidRPr="006630EB" w:rsidRDefault="00D507AF" w:rsidP="006630EB">
            <w:pPr>
              <w:rPr>
                <w:sz w:val="16"/>
                <w:szCs w:val="16"/>
              </w:rPr>
            </w:pPr>
            <w:r w:rsidRPr="006630EB">
              <w:rPr>
                <w:sz w:val="16"/>
                <w:szCs w:val="16"/>
              </w:rPr>
              <w:t>Cells D13 – I13 and E38 - I38 on the 2014/15 version the data is displayed to</w:t>
            </w:r>
          </w:p>
          <w:p w14:paraId="2F13F067" w14:textId="77777777" w:rsidR="00D507AF" w:rsidRPr="006630EB" w:rsidRDefault="00D507AF" w:rsidP="006630EB">
            <w:pPr>
              <w:rPr>
                <w:sz w:val="16"/>
                <w:szCs w:val="16"/>
              </w:rPr>
            </w:pPr>
            <w:proofErr w:type="gramStart"/>
            <w:r w:rsidRPr="006630EB">
              <w:rPr>
                <w:sz w:val="16"/>
                <w:szCs w:val="16"/>
              </w:rPr>
              <w:t>one</w:t>
            </w:r>
            <w:proofErr w:type="gramEnd"/>
            <w:r w:rsidRPr="006630EB">
              <w:rPr>
                <w:sz w:val="16"/>
                <w:szCs w:val="16"/>
              </w:rPr>
              <w:t xml:space="preserve"> decimal place, and on the 2015/16 this is now a whole number.</w:t>
            </w:r>
          </w:p>
        </w:tc>
        <w:tc>
          <w:tcPr>
            <w:tcW w:w="4677" w:type="dxa"/>
          </w:tcPr>
          <w:p w14:paraId="2AFA6554" w14:textId="77777777" w:rsidR="00D507AF" w:rsidRPr="006630EB" w:rsidRDefault="00D507AF" w:rsidP="006630EB">
            <w:pPr>
              <w:rPr>
                <w:sz w:val="16"/>
                <w:szCs w:val="16"/>
              </w:rPr>
            </w:pPr>
            <w:r w:rsidRPr="006630EB">
              <w:rPr>
                <w:sz w:val="16"/>
                <w:szCs w:val="16"/>
              </w:rPr>
              <w:t>Whole number display more appropriate for this summary</w:t>
            </w:r>
          </w:p>
          <w:p w14:paraId="630E0D0C" w14:textId="77777777" w:rsidR="00D507AF" w:rsidRPr="006630EB" w:rsidRDefault="00D507AF" w:rsidP="006630EB">
            <w:pPr>
              <w:rPr>
                <w:sz w:val="16"/>
                <w:szCs w:val="16"/>
              </w:rPr>
            </w:pPr>
          </w:p>
          <w:p w14:paraId="2D1774C7" w14:textId="77777777" w:rsidR="00D507AF" w:rsidRPr="006630EB" w:rsidRDefault="00D507AF" w:rsidP="006630EB">
            <w:pPr>
              <w:rPr>
                <w:sz w:val="16"/>
                <w:szCs w:val="16"/>
              </w:rPr>
            </w:pPr>
          </w:p>
        </w:tc>
      </w:tr>
      <w:tr w:rsidR="00D507AF" w:rsidRPr="006630EB" w14:paraId="3DD9E1A7" w14:textId="77777777" w:rsidTr="00D507AF">
        <w:tc>
          <w:tcPr>
            <w:tcW w:w="1539" w:type="dxa"/>
            <w:vMerge/>
          </w:tcPr>
          <w:p w14:paraId="13BB136E" w14:textId="77777777" w:rsidR="00D507AF" w:rsidRPr="006630EB" w:rsidRDefault="00D507AF" w:rsidP="006630EB">
            <w:pPr>
              <w:rPr>
                <w:sz w:val="16"/>
                <w:szCs w:val="16"/>
              </w:rPr>
            </w:pPr>
          </w:p>
        </w:tc>
        <w:tc>
          <w:tcPr>
            <w:tcW w:w="955" w:type="dxa"/>
          </w:tcPr>
          <w:p w14:paraId="0AE52A12" w14:textId="77777777" w:rsidR="00D507AF" w:rsidRPr="006630EB" w:rsidRDefault="00D507AF" w:rsidP="006630EB">
            <w:pPr>
              <w:rPr>
                <w:sz w:val="16"/>
                <w:szCs w:val="16"/>
              </w:rPr>
            </w:pPr>
            <w:r w:rsidRPr="006630EB">
              <w:rPr>
                <w:sz w:val="16"/>
                <w:szCs w:val="16"/>
              </w:rPr>
              <w:t>4.3</w:t>
            </w:r>
          </w:p>
        </w:tc>
        <w:tc>
          <w:tcPr>
            <w:tcW w:w="8280" w:type="dxa"/>
          </w:tcPr>
          <w:p w14:paraId="148BB67B" w14:textId="77777777" w:rsidR="00D507AF" w:rsidRPr="006630EB" w:rsidRDefault="00D507AF" w:rsidP="006630EB">
            <w:pPr>
              <w:rPr>
                <w:sz w:val="16"/>
                <w:szCs w:val="16"/>
              </w:rPr>
            </w:pPr>
            <w:r w:rsidRPr="006630EB">
              <w:rPr>
                <w:sz w:val="16"/>
                <w:szCs w:val="16"/>
              </w:rPr>
              <w:t>We need additional rows for LTS diversions. In one of our Networks we have 17 jobs to report. We suggest that the table be amended so that it has at least 20 rows for these projects.</w:t>
            </w:r>
          </w:p>
          <w:p w14:paraId="4EE43A2A" w14:textId="77777777" w:rsidR="00D507AF" w:rsidRPr="006630EB" w:rsidRDefault="00D507AF" w:rsidP="006630EB">
            <w:pPr>
              <w:rPr>
                <w:sz w:val="16"/>
                <w:szCs w:val="16"/>
              </w:rPr>
            </w:pPr>
            <w:r w:rsidRPr="006630EB">
              <w:rPr>
                <w:sz w:val="16"/>
                <w:szCs w:val="16"/>
              </w:rPr>
              <w:t>We also need additional rows for 'Distribution Network embedded gas</w:t>
            </w:r>
          </w:p>
          <w:p w14:paraId="249840EA" w14:textId="77777777" w:rsidR="00D507AF" w:rsidRPr="006630EB" w:rsidRDefault="00D507AF" w:rsidP="006630EB">
            <w:pPr>
              <w:rPr>
                <w:sz w:val="16"/>
                <w:szCs w:val="16"/>
              </w:rPr>
            </w:pPr>
            <w:proofErr w:type="gramStart"/>
            <w:r w:rsidRPr="006630EB">
              <w:rPr>
                <w:sz w:val="16"/>
                <w:szCs w:val="16"/>
              </w:rPr>
              <w:t>entry</w:t>
            </w:r>
            <w:proofErr w:type="gramEnd"/>
            <w:r w:rsidRPr="006630EB">
              <w:rPr>
                <w:sz w:val="16"/>
                <w:szCs w:val="16"/>
              </w:rPr>
              <w:t>'; this is because we have 22 projects to report in one of our Networks.</w:t>
            </w:r>
          </w:p>
          <w:p w14:paraId="03B51169" w14:textId="77777777" w:rsidR="00D507AF" w:rsidRPr="006630EB" w:rsidRDefault="00D507AF" w:rsidP="006630EB">
            <w:pPr>
              <w:rPr>
                <w:sz w:val="16"/>
                <w:szCs w:val="16"/>
              </w:rPr>
            </w:pPr>
            <w:r w:rsidRPr="006630EB">
              <w:rPr>
                <w:sz w:val="16"/>
                <w:szCs w:val="16"/>
              </w:rPr>
              <w:t>We suggest that the table be amended so that it has 25 rows for this.</w:t>
            </w:r>
          </w:p>
          <w:p w14:paraId="7FFF1ACF" w14:textId="77777777" w:rsidR="00D507AF" w:rsidRPr="006630EB" w:rsidRDefault="00D507AF" w:rsidP="006630EB">
            <w:pPr>
              <w:rPr>
                <w:sz w:val="16"/>
                <w:szCs w:val="16"/>
              </w:rPr>
            </w:pPr>
          </w:p>
        </w:tc>
        <w:tc>
          <w:tcPr>
            <w:tcW w:w="4677" w:type="dxa"/>
          </w:tcPr>
          <w:p w14:paraId="78B4742D" w14:textId="77777777" w:rsidR="00D507AF" w:rsidRPr="006630EB" w:rsidRDefault="00D507AF" w:rsidP="006630EB">
            <w:pPr>
              <w:rPr>
                <w:sz w:val="16"/>
                <w:szCs w:val="16"/>
              </w:rPr>
            </w:pPr>
            <w:r w:rsidRPr="006630EB">
              <w:rPr>
                <w:sz w:val="16"/>
                <w:szCs w:val="16"/>
              </w:rPr>
              <w:t>Rows added as requested</w:t>
            </w:r>
          </w:p>
        </w:tc>
      </w:tr>
      <w:tr w:rsidR="00D507AF" w:rsidRPr="006630EB" w14:paraId="50DAF911" w14:textId="77777777" w:rsidTr="00D507AF">
        <w:tc>
          <w:tcPr>
            <w:tcW w:w="1539" w:type="dxa"/>
            <w:vMerge/>
          </w:tcPr>
          <w:p w14:paraId="6AB28E85" w14:textId="77777777" w:rsidR="00D507AF" w:rsidRPr="006630EB" w:rsidRDefault="00D507AF" w:rsidP="006630EB">
            <w:pPr>
              <w:rPr>
                <w:sz w:val="16"/>
                <w:szCs w:val="16"/>
              </w:rPr>
            </w:pPr>
          </w:p>
        </w:tc>
        <w:tc>
          <w:tcPr>
            <w:tcW w:w="955" w:type="dxa"/>
          </w:tcPr>
          <w:p w14:paraId="5F126FC3" w14:textId="77777777" w:rsidR="00D507AF" w:rsidRPr="006630EB" w:rsidRDefault="00D507AF" w:rsidP="006630EB">
            <w:pPr>
              <w:rPr>
                <w:sz w:val="16"/>
                <w:szCs w:val="16"/>
              </w:rPr>
            </w:pPr>
            <w:r w:rsidRPr="006630EB">
              <w:rPr>
                <w:sz w:val="16"/>
                <w:szCs w:val="16"/>
              </w:rPr>
              <w:t>4.3</w:t>
            </w:r>
          </w:p>
        </w:tc>
        <w:tc>
          <w:tcPr>
            <w:tcW w:w="8280" w:type="dxa"/>
          </w:tcPr>
          <w:p w14:paraId="615677CF" w14:textId="77777777" w:rsidR="00D507AF" w:rsidRPr="006630EB" w:rsidRDefault="00D507AF" w:rsidP="006630EB">
            <w:pPr>
              <w:rPr>
                <w:sz w:val="16"/>
                <w:szCs w:val="16"/>
              </w:rPr>
            </w:pPr>
            <w:r w:rsidRPr="006630EB">
              <w:rPr>
                <w:sz w:val="16"/>
                <w:szCs w:val="16"/>
              </w:rPr>
              <w:t>Year in cell A3 incorrect - should be "2015/16"</w:t>
            </w:r>
          </w:p>
        </w:tc>
        <w:tc>
          <w:tcPr>
            <w:tcW w:w="4677" w:type="dxa"/>
          </w:tcPr>
          <w:p w14:paraId="4D3F3696" w14:textId="77777777" w:rsidR="00D507AF" w:rsidRPr="006630EB" w:rsidRDefault="00D507AF" w:rsidP="006630EB">
            <w:pPr>
              <w:rPr>
                <w:sz w:val="16"/>
                <w:szCs w:val="16"/>
              </w:rPr>
            </w:pPr>
            <w:r w:rsidRPr="006630EB">
              <w:rPr>
                <w:sz w:val="16"/>
                <w:szCs w:val="16"/>
              </w:rPr>
              <w:t>Changed</w:t>
            </w:r>
          </w:p>
          <w:p w14:paraId="0D1DF209" w14:textId="77777777" w:rsidR="00D507AF" w:rsidRPr="006630EB" w:rsidRDefault="00D507AF" w:rsidP="006630EB">
            <w:pPr>
              <w:rPr>
                <w:sz w:val="16"/>
                <w:szCs w:val="16"/>
              </w:rPr>
            </w:pPr>
          </w:p>
        </w:tc>
      </w:tr>
      <w:tr w:rsidR="00D507AF" w:rsidRPr="006630EB" w14:paraId="6497EE47" w14:textId="77777777" w:rsidTr="00D507AF">
        <w:tc>
          <w:tcPr>
            <w:tcW w:w="1539" w:type="dxa"/>
            <w:vMerge/>
          </w:tcPr>
          <w:p w14:paraId="7B91EB0C" w14:textId="77777777" w:rsidR="00D507AF" w:rsidRPr="006630EB" w:rsidRDefault="00D507AF" w:rsidP="006630EB">
            <w:pPr>
              <w:rPr>
                <w:sz w:val="16"/>
                <w:szCs w:val="16"/>
              </w:rPr>
            </w:pPr>
          </w:p>
        </w:tc>
        <w:tc>
          <w:tcPr>
            <w:tcW w:w="955" w:type="dxa"/>
          </w:tcPr>
          <w:p w14:paraId="27F31E73" w14:textId="77777777" w:rsidR="00D507AF" w:rsidRPr="006630EB" w:rsidRDefault="00D507AF" w:rsidP="006630EB">
            <w:pPr>
              <w:rPr>
                <w:sz w:val="16"/>
                <w:szCs w:val="16"/>
              </w:rPr>
            </w:pPr>
            <w:r w:rsidRPr="006630EB">
              <w:rPr>
                <w:sz w:val="16"/>
                <w:szCs w:val="16"/>
              </w:rPr>
              <w:t>4.8</w:t>
            </w:r>
          </w:p>
        </w:tc>
        <w:tc>
          <w:tcPr>
            <w:tcW w:w="8280" w:type="dxa"/>
          </w:tcPr>
          <w:p w14:paraId="34E3FB9E" w14:textId="77777777" w:rsidR="00D507AF" w:rsidRPr="006630EB" w:rsidRDefault="00D507AF" w:rsidP="006630EB">
            <w:pPr>
              <w:rPr>
                <w:sz w:val="16"/>
                <w:szCs w:val="16"/>
              </w:rPr>
            </w:pPr>
            <w:r w:rsidRPr="006630EB">
              <w:rPr>
                <w:sz w:val="16"/>
                <w:szCs w:val="16"/>
              </w:rPr>
              <w:t>Table 4.8, column G should have a drop-down list for Status as follows which is missing.</w:t>
            </w:r>
          </w:p>
          <w:p w14:paraId="2938AE12" w14:textId="77777777" w:rsidR="00D507AF" w:rsidRPr="006630EB" w:rsidRDefault="00D507AF" w:rsidP="006630EB">
            <w:pPr>
              <w:rPr>
                <w:sz w:val="16"/>
                <w:szCs w:val="16"/>
              </w:rPr>
            </w:pPr>
            <w:r w:rsidRPr="006630EB">
              <w:rPr>
                <w:sz w:val="16"/>
                <w:szCs w:val="16"/>
              </w:rPr>
              <w:t>- To be constructed</w:t>
            </w:r>
          </w:p>
          <w:p w14:paraId="7E7AC1ED" w14:textId="77777777" w:rsidR="00D507AF" w:rsidRPr="006630EB" w:rsidRDefault="00D507AF" w:rsidP="006630EB">
            <w:pPr>
              <w:rPr>
                <w:sz w:val="16"/>
                <w:szCs w:val="16"/>
              </w:rPr>
            </w:pPr>
            <w:r w:rsidRPr="006630EB">
              <w:rPr>
                <w:sz w:val="16"/>
                <w:szCs w:val="16"/>
              </w:rPr>
              <w:t>- Under construction</w:t>
            </w:r>
          </w:p>
          <w:p w14:paraId="376A4A67" w14:textId="77777777" w:rsidR="00D507AF" w:rsidRPr="006630EB" w:rsidRDefault="00D507AF" w:rsidP="006630EB">
            <w:pPr>
              <w:rPr>
                <w:sz w:val="16"/>
                <w:szCs w:val="16"/>
              </w:rPr>
            </w:pPr>
            <w:r w:rsidRPr="006630EB">
              <w:rPr>
                <w:sz w:val="16"/>
                <w:szCs w:val="16"/>
              </w:rPr>
              <w:t>- Complete</w:t>
            </w:r>
          </w:p>
          <w:p w14:paraId="466E95B0" w14:textId="77777777" w:rsidR="00D507AF" w:rsidRPr="006630EB" w:rsidRDefault="00D507AF" w:rsidP="006630EB">
            <w:pPr>
              <w:rPr>
                <w:sz w:val="16"/>
                <w:szCs w:val="16"/>
              </w:rPr>
            </w:pPr>
          </w:p>
        </w:tc>
        <w:tc>
          <w:tcPr>
            <w:tcW w:w="4677" w:type="dxa"/>
          </w:tcPr>
          <w:p w14:paraId="1B714CB1" w14:textId="77777777" w:rsidR="00D507AF" w:rsidRPr="006630EB" w:rsidRDefault="00D507AF" w:rsidP="006630EB">
            <w:pPr>
              <w:rPr>
                <w:sz w:val="16"/>
                <w:szCs w:val="16"/>
              </w:rPr>
            </w:pPr>
            <w:r w:rsidRPr="006630EB">
              <w:rPr>
                <w:sz w:val="16"/>
                <w:szCs w:val="16"/>
              </w:rPr>
              <w:t>Drop down list added.</w:t>
            </w:r>
          </w:p>
        </w:tc>
      </w:tr>
      <w:tr w:rsidR="00D507AF" w:rsidRPr="006630EB" w14:paraId="4DCC78A4" w14:textId="77777777" w:rsidTr="00D507AF">
        <w:tc>
          <w:tcPr>
            <w:tcW w:w="1539" w:type="dxa"/>
            <w:vMerge/>
          </w:tcPr>
          <w:p w14:paraId="339CFAAD" w14:textId="77777777" w:rsidR="00D507AF" w:rsidRPr="006630EB" w:rsidRDefault="00D507AF" w:rsidP="006630EB">
            <w:pPr>
              <w:rPr>
                <w:sz w:val="16"/>
                <w:szCs w:val="16"/>
              </w:rPr>
            </w:pPr>
          </w:p>
        </w:tc>
        <w:tc>
          <w:tcPr>
            <w:tcW w:w="955" w:type="dxa"/>
          </w:tcPr>
          <w:p w14:paraId="2849935E" w14:textId="77777777" w:rsidR="00D507AF" w:rsidRPr="006630EB" w:rsidRDefault="00D507AF" w:rsidP="006630EB">
            <w:pPr>
              <w:rPr>
                <w:sz w:val="16"/>
                <w:szCs w:val="16"/>
              </w:rPr>
            </w:pPr>
            <w:r w:rsidRPr="006630EB">
              <w:rPr>
                <w:sz w:val="16"/>
                <w:szCs w:val="16"/>
              </w:rPr>
              <w:t>5.1</w:t>
            </w:r>
          </w:p>
        </w:tc>
        <w:tc>
          <w:tcPr>
            <w:tcW w:w="8280" w:type="dxa"/>
          </w:tcPr>
          <w:p w14:paraId="41520B0E" w14:textId="77777777" w:rsidR="00D507AF" w:rsidRPr="006630EB" w:rsidRDefault="00D507AF" w:rsidP="006630EB">
            <w:pPr>
              <w:rPr>
                <w:sz w:val="16"/>
                <w:szCs w:val="16"/>
              </w:rPr>
            </w:pPr>
            <w:r w:rsidRPr="006630EB">
              <w:rPr>
                <w:sz w:val="16"/>
                <w:szCs w:val="16"/>
              </w:rPr>
              <w:t>The table appears to have yellow cells (column F), these were grey last year. The RIGs state that this table auto-populates from tables 5.2-5.8 and requires no input however the table implies that values should be put in.</w:t>
            </w:r>
          </w:p>
          <w:p w14:paraId="1C376E81" w14:textId="77777777" w:rsidR="00D00BF5" w:rsidRPr="006630EB" w:rsidRDefault="00D00BF5" w:rsidP="006630EB">
            <w:pPr>
              <w:rPr>
                <w:sz w:val="16"/>
                <w:szCs w:val="16"/>
              </w:rPr>
            </w:pPr>
          </w:p>
          <w:p w14:paraId="29A752CB" w14:textId="77777777" w:rsidR="00D507AF" w:rsidRPr="006630EB" w:rsidRDefault="00D507AF" w:rsidP="006630EB">
            <w:pPr>
              <w:rPr>
                <w:sz w:val="16"/>
                <w:szCs w:val="16"/>
              </w:rPr>
            </w:pPr>
          </w:p>
        </w:tc>
        <w:tc>
          <w:tcPr>
            <w:tcW w:w="4677" w:type="dxa"/>
          </w:tcPr>
          <w:p w14:paraId="132000D4" w14:textId="77777777" w:rsidR="00D507AF" w:rsidRPr="006630EB" w:rsidRDefault="00D507AF" w:rsidP="006630EB">
            <w:pPr>
              <w:rPr>
                <w:sz w:val="16"/>
                <w:szCs w:val="16"/>
              </w:rPr>
            </w:pPr>
            <w:r w:rsidRPr="006630EB">
              <w:rPr>
                <w:sz w:val="16"/>
                <w:szCs w:val="16"/>
              </w:rPr>
              <w:t>New formula to be added which links back to previous years- should be looking at number for all years</w:t>
            </w:r>
          </w:p>
        </w:tc>
      </w:tr>
      <w:tr w:rsidR="00D507AF" w:rsidRPr="006630EB" w14:paraId="5E50ACDC" w14:textId="77777777" w:rsidTr="00D507AF">
        <w:tc>
          <w:tcPr>
            <w:tcW w:w="1539" w:type="dxa"/>
            <w:vMerge/>
          </w:tcPr>
          <w:p w14:paraId="383D0B30" w14:textId="77777777" w:rsidR="00D507AF" w:rsidRPr="006630EB" w:rsidRDefault="00D507AF" w:rsidP="006630EB">
            <w:pPr>
              <w:rPr>
                <w:sz w:val="16"/>
                <w:szCs w:val="16"/>
              </w:rPr>
            </w:pPr>
          </w:p>
        </w:tc>
        <w:tc>
          <w:tcPr>
            <w:tcW w:w="955" w:type="dxa"/>
          </w:tcPr>
          <w:p w14:paraId="18E30196" w14:textId="77777777" w:rsidR="00D507AF" w:rsidRPr="006630EB" w:rsidRDefault="00D507AF" w:rsidP="006630EB">
            <w:pPr>
              <w:rPr>
                <w:sz w:val="16"/>
                <w:szCs w:val="16"/>
              </w:rPr>
            </w:pPr>
            <w:r w:rsidRPr="006630EB">
              <w:rPr>
                <w:sz w:val="16"/>
                <w:szCs w:val="16"/>
              </w:rPr>
              <w:t>5.6</w:t>
            </w:r>
          </w:p>
        </w:tc>
        <w:tc>
          <w:tcPr>
            <w:tcW w:w="8280" w:type="dxa"/>
          </w:tcPr>
          <w:p w14:paraId="57C0A677" w14:textId="77777777" w:rsidR="00D507AF" w:rsidRPr="006630EB" w:rsidRDefault="00D507AF" w:rsidP="006630EB">
            <w:pPr>
              <w:rPr>
                <w:sz w:val="16"/>
                <w:szCs w:val="16"/>
              </w:rPr>
            </w:pPr>
            <w:r w:rsidRPr="006630EB">
              <w:rPr>
                <w:sz w:val="16"/>
                <w:szCs w:val="16"/>
              </w:rPr>
              <w:t>Cell B18 description is incorrect - should be "Total"</w:t>
            </w:r>
          </w:p>
          <w:p w14:paraId="037EED82" w14:textId="77777777" w:rsidR="00D507AF" w:rsidRPr="006630EB" w:rsidRDefault="00D507AF" w:rsidP="006630EB">
            <w:pPr>
              <w:rPr>
                <w:sz w:val="16"/>
                <w:szCs w:val="16"/>
              </w:rPr>
            </w:pPr>
            <w:r w:rsidRPr="006630EB">
              <w:rPr>
                <w:sz w:val="16"/>
                <w:szCs w:val="16"/>
              </w:rPr>
              <w:t>Cell C19 has no colour shading - we suggest it should be a yellow cell.</w:t>
            </w:r>
          </w:p>
          <w:p w14:paraId="14BF0E4E" w14:textId="77777777" w:rsidR="00D507AF" w:rsidRPr="006630EB" w:rsidRDefault="00D507AF" w:rsidP="006630EB">
            <w:pPr>
              <w:rPr>
                <w:sz w:val="16"/>
                <w:szCs w:val="16"/>
              </w:rPr>
            </w:pPr>
          </w:p>
        </w:tc>
        <w:tc>
          <w:tcPr>
            <w:tcW w:w="4677" w:type="dxa"/>
          </w:tcPr>
          <w:p w14:paraId="00948F78" w14:textId="77777777" w:rsidR="00D507AF" w:rsidRPr="006630EB" w:rsidRDefault="00D507AF" w:rsidP="006630EB">
            <w:pPr>
              <w:rPr>
                <w:sz w:val="16"/>
                <w:szCs w:val="16"/>
              </w:rPr>
            </w:pPr>
            <w:r w:rsidRPr="006630EB">
              <w:rPr>
                <w:sz w:val="16"/>
                <w:szCs w:val="16"/>
              </w:rPr>
              <w:t>B18 changed to 'total'</w:t>
            </w:r>
          </w:p>
        </w:tc>
      </w:tr>
      <w:tr w:rsidR="00D507AF" w:rsidRPr="006630EB" w14:paraId="228849B4" w14:textId="77777777" w:rsidTr="00D507AF">
        <w:tc>
          <w:tcPr>
            <w:tcW w:w="1539" w:type="dxa"/>
            <w:vMerge/>
          </w:tcPr>
          <w:p w14:paraId="58044B97" w14:textId="77777777" w:rsidR="00D507AF" w:rsidRPr="006630EB" w:rsidRDefault="00D507AF" w:rsidP="006630EB">
            <w:pPr>
              <w:rPr>
                <w:sz w:val="16"/>
                <w:szCs w:val="16"/>
              </w:rPr>
            </w:pPr>
          </w:p>
        </w:tc>
        <w:tc>
          <w:tcPr>
            <w:tcW w:w="955" w:type="dxa"/>
          </w:tcPr>
          <w:p w14:paraId="37D4B2BA" w14:textId="77777777" w:rsidR="00D507AF" w:rsidRPr="006630EB" w:rsidRDefault="00D507AF" w:rsidP="006630EB">
            <w:pPr>
              <w:rPr>
                <w:sz w:val="16"/>
                <w:szCs w:val="16"/>
              </w:rPr>
            </w:pPr>
            <w:r w:rsidRPr="006630EB">
              <w:rPr>
                <w:sz w:val="16"/>
                <w:szCs w:val="16"/>
              </w:rPr>
              <w:t>7.6</w:t>
            </w:r>
          </w:p>
        </w:tc>
        <w:tc>
          <w:tcPr>
            <w:tcW w:w="8280" w:type="dxa"/>
          </w:tcPr>
          <w:p w14:paraId="75D95F5C" w14:textId="77777777" w:rsidR="00D507AF" w:rsidRPr="006630EB" w:rsidRDefault="00D507AF" w:rsidP="006630EB">
            <w:pPr>
              <w:rPr>
                <w:sz w:val="16"/>
                <w:szCs w:val="16"/>
              </w:rPr>
            </w:pPr>
            <w:r w:rsidRPr="006630EB">
              <w:rPr>
                <w:sz w:val="16"/>
                <w:szCs w:val="16"/>
              </w:rPr>
              <w:t>Gas composition fractions and other input assumptions (column I) are</w:t>
            </w:r>
          </w:p>
          <w:p w14:paraId="1D4335DF" w14:textId="77777777" w:rsidR="00D507AF" w:rsidRPr="006630EB" w:rsidRDefault="00D507AF" w:rsidP="006630EB">
            <w:pPr>
              <w:rPr>
                <w:sz w:val="16"/>
                <w:szCs w:val="16"/>
              </w:rPr>
            </w:pPr>
            <w:proofErr w:type="gramStart"/>
            <w:r w:rsidRPr="006630EB">
              <w:rPr>
                <w:sz w:val="16"/>
                <w:szCs w:val="16"/>
              </w:rPr>
              <w:t>un-used</w:t>
            </w:r>
            <w:proofErr w:type="gramEnd"/>
            <w:r w:rsidRPr="006630EB">
              <w:rPr>
                <w:sz w:val="16"/>
                <w:szCs w:val="16"/>
              </w:rPr>
              <w:t xml:space="preserve"> in calculations – presumably they are being provided for information only.</w:t>
            </w:r>
          </w:p>
          <w:p w14:paraId="2F2C4BCD" w14:textId="77777777" w:rsidR="00D507AF" w:rsidRPr="006630EB" w:rsidRDefault="00D507AF" w:rsidP="006630EB">
            <w:pPr>
              <w:rPr>
                <w:sz w:val="16"/>
                <w:szCs w:val="16"/>
              </w:rPr>
            </w:pPr>
          </w:p>
        </w:tc>
        <w:tc>
          <w:tcPr>
            <w:tcW w:w="4677" w:type="dxa"/>
          </w:tcPr>
          <w:p w14:paraId="5164C938" w14:textId="77777777" w:rsidR="00D507AF" w:rsidRPr="006630EB" w:rsidRDefault="00D507AF" w:rsidP="006630EB">
            <w:pPr>
              <w:rPr>
                <w:sz w:val="16"/>
                <w:szCs w:val="16"/>
              </w:rPr>
            </w:pPr>
            <w:r w:rsidRPr="006630EB">
              <w:rPr>
                <w:sz w:val="16"/>
                <w:szCs w:val="16"/>
              </w:rPr>
              <w:t>Correct these are for information</w:t>
            </w:r>
          </w:p>
        </w:tc>
      </w:tr>
      <w:tr w:rsidR="00D507AF" w:rsidRPr="006630EB" w14:paraId="71301545" w14:textId="77777777" w:rsidTr="00D507AF">
        <w:tc>
          <w:tcPr>
            <w:tcW w:w="1539" w:type="dxa"/>
            <w:vMerge/>
          </w:tcPr>
          <w:p w14:paraId="6180487E" w14:textId="77777777" w:rsidR="00D507AF" w:rsidRPr="006630EB" w:rsidRDefault="00D507AF" w:rsidP="006630EB">
            <w:pPr>
              <w:rPr>
                <w:sz w:val="16"/>
                <w:szCs w:val="16"/>
              </w:rPr>
            </w:pPr>
          </w:p>
        </w:tc>
        <w:tc>
          <w:tcPr>
            <w:tcW w:w="955" w:type="dxa"/>
          </w:tcPr>
          <w:p w14:paraId="1169FC44" w14:textId="77777777" w:rsidR="00D507AF" w:rsidRPr="006630EB" w:rsidRDefault="00D507AF" w:rsidP="006630EB">
            <w:pPr>
              <w:rPr>
                <w:sz w:val="16"/>
                <w:szCs w:val="16"/>
              </w:rPr>
            </w:pPr>
            <w:r w:rsidRPr="006630EB">
              <w:rPr>
                <w:sz w:val="16"/>
                <w:szCs w:val="16"/>
              </w:rPr>
              <w:t>7.6</w:t>
            </w:r>
          </w:p>
        </w:tc>
        <w:tc>
          <w:tcPr>
            <w:tcW w:w="8280" w:type="dxa"/>
          </w:tcPr>
          <w:p w14:paraId="29FF8529" w14:textId="77777777" w:rsidR="00D507AF" w:rsidRPr="006630EB" w:rsidRDefault="00D507AF" w:rsidP="006630EB">
            <w:pPr>
              <w:rPr>
                <w:sz w:val="16"/>
                <w:szCs w:val="16"/>
              </w:rPr>
            </w:pPr>
            <w:r w:rsidRPr="006630EB">
              <w:rPr>
                <w:sz w:val="16"/>
                <w:szCs w:val="16"/>
              </w:rPr>
              <w:t xml:space="preserve">The formula in G29 appears to reference values within an </w:t>
            </w:r>
            <w:proofErr w:type="spellStart"/>
            <w:r w:rsidRPr="006630EB">
              <w:rPr>
                <w:sz w:val="16"/>
                <w:szCs w:val="16"/>
              </w:rPr>
              <w:t>Ofgem</w:t>
            </w:r>
            <w:proofErr w:type="spellEnd"/>
            <w:r w:rsidRPr="006630EB">
              <w:rPr>
                <w:sz w:val="16"/>
                <w:szCs w:val="16"/>
              </w:rPr>
              <w:t xml:space="preserve"> data base and not values within table 3.12, which might be expected to feed it. All GDNs should be using Shrinkage Model 4 in respect of 2015/16.</w:t>
            </w:r>
          </w:p>
          <w:p w14:paraId="503CA350" w14:textId="77777777" w:rsidR="00D507AF" w:rsidRPr="006630EB" w:rsidRDefault="00D507AF" w:rsidP="006630EB">
            <w:pPr>
              <w:rPr>
                <w:sz w:val="16"/>
                <w:szCs w:val="16"/>
              </w:rPr>
            </w:pPr>
            <w:r w:rsidRPr="006630EB">
              <w:rPr>
                <w:sz w:val="16"/>
                <w:szCs w:val="16"/>
              </w:rPr>
              <w:t>If the Shrinkage model changes then baselines ought to be adjusted to avoid the model change feeding into incentive performance outcome. However, this is not an annual event; the model is only changed following appropriate consultation that has achieved agreement from stakeholders.</w:t>
            </w:r>
          </w:p>
          <w:p w14:paraId="4AA4422C" w14:textId="77777777" w:rsidR="00D507AF" w:rsidRPr="006630EB" w:rsidRDefault="00D507AF" w:rsidP="006630EB">
            <w:pPr>
              <w:rPr>
                <w:sz w:val="16"/>
                <w:szCs w:val="16"/>
              </w:rPr>
            </w:pPr>
          </w:p>
        </w:tc>
        <w:tc>
          <w:tcPr>
            <w:tcW w:w="4677" w:type="dxa"/>
          </w:tcPr>
          <w:p w14:paraId="1A8B6861" w14:textId="77777777" w:rsidR="00D507AF" w:rsidRPr="006630EB" w:rsidRDefault="00D507AF" w:rsidP="006630EB">
            <w:pPr>
              <w:rPr>
                <w:sz w:val="16"/>
                <w:szCs w:val="16"/>
              </w:rPr>
            </w:pPr>
            <w:r w:rsidRPr="006630EB">
              <w:rPr>
                <w:sz w:val="16"/>
                <w:szCs w:val="16"/>
              </w:rPr>
              <w:t>Updated to show correct formula and values as agreed in consultation process</w:t>
            </w:r>
          </w:p>
        </w:tc>
      </w:tr>
    </w:tbl>
    <w:p w14:paraId="50A920E3" w14:textId="77777777" w:rsidR="006630EB" w:rsidRDefault="006630EB">
      <w:r>
        <w:br w:type="page"/>
      </w:r>
    </w:p>
    <w:tbl>
      <w:tblPr>
        <w:tblStyle w:val="TableGrid"/>
        <w:tblW w:w="15451" w:type="dxa"/>
        <w:tblInd w:w="-601" w:type="dxa"/>
        <w:tblLook w:val="04A0" w:firstRow="1" w:lastRow="0" w:firstColumn="1" w:lastColumn="0" w:noHBand="0" w:noVBand="1"/>
      </w:tblPr>
      <w:tblGrid>
        <w:gridCol w:w="1539"/>
        <w:gridCol w:w="955"/>
        <w:gridCol w:w="8280"/>
        <w:gridCol w:w="4677"/>
      </w:tblGrid>
      <w:tr w:rsidR="00D507AF" w:rsidRPr="006630EB" w14:paraId="19A4A38C" w14:textId="77777777" w:rsidTr="00D507AF">
        <w:trPr>
          <w:cantSplit/>
          <w:trHeight w:val="1134"/>
        </w:trPr>
        <w:tc>
          <w:tcPr>
            <w:tcW w:w="1539" w:type="dxa"/>
            <w:vMerge w:val="restart"/>
            <w:textDirection w:val="btLr"/>
          </w:tcPr>
          <w:p w14:paraId="5CACF592" w14:textId="08D4395C" w:rsidR="00D507AF" w:rsidRPr="006630EB" w:rsidRDefault="00D507AF" w:rsidP="001F642B">
            <w:pPr>
              <w:ind w:left="113" w:right="113"/>
              <w:jc w:val="center"/>
              <w:rPr>
                <w:b/>
                <w:sz w:val="16"/>
                <w:szCs w:val="16"/>
              </w:rPr>
            </w:pPr>
            <w:r w:rsidRPr="006630EB">
              <w:rPr>
                <w:b/>
                <w:sz w:val="16"/>
                <w:szCs w:val="16"/>
              </w:rPr>
              <w:lastRenderedPageBreak/>
              <w:t>Northern Gas Networks</w:t>
            </w:r>
          </w:p>
        </w:tc>
        <w:tc>
          <w:tcPr>
            <w:tcW w:w="955" w:type="dxa"/>
          </w:tcPr>
          <w:p w14:paraId="7255C577" w14:textId="77777777" w:rsidR="00D507AF" w:rsidRPr="006630EB" w:rsidRDefault="00D507AF" w:rsidP="006630EB">
            <w:pPr>
              <w:rPr>
                <w:sz w:val="16"/>
                <w:szCs w:val="16"/>
              </w:rPr>
            </w:pPr>
            <w:r w:rsidRPr="006630EB">
              <w:rPr>
                <w:sz w:val="16"/>
                <w:szCs w:val="16"/>
              </w:rPr>
              <w:t>3.12</w:t>
            </w:r>
          </w:p>
        </w:tc>
        <w:tc>
          <w:tcPr>
            <w:tcW w:w="8280" w:type="dxa"/>
          </w:tcPr>
          <w:p w14:paraId="5F8567DB" w14:textId="77777777" w:rsidR="00D507AF" w:rsidRPr="006630EB" w:rsidRDefault="00D507AF" w:rsidP="006630EB">
            <w:pPr>
              <w:rPr>
                <w:sz w:val="16"/>
                <w:szCs w:val="16"/>
              </w:rPr>
            </w:pPr>
            <w:r w:rsidRPr="006630EB">
              <w:rPr>
                <w:sz w:val="16"/>
                <w:szCs w:val="16"/>
              </w:rPr>
              <w:t>Table 3.12a Theft of Gas</w:t>
            </w:r>
          </w:p>
          <w:p w14:paraId="1BEE1FB1" w14:textId="77777777" w:rsidR="00D507AF" w:rsidRPr="006630EB" w:rsidRDefault="00D507AF" w:rsidP="006630EB">
            <w:pPr>
              <w:rPr>
                <w:sz w:val="16"/>
                <w:szCs w:val="16"/>
              </w:rPr>
            </w:pPr>
            <w:r w:rsidRPr="006630EB">
              <w:rPr>
                <w:sz w:val="16"/>
                <w:szCs w:val="16"/>
              </w:rPr>
              <w:t>For clarity our submission in 2014/15 used the following assumptions to populate the draft table, and we would support using them again and updating the RIGs to reflect this.</w:t>
            </w:r>
          </w:p>
          <w:p w14:paraId="194288B1" w14:textId="77777777" w:rsidR="00D507AF" w:rsidRPr="006630EB" w:rsidRDefault="00D507AF" w:rsidP="006630EB">
            <w:pPr>
              <w:rPr>
                <w:sz w:val="16"/>
                <w:szCs w:val="16"/>
              </w:rPr>
            </w:pPr>
          </w:p>
          <w:p w14:paraId="2882BB67" w14:textId="77777777" w:rsidR="00D507AF" w:rsidRPr="006630EB" w:rsidRDefault="00D507AF" w:rsidP="006630EB">
            <w:pPr>
              <w:rPr>
                <w:sz w:val="16"/>
                <w:szCs w:val="16"/>
              </w:rPr>
            </w:pPr>
            <w:r w:rsidRPr="006630EB">
              <w:rPr>
                <w:sz w:val="16"/>
                <w:szCs w:val="16"/>
              </w:rPr>
              <w:t xml:space="preserve">-The number suspected/reported incidences of theft – the number of cases as per </w:t>
            </w:r>
            <w:proofErr w:type="spellStart"/>
            <w:r w:rsidRPr="006630EB">
              <w:rPr>
                <w:sz w:val="16"/>
                <w:szCs w:val="16"/>
              </w:rPr>
              <w:t>Xoserve</w:t>
            </w:r>
            <w:proofErr w:type="spellEnd"/>
            <w:r w:rsidRPr="006630EB">
              <w:rPr>
                <w:sz w:val="16"/>
                <w:szCs w:val="16"/>
              </w:rPr>
              <w:t xml:space="preserve"> data which have been closed within the regulatory year.</w:t>
            </w:r>
          </w:p>
          <w:p w14:paraId="3A5C34BC" w14:textId="77777777" w:rsidR="00D507AF" w:rsidRPr="006630EB" w:rsidRDefault="00D507AF" w:rsidP="006630EB">
            <w:pPr>
              <w:rPr>
                <w:sz w:val="16"/>
                <w:szCs w:val="16"/>
              </w:rPr>
            </w:pPr>
            <w:r w:rsidRPr="006630EB">
              <w:rPr>
                <w:sz w:val="16"/>
                <w:szCs w:val="16"/>
              </w:rPr>
              <w:t xml:space="preserve">-The number of investigations – again from </w:t>
            </w:r>
            <w:proofErr w:type="gramStart"/>
            <w:r w:rsidRPr="006630EB">
              <w:rPr>
                <w:sz w:val="16"/>
                <w:szCs w:val="16"/>
              </w:rPr>
              <w:t>an</w:t>
            </w:r>
            <w:proofErr w:type="gramEnd"/>
            <w:r w:rsidRPr="006630EB">
              <w:rPr>
                <w:sz w:val="16"/>
                <w:szCs w:val="16"/>
              </w:rPr>
              <w:t xml:space="preserve"> </w:t>
            </w:r>
            <w:proofErr w:type="spellStart"/>
            <w:r w:rsidRPr="006630EB">
              <w:rPr>
                <w:sz w:val="16"/>
                <w:szCs w:val="16"/>
              </w:rPr>
              <w:t>Xoserve</w:t>
            </w:r>
            <w:proofErr w:type="spellEnd"/>
            <w:r w:rsidRPr="006630EB">
              <w:rPr>
                <w:sz w:val="16"/>
                <w:szCs w:val="16"/>
              </w:rPr>
              <w:t xml:space="preserve"> report, which should match back to the above (and does).</w:t>
            </w:r>
          </w:p>
          <w:p w14:paraId="7E5FF3B9" w14:textId="77777777" w:rsidR="00D507AF" w:rsidRPr="006630EB" w:rsidRDefault="00D507AF" w:rsidP="006630EB">
            <w:pPr>
              <w:rPr>
                <w:sz w:val="16"/>
                <w:szCs w:val="16"/>
              </w:rPr>
            </w:pPr>
            <w:r w:rsidRPr="006630EB">
              <w:rPr>
                <w:sz w:val="16"/>
                <w:szCs w:val="16"/>
              </w:rPr>
              <w:t>-Number of cases brought to court – brought to court in this regulatory year, which doesn’t necessarily mean that the case was reported/closed in this regulatory year</w:t>
            </w:r>
          </w:p>
          <w:p w14:paraId="421601D5" w14:textId="77777777" w:rsidR="00D507AF" w:rsidRPr="006630EB" w:rsidRDefault="00D507AF" w:rsidP="006630EB">
            <w:pPr>
              <w:rPr>
                <w:sz w:val="16"/>
                <w:szCs w:val="16"/>
              </w:rPr>
            </w:pPr>
            <w:r w:rsidRPr="006630EB">
              <w:rPr>
                <w:sz w:val="16"/>
                <w:szCs w:val="16"/>
              </w:rPr>
              <w:t>-Number of successful cases – Successful means we have started receiving the money – again they may not be cases that were reported/closed in this regulatory year</w:t>
            </w:r>
          </w:p>
          <w:p w14:paraId="61512B82" w14:textId="77777777" w:rsidR="00D507AF" w:rsidRPr="006630EB" w:rsidRDefault="00D507AF" w:rsidP="006630EB">
            <w:pPr>
              <w:rPr>
                <w:sz w:val="16"/>
                <w:szCs w:val="16"/>
              </w:rPr>
            </w:pPr>
            <w:r w:rsidRPr="006630EB">
              <w:rPr>
                <w:sz w:val="16"/>
                <w:szCs w:val="16"/>
              </w:rPr>
              <w:t>-Total cost of investigations – we have only reported investigation costs where the investigation has been closed, either because it was invalid or it is considered closed because we’ve now started receiving the money.</w:t>
            </w:r>
          </w:p>
          <w:p w14:paraId="01FEFFFC" w14:textId="77777777" w:rsidR="00D507AF" w:rsidRPr="006630EB" w:rsidRDefault="00D507AF" w:rsidP="006630EB">
            <w:pPr>
              <w:rPr>
                <w:sz w:val="16"/>
                <w:szCs w:val="16"/>
              </w:rPr>
            </w:pPr>
            <w:r w:rsidRPr="006630EB">
              <w:rPr>
                <w:sz w:val="16"/>
                <w:szCs w:val="16"/>
              </w:rPr>
              <w:t>-Money recovered from successful cases – All monies received in this regulatory year, which includes cases closed this year and monies received from cases closed last year.</w:t>
            </w:r>
          </w:p>
          <w:p w14:paraId="2EAF0D49" w14:textId="77777777" w:rsidR="00D507AF" w:rsidRPr="006630EB" w:rsidRDefault="00D507AF" w:rsidP="006630EB">
            <w:pPr>
              <w:rPr>
                <w:sz w:val="16"/>
                <w:szCs w:val="16"/>
              </w:rPr>
            </w:pPr>
          </w:p>
          <w:p w14:paraId="36A41815" w14:textId="77777777" w:rsidR="00D507AF" w:rsidRPr="006630EB" w:rsidRDefault="00D507AF" w:rsidP="006630EB">
            <w:pPr>
              <w:rPr>
                <w:sz w:val="16"/>
                <w:szCs w:val="16"/>
              </w:rPr>
            </w:pPr>
            <w:r w:rsidRPr="006630EB">
              <w:rPr>
                <w:sz w:val="16"/>
                <w:szCs w:val="16"/>
              </w:rPr>
              <w:t xml:space="preserve">The above assumptions best enable us to capture the data from existing reports with minimal manipulation and support a full audit trail, and in any case over time will enable </w:t>
            </w:r>
            <w:proofErr w:type="spellStart"/>
            <w:r w:rsidRPr="006630EB">
              <w:rPr>
                <w:sz w:val="16"/>
                <w:szCs w:val="16"/>
              </w:rPr>
              <w:t>Ofgem</w:t>
            </w:r>
            <w:proofErr w:type="spellEnd"/>
            <w:r w:rsidRPr="006630EB">
              <w:rPr>
                <w:sz w:val="16"/>
                <w:szCs w:val="16"/>
              </w:rPr>
              <w:t xml:space="preserve"> to track trends and effort in this area.</w:t>
            </w:r>
          </w:p>
          <w:p w14:paraId="36F24F2D" w14:textId="77777777" w:rsidR="00D507AF" w:rsidRDefault="00D507AF" w:rsidP="006630EB">
            <w:pPr>
              <w:rPr>
                <w:sz w:val="16"/>
                <w:szCs w:val="16"/>
              </w:rPr>
            </w:pPr>
          </w:p>
          <w:p w14:paraId="0C9D7FD8" w14:textId="77777777" w:rsidR="006630EB" w:rsidRPr="006630EB" w:rsidRDefault="006630EB" w:rsidP="006630EB">
            <w:pPr>
              <w:rPr>
                <w:sz w:val="16"/>
                <w:szCs w:val="16"/>
              </w:rPr>
            </w:pPr>
          </w:p>
        </w:tc>
        <w:tc>
          <w:tcPr>
            <w:tcW w:w="4677" w:type="dxa"/>
          </w:tcPr>
          <w:p w14:paraId="113E2F2E" w14:textId="77777777" w:rsidR="00D507AF" w:rsidRPr="006630EB" w:rsidRDefault="00D507AF" w:rsidP="006630EB">
            <w:pPr>
              <w:rPr>
                <w:sz w:val="16"/>
                <w:szCs w:val="16"/>
              </w:rPr>
            </w:pPr>
            <w:proofErr w:type="spellStart"/>
            <w:r w:rsidRPr="006630EB">
              <w:rPr>
                <w:sz w:val="16"/>
                <w:szCs w:val="16"/>
              </w:rPr>
              <w:t>Ofgem</w:t>
            </w:r>
            <w:proofErr w:type="spellEnd"/>
            <w:r w:rsidRPr="006630EB">
              <w:rPr>
                <w:sz w:val="16"/>
                <w:szCs w:val="16"/>
              </w:rPr>
              <w:t xml:space="preserve"> to have further discussion with all GDNs on this to feed into 2016/17 consultation. NGN to continue filling 3.12a using same method as previous years.</w:t>
            </w:r>
          </w:p>
        </w:tc>
      </w:tr>
      <w:tr w:rsidR="00D507AF" w:rsidRPr="006630EB" w14:paraId="1DAA302E" w14:textId="77777777" w:rsidTr="00D507AF">
        <w:tc>
          <w:tcPr>
            <w:tcW w:w="1539" w:type="dxa"/>
            <w:vMerge/>
          </w:tcPr>
          <w:p w14:paraId="5C22EF4D" w14:textId="77777777" w:rsidR="00D507AF" w:rsidRPr="006630EB" w:rsidRDefault="00D507AF" w:rsidP="006630EB">
            <w:pPr>
              <w:rPr>
                <w:sz w:val="16"/>
                <w:szCs w:val="16"/>
              </w:rPr>
            </w:pPr>
          </w:p>
        </w:tc>
        <w:tc>
          <w:tcPr>
            <w:tcW w:w="955" w:type="dxa"/>
          </w:tcPr>
          <w:p w14:paraId="434334B7" w14:textId="77777777" w:rsidR="00D507AF" w:rsidRPr="006630EB" w:rsidRDefault="00D507AF" w:rsidP="006630EB">
            <w:pPr>
              <w:rPr>
                <w:sz w:val="16"/>
                <w:szCs w:val="16"/>
              </w:rPr>
            </w:pPr>
            <w:r w:rsidRPr="006630EB">
              <w:rPr>
                <w:sz w:val="16"/>
                <w:szCs w:val="16"/>
              </w:rPr>
              <w:t>3.13</w:t>
            </w:r>
          </w:p>
        </w:tc>
        <w:tc>
          <w:tcPr>
            <w:tcW w:w="8280" w:type="dxa"/>
          </w:tcPr>
          <w:p w14:paraId="4CC181F9" w14:textId="77777777" w:rsidR="00D507AF" w:rsidRPr="006630EB" w:rsidRDefault="00D507AF" w:rsidP="006630EB">
            <w:pPr>
              <w:rPr>
                <w:sz w:val="16"/>
                <w:szCs w:val="16"/>
              </w:rPr>
            </w:pPr>
            <w:r w:rsidRPr="006630EB">
              <w:rPr>
                <w:sz w:val="16"/>
                <w:szCs w:val="16"/>
              </w:rPr>
              <w:t xml:space="preserve">The Gas Distribution Costs and Outputs group submitted a revised </w:t>
            </w:r>
            <w:proofErr w:type="spellStart"/>
            <w:r w:rsidRPr="006630EB">
              <w:rPr>
                <w:sz w:val="16"/>
                <w:szCs w:val="16"/>
              </w:rPr>
              <w:t>Streetworks</w:t>
            </w:r>
            <w:proofErr w:type="spellEnd"/>
            <w:r w:rsidRPr="006630EB">
              <w:rPr>
                <w:sz w:val="16"/>
                <w:szCs w:val="16"/>
              </w:rPr>
              <w:t xml:space="preserve"> table last year after recognising inconsistencies in reporting between the different companies, and would welcome a discussion on updating this table with </w:t>
            </w:r>
            <w:proofErr w:type="spellStart"/>
            <w:r w:rsidRPr="006630EB">
              <w:rPr>
                <w:sz w:val="16"/>
                <w:szCs w:val="16"/>
              </w:rPr>
              <w:t>Ofgem</w:t>
            </w:r>
            <w:proofErr w:type="spellEnd"/>
            <w:r w:rsidRPr="006630EB">
              <w:rPr>
                <w:sz w:val="16"/>
                <w:szCs w:val="16"/>
              </w:rPr>
              <w:t>.</w:t>
            </w:r>
          </w:p>
          <w:p w14:paraId="044A1EDC" w14:textId="77777777" w:rsidR="00D507AF" w:rsidRPr="006630EB" w:rsidRDefault="00D507AF" w:rsidP="006630EB">
            <w:pPr>
              <w:rPr>
                <w:sz w:val="16"/>
                <w:szCs w:val="16"/>
              </w:rPr>
            </w:pPr>
          </w:p>
        </w:tc>
        <w:tc>
          <w:tcPr>
            <w:tcW w:w="4677" w:type="dxa"/>
          </w:tcPr>
          <w:p w14:paraId="2A8E9140" w14:textId="77777777" w:rsidR="00D507AF" w:rsidRPr="006630EB" w:rsidRDefault="00D507AF" w:rsidP="006630EB">
            <w:pPr>
              <w:rPr>
                <w:sz w:val="16"/>
                <w:szCs w:val="16"/>
              </w:rPr>
            </w:pPr>
            <w:r w:rsidRPr="006630EB">
              <w:rPr>
                <w:sz w:val="16"/>
                <w:szCs w:val="16"/>
              </w:rPr>
              <w:t xml:space="preserve">Noted- </w:t>
            </w:r>
            <w:proofErr w:type="spellStart"/>
            <w:r w:rsidRPr="006630EB">
              <w:rPr>
                <w:sz w:val="16"/>
                <w:szCs w:val="16"/>
              </w:rPr>
              <w:t>Ofgem</w:t>
            </w:r>
            <w:proofErr w:type="spellEnd"/>
            <w:r w:rsidRPr="006630EB">
              <w:rPr>
                <w:sz w:val="16"/>
                <w:szCs w:val="16"/>
              </w:rPr>
              <w:t xml:space="preserve"> to have discussion with NGN and other GDNs on this to inform 2016/17 RIGS.</w:t>
            </w:r>
          </w:p>
          <w:p w14:paraId="3A6707FC" w14:textId="77777777" w:rsidR="00D507AF" w:rsidRPr="006630EB" w:rsidRDefault="00D507AF" w:rsidP="006630EB">
            <w:pPr>
              <w:rPr>
                <w:sz w:val="16"/>
                <w:szCs w:val="16"/>
              </w:rPr>
            </w:pPr>
          </w:p>
        </w:tc>
      </w:tr>
      <w:tr w:rsidR="00D507AF" w:rsidRPr="006630EB" w14:paraId="321E79FA" w14:textId="77777777" w:rsidTr="00D507AF">
        <w:tc>
          <w:tcPr>
            <w:tcW w:w="1539" w:type="dxa"/>
            <w:vMerge/>
          </w:tcPr>
          <w:p w14:paraId="25072230" w14:textId="77777777" w:rsidR="00D507AF" w:rsidRPr="006630EB" w:rsidRDefault="00D507AF" w:rsidP="006630EB">
            <w:pPr>
              <w:rPr>
                <w:sz w:val="16"/>
                <w:szCs w:val="16"/>
              </w:rPr>
            </w:pPr>
          </w:p>
        </w:tc>
        <w:tc>
          <w:tcPr>
            <w:tcW w:w="955" w:type="dxa"/>
          </w:tcPr>
          <w:p w14:paraId="1DB75E3C" w14:textId="77777777" w:rsidR="00D507AF" w:rsidRPr="006630EB" w:rsidRDefault="00D507AF" w:rsidP="006630EB">
            <w:pPr>
              <w:rPr>
                <w:sz w:val="16"/>
                <w:szCs w:val="16"/>
              </w:rPr>
            </w:pPr>
            <w:r w:rsidRPr="006630EB">
              <w:rPr>
                <w:sz w:val="16"/>
                <w:szCs w:val="16"/>
              </w:rPr>
              <w:t>7.6</w:t>
            </w:r>
          </w:p>
        </w:tc>
        <w:tc>
          <w:tcPr>
            <w:tcW w:w="8280" w:type="dxa"/>
          </w:tcPr>
          <w:p w14:paraId="1EA6F2A0" w14:textId="77777777" w:rsidR="00D507AF" w:rsidRPr="006630EB" w:rsidRDefault="00D507AF" w:rsidP="006630EB">
            <w:pPr>
              <w:rPr>
                <w:sz w:val="16"/>
                <w:szCs w:val="16"/>
              </w:rPr>
            </w:pPr>
            <w:r w:rsidRPr="006630EB">
              <w:rPr>
                <w:sz w:val="16"/>
                <w:szCs w:val="16"/>
              </w:rPr>
              <w:t>In table 3.12 Shrinkage (</w:t>
            </w:r>
            <w:proofErr w:type="spellStart"/>
            <w:r w:rsidRPr="006630EB">
              <w:rPr>
                <w:sz w:val="16"/>
                <w:szCs w:val="16"/>
              </w:rPr>
              <w:t>GWh</w:t>
            </w:r>
            <w:proofErr w:type="spellEnd"/>
            <w:r w:rsidRPr="006630EB">
              <w:rPr>
                <w:sz w:val="16"/>
                <w:szCs w:val="16"/>
              </w:rPr>
              <w:t>) is calculated using specific GDN average CVs from the base throughput. This then feeds into table 7.6 for calculating BCF, which then uses national averages to calculate BCF with the intention of making them comparable.</w:t>
            </w:r>
          </w:p>
          <w:p w14:paraId="05B69AE7" w14:textId="77777777" w:rsidR="00D507AF" w:rsidRPr="006630EB" w:rsidRDefault="00D507AF" w:rsidP="006630EB">
            <w:pPr>
              <w:rPr>
                <w:sz w:val="16"/>
                <w:szCs w:val="16"/>
              </w:rPr>
            </w:pPr>
            <w:r w:rsidRPr="006630EB">
              <w:rPr>
                <w:sz w:val="16"/>
                <w:szCs w:val="16"/>
              </w:rPr>
              <w:t>However to make it fully comparable, then a national average CV should be used to calculate Shrinkage from the GDN specific throughput on table 3.12.</w:t>
            </w:r>
          </w:p>
        </w:tc>
        <w:tc>
          <w:tcPr>
            <w:tcW w:w="4677" w:type="dxa"/>
          </w:tcPr>
          <w:p w14:paraId="49613AED" w14:textId="77777777" w:rsidR="00D507AF" w:rsidRPr="006630EB" w:rsidRDefault="00D507AF" w:rsidP="006630EB">
            <w:pPr>
              <w:rPr>
                <w:sz w:val="16"/>
                <w:szCs w:val="16"/>
              </w:rPr>
            </w:pPr>
            <w:r w:rsidRPr="006630EB">
              <w:rPr>
                <w:sz w:val="16"/>
                <w:szCs w:val="16"/>
              </w:rPr>
              <w:t>The option of using GD specific values will be considered further and discussed with GDNs and any changes will be implemented in next year’s RRPs.</w:t>
            </w:r>
          </w:p>
        </w:tc>
      </w:tr>
      <w:tr w:rsidR="00D507AF" w:rsidRPr="006630EB" w14:paraId="0864DBA9" w14:textId="77777777" w:rsidTr="00D507AF">
        <w:tc>
          <w:tcPr>
            <w:tcW w:w="1539" w:type="dxa"/>
            <w:vMerge/>
          </w:tcPr>
          <w:p w14:paraId="563A4A87" w14:textId="77777777" w:rsidR="00D507AF" w:rsidRPr="006630EB" w:rsidRDefault="00D507AF" w:rsidP="006630EB">
            <w:pPr>
              <w:rPr>
                <w:sz w:val="16"/>
                <w:szCs w:val="16"/>
              </w:rPr>
            </w:pPr>
          </w:p>
        </w:tc>
        <w:tc>
          <w:tcPr>
            <w:tcW w:w="955" w:type="dxa"/>
          </w:tcPr>
          <w:p w14:paraId="154A0DAA" w14:textId="77777777" w:rsidR="00D507AF" w:rsidRPr="006630EB" w:rsidRDefault="00D507AF" w:rsidP="006630EB">
            <w:pPr>
              <w:rPr>
                <w:sz w:val="16"/>
                <w:szCs w:val="16"/>
              </w:rPr>
            </w:pPr>
            <w:r w:rsidRPr="006630EB">
              <w:rPr>
                <w:sz w:val="16"/>
                <w:szCs w:val="16"/>
              </w:rPr>
              <w:t>7.7</w:t>
            </w:r>
          </w:p>
        </w:tc>
        <w:tc>
          <w:tcPr>
            <w:tcW w:w="8280" w:type="dxa"/>
          </w:tcPr>
          <w:p w14:paraId="54FAE675" w14:textId="77777777" w:rsidR="00D507AF" w:rsidRPr="006630EB" w:rsidRDefault="00D507AF" w:rsidP="006630EB">
            <w:pPr>
              <w:rPr>
                <w:sz w:val="16"/>
                <w:szCs w:val="16"/>
              </w:rPr>
            </w:pPr>
            <w:r w:rsidRPr="006630EB">
              <w:rPr>
                <w:sz w:val="16"/>
                <w:szCs w:val="16"/>
              </w:rPr>
              <w:t>The Broad Measure information within 7.7 could be linked directly from table 7.8.</w:t>
            </w:r>
          </w:p>
        </w:tc>
        <w:tc>
          <w:tcPr>
            <w:tcW w:w="4677" w:type="dxa"/>
          </w:tcPr>
          <w:p w14:paraId="3867FD15" w14:textId="77777777" w:rsidR="00D507AF" w:rsidRPr="006630EB" w:rsidRDefault="00D507AF" w:rsidP="006630EB">
            <w:pPr>
              <w:rPr>
                <w:sz w:val="16"/>
                <w:szCs w:val="16"/>
              </w:rPr>
            </w:pPr>
            <w:r w:rsidRPr="006630EB">
              <w:rPr>
                <w:sz w:val="16"/>
                <w:szCs w:val="16"/>
              </w:rPr>
              <w:t>7.7- F14 now links directly to 7.8- capacity connected (G57)</w:t>
            </w:r>
          </w:p>
        </w:tc>
      </w:tr>
      <w:tr w:rsidR="00D507AF" w:rsidRPr="006630EB" w14:paraId="5AC09B19" w14:textId="77777777" w:rsidTr="00D507AF">
        <w:tc>
          <w:tcPr>
            <w:tcW w:w="1539" w:type="dxa"/>
            <w:vMerge/>
          </w:tcPr>
          <w:p w14:paraId="204B8B62" w14:textId="77777777" w:rsidR="00D507AF" w:rsidRPr="006630EB" w:rsidRDefault="00D507AF" w:rsidP="006630EB">
            <w:pPr>
              <w:rPr>
                <w:sz w:val="16"/>
                <w:szCs w:val="16"/>
              </w:rPr>
            </w:pPr>
          </w:p>
        </w:tc>
        <w:tc>
          <w:tcPr>
            <w:tcW w:w="955" w:type="dxa"/>
          </w:tcPr>
          <w:p w14:paraId="0D2EEFCB" w14:textId="77777777" w:rsidR="00D507AF" w:rsidRPr="006630EB" w:rsidRDefault="00D507AF" w:rsidP="006630EB">
            <w:pPr>
              <w:rPr>
                <w:sz w:val="16"/>
                <w:szCs w:val="16"/>
              </w:rPr>
            </w:pPr>
            <w:r w:rsidRPr="006630EB">
              <w:rPr>
                <w:sz w:val="16"/>
                <w:szCs w:val="16"/>
              </w:rPr>
              <w:t>7.10</w:t>
            </w:r>
          </w:p>
        </w:tc>
        <w:tc>
          <w:tcPr>
            <w:tcW w:w="8280" w:type="dxa"/>
          </w:tcPr>
          <w:p w14:paraId="5CB1F345" w14:textId="77777777" w:rsidR="00D507AF" w:rsidRPr="006630EB" w:rsidRDefault="00D507AF" w:rsidP="006630EB">
            <w:pPr>
              <w:rPr>
                <w:sz w:val="16"/>
                <w:szCs w:val="16"/>
              </w:rPr>
            </w:pPr>
            <w:r w:rsidRPr="006630EB">
              <w:rPr>
                <w:sz w:val="16"/>
                <w:szCs w:val="16"/>
              </w:rPr>
              <w:t>We would support including a split of costs into internal and external costs by project, which could then be used to provide a direct audit trail through to the separate Revenue submission which requires this split.</w:t>
            </w:r>
          </w:p>
        </w:tc>
        <w:tc>
          <w:tcPr>
            <w:tcW w:w="4677" w:type="dxa"/>
          </w:tcPr>
          <w:p w14:paraId="31CE8492" w14:textId="77777777" w:rsidR="00D507AF" w:rsidRPr="006630EB" w:rsidRDefault="00D507AF" w:rsidP="006630EB">
            <w:pPr>
              <w:rPr>
                <w:sz w:val="16"/>
                <w:szCs w:val="16"/>
              </w:rPr>
            </w:pPr>
            <w:r w:rsidRPr="006630EB">
              <w:rPr>
                <w:sz w:val="16"/>
                <w:szCs w:val="16"/>
              </w:rPr>
              <w:t>We will discuss with NGN and other GDNs and consider incorporating into next year’s RRP.</w:t>
            </w:r>
          </w:p>
        </w:tc>
      </w:tr>
    </w:tbl>
    <w:p w14:paraId="2A0AE18E" w14:textId="77777777" w:rsidR="00D507AF" w:rsidRPr="006630EB" w:rsidRDefault="00D507AF" w:rsidP="006630EB">
      <w:pPr>
        <w:rPr>
          <w:sz w:val="16"/>
          <w:szCs w:val="16"/>
        </w:rPr>
      </w:pPr>
    </w:p>
    <w:p w14:paraId="0CE9197B" w14:textId="77777777" w:rsidR="00D0508D" w:rsidRPr="006630EB" w:rsidRDefault="00D0508D" w:rsidP="006630EB">
      <w:pPr>
        <w:spacing w:after="0"/>
        <w:rPr>
          <w:rFonts w:cs="Verdana"/>
          <w:bCs/>
          <w:color w:val="000000"/>
          <w:sz w:val="16"/>
          <w:szCs w:val="16"/>
        </w:rPr>
      </w:pPr>
    </w:p>
    <w:sectPr w:rsidR="00D0508D" w:rsidRPr="006630EB" w:rsidSect="00A934F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0AC0C" w14:textId="77777777" w:rsidR="0091042A" w:rsidRDefault="0091042A" w:rsidP="00DD2624">
      <w:pPr>
        <w:spacing w:after="0" w:line="240" w:lineRule="auto"/>
      </w:pPr>
      <w:r>
        <w:separator/>
      </w:r>
    </w:p>
  </w:endnote>
  <w:endnote w:type="continuationSeparator" w:id="0">
    <w:p w14:paraId="5C5E930B" w14:textId="77777777" w:rsidR="0091042A" w:rsidRDefault="0091042A" w:rsidP="00DD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C7BE" w14:textId="77777777" w:rsidR="0091042A" w:rsidRDefault="00910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705A" w14:textId="77777777" w:rsidR="0091042A" w:rsidRDefault="00910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1F64" w14:textId="77777777" w:rsidR="0091042A" w:rsidRDefault="0091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413BA" w14:textId="77777777" w:rsidR="0091042A" w:rsidRDefault="0091042A" w:rsidP="00DD2624">
      <w:pPr>
        <w:spacing w:after="0" w:line="240" w:lineRule="auto"/>
      </w:pPr>
      <w:r>
        <w:separator/>
      </w:r>
    </w:p>
  </w:footnote>
  <w:footnote w:type="continuationSeparator" w:id="0">
    <w:p w14:paraId="7D743CC2" w14:textId="77777777" w:rsidR="0091042A" w:rsidRDefault="0091042A" w:rsidP="00DD2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0FD10" w14:textId="77777777" w:rsidR="0091042A" w:rsidRDefault="00910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AF16" w14:textId="77777777" w:rsidR="0091042A" w:rsidRDefault="00910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74C4" w14:textId="77777777" w:rsidR="0091042A" w:rsidRDefault="00910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288"/>
    <w:multiLevelType w:val="hybridMultilevel"/>
    <w:tmpl w:val="3FB8D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B5413"/>
    <w:multiLevelType w:val="hybridMultilevel"/>
    <w:tmpl w:val="6DC2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A6B62"/>
    <w:multiLevelType w:val="multilevel"/>
    <w:tmpl w:val="CABC1AC6"/>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1106"/>
        </w:tabs>
        <w:ind w:left="426" w:firstLine="0"/>
      </w:pPr>
      <w:rPr>
        <w:rFonts w:hint="default"/>
        <w:b w:val="0"/>
        <w:color w:val="auto"/>
        <w:sz w:val="2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8EF70B3"/>
    <w:multiLevelType w:val="hybridMultilevel"/>
    <w:tmpl w:val="C3BE024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301E49"/>
    <w:multiLevelType w:val="hybridMultilevel"/>
    <w:tmpl w:val="616027F6"/>
    <w:lvl w:ilvl="0" w:tplc="619AC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C34C0"/>
    <w:multiLevelType w:val="hybridMultilevel"/>
    <w:tmpl w:val="EE94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D7EB9"/>
    <w:multiLevelType w:val="hybridMultilevel"/>
    <w:tmpl w:val="B5D8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Formattin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B6"/>
    <w:rsid w:val="00002175"/>
    <w:rsid w:val="00002505"/>
    <w:rsid w:val="00004087"/>
    <w:rsid w:val="0001599E"/>
    <w:rsid w:val="00017255"/>
    <w:rsid w:val="000220AF"/>
    <w:rsid w:val="00023C05"/>
    <w:rsid w:val="000257E2"/>
    <w:rsid w:val="00032F72"/>
    <w:rsid w:val="0003473D"/>
    <w:rsid w:val="000365E6"/>
    <w:rsid w:val="0003775F"/>
    <w:rsid w:val="00040797"/>
    <w:rsid w:val="00043BA0"/>
    <w:rsid w:val="0004565F"/>
    <w:rsid w:val="00046F09"/>
    <w:rsid w:val="000564B5"/>
    <w:rsid w:val="00062323"/>
    <w:rsid w:val="000669C0"/>
    <w:rsid w:val="0007277C"/>
    <w:rsid w:val="00073DEC"/>
    <w:rsid w:val="00075EEB"/>
    <w:rsid w:val="000821CD"/>
    <w:rsid w:val="00084272"/>
    <w:rsid w:val="00094467"/>
    <w:rsid w:val="000A1CB5"/>
    <w:rsid w:val="000A51B6"/>
    <w:rsid w:val="000A78AF"/>
    <w:rsid w:val="000B2029"/>
    <w:rsid w:val="000B2CC8"/>
    <w:rsid w:val="000B2D4A"/>
    <w:rsid w:val="000C31EE"/>
    <w:rsid w:val="000F708D"/>
    <w:rsid w:val="001014A9"/>
    <w:rsid w:val="00104081"/>
    <w:rsid w:val="00110DF7"/>
    <w:rsid w:val="00112688"/>
    <w:rsid w:val="00112ED5"/>
    <w:rsid w:val="0012088C"/>
    <w:rsid w:val="001209C8"/>
    <w:rsid w:val="00126EA9"/>
    <w:rsid w:val="001331B0"/>
    <w:rsid w:val="00134A7A"/>
    <w:rsid w:val="00137775"/>
    <w:rsid w:val="00147A2B"/>
    <w:rsid w:val="00151BCE"/>
    <w:rsid w:val="00170AF2"/>
    <w:rsid w:val="00170E7B"/>
    <w:rsid w:val="00186ECC"/>
    <w:rsid w:val="00191EF7"/>
    <w:rsid w:val="001941EB"/>
    <w:rsid w:val="00194FEA"/>
    <w:rsid w:val="00195E8F"/>
    <w:rsid w:val="001B22AE"/>
    <w:rsid w:val="001B59DC"/>
    <w:rsid w:val="001B68D9"/>
    <w:rsid w:val="001C04F8"/>
    <w:rsid w:val="001C05BA"/>
    <w:rsid w:val="001C1A49"/>
    <w:rsid w:val="001C5898"/>
    <w:rsid w:val="001C6D3B"/>
    <w:rsid w:val="001D3A68"/>
    <w:rsid w:val="001E052E"/>
    <w:rsid w:val="001E66A9"/>
    <w:rsid w:val="001F159F"/>
    <w:rsid w:val="001F4DC1"/>
    <w:rsid w:val="001F642B"/>
    <w:rsid w:val="001F790F"/>
    <w:rsid w:val="00201BC7"/>
    <w:rsid w:val="00203EC4"/>
    <w:rsid w:val="00206907"/>
    <w:rsid w:val="00211BD4"/>
    <w:rsid w:val="00211F0F"/>
    <w:rsid w:val="00217B86"/>
    <w:rsid w:val="00221622"/>
    <w:rsid w:val="00226490"/>
    <w:rsid w:val="00227B62"/>
    <w:rsid w:val="00234C43"/>
    <w:rsid w:val="00237F81"/>
    <w:rsid w:val="00243BEE"/>
    <w:rsid w:val="00247273"/>
    <w:rsid w:val="00251C61"/>
    <w:rsid w:val="00260C4C"/>
    <w:rsid w:val="00264FE3"/>
    <w:rsid w:val="00273701"/>
    <w:rsid w:val="0027572E"/>
    <w:rsid w:val="00277952"/>
    <w:rsid w:val="00280E1E"/>
    <w:rsid w:val="00281CDF"/>
    <w:rsid w:val="00285B3F"/>
    <w:rsid w:val="0029322A"/>
    <w:rsid w:val="002970F2"/>
    <w:rsid w:val="00297574"/>
    <w:rsid w:val="002A7711"/>
    <w:rsid w:val="002B0A70"/>
    <w:rsid w:val="002B6E5F"/>
    <w:rsid w:val="002C40D8"/>
    <w:rsid w:val="002C4953"/>
    <w:rsid w:val="002D3971"/>
    <w:rsid w:val="002D5A08"/>
    <w:rsid w:val="002D6351"/>
    <w:rsid w:val="002D6417"/>
    <w:rsid w:val="002D6DE3"/>
    <w:rsid w:val="002E0E3D"/>
    <w:rsid w:val="002E33B5"/>
    <w:rsid w:val="002E3900"/>
    <w:rsid w:val="002F6EE7"/>
    <w:rsid w:val="002F7B1A"/>
    <w:rsid w:val="00301A50"/>
    <w:rsid w:val="00313C18"/>
    <w:rsid w:val="00313DE1"/>
    <w:rsid w:val="00321611"/>
    <w:rsid w:val="00322D27"/>
    <w:rsid w:val="00324E58"/>
    <w:rsid w:val="00325BE1"/>
    <w:rsid w:val="00325E48"/>
    <w:rsid w:val="003278FB"/>
    <w:rsid w:val="00331F15"/>
    <w:rsid w:val="00332DCA"/>
    <w:rsid w:val="0033397A"/>
    <w:rsid w:val="00335932"/>
    <w:rsid w:val="003379DE"/>
    <w:rsid w:val="00352792"/>
    <w:rsid w:val="00356DFA"/>
    <w:rsid w:val="00363BE3"/>
    <w:rsid w:val="00365556"/>
    <w:rsid w:val="003711E0"/>
    <w:rsid w:val="00371441"/>
    <w:rsid w:val="0037277B"/>
    <w:rsid w:val="00376C91"/>
    <w:rsid w:val="00380AD3"/>
    <w:rsid w:val="003824EF"/>
    <w:rsid w:val="00383122"/>
    <w:rsid w:val="00386830"/>
    <w:rsid w:val="00394AA3"/>
    <w:rsid w:val="003A3749"/>
    <w:rsid w:val="003A7B7A"/>
    <w:rsid w:val="003B03CF"/>
    <w:rsid w:val="003B0503"/>
    <w:rsid w:val="003B1396"/>
    <w:rsid w:val="003C37BC"/>
    <w:rsid w:val="003D025D"/>
    <w:rsid w:val="003D10E3"/>
    <w:rsid w:val="003D1369"/>
    <w:rsid w:val="003D1572"/>
    <w:rsid w:val="003D2EBC"/>
    <w:rsid w:val="003D34CE"/>
    <w:rsid w:val="003D3B6E"/>
    <w:rsid w:val="003E044E"/>
    <w:rsid w:val="003F32A0"/>
    <w:rsid w:val="003F4A51"/>
    <w:rsid w:val="003F742A"/>
    <w:rsid w:val="003F75AB"/>
    <w:rsid w:val="0041342D"/>
    <w:rsid w:val="00426438"/>
    <w:rsid w:val="00431A1E"/>
    <w:rsid w:val="004358BE"/>
    <w:rsid w:val="00440C19"/>
    <w:rsid w:val="00446956"/>
    <w:rsid w:val="004474BA"/>
    <w:rsid w:val="00454BA5"/>
    <w:rsid w:val="00455E5D"/>
    <w:rsid w:val="00456639"/>
    <w:rsid w:val="00463F81"/>
    <w:rsid w:val="0047088F"/>
    <w:rsid w:val="00474D38"/>
    <w:rsid w:val="00475745"/>
    <w:rsid w:val="004878FF"/>
    <w:rsid w:val="00487AD2"/>
    <w:rsid w:val="00492920"/>
    <w:rsid w:val="004A0776"/>
    <w:rsid w:val="004A7672"/>
    <w:rsid w:val="004B38D8"/>
    <w:rsid w:val="004B4E56"/>
    <w:rsid w:val="004B5E70"/>
    <w:rsid w:val="004B7692"/>
    <w:rsid w:val="004C00B4"/>
    <w:rsid w:val="004C062C"/>
    <w:rsid w:val="004C4873"/>
    <w:rsid w:val="004D40DE"/>
    <w:rsid w:val="004E0F6C"/>
    <w:rsid w:val="004E3490"/>
    <w:rsid w:val="004E3B12"/>
    <w:rsid w:val="004F3984"/>
    <w:rsid w:val="005021F4"/>
    <w:rsid w:val="00516DD8"/>
    <w:rsid w:val="005230D5"/>
    <w:rsid w:val="005353BF"/>
    <w:rsid w:val="00552F0C"/>
    <w:rsid w:val="00556875"/>
    <w:rsid w:val="005670CD"/>
    <w:rsid w:val="00576E5C"/>
    <w:rsid w:val="005774D3"/>
    <w:rsid w:val="00582D28"/>
    <w:rsid w:val="0058549E"/>
    <w:rsid w:val="0059591D"/>
    <w:rsid w:val="005A5977"/>
    <w:rsid w:val="005A63AA"/>
    <w:rsid w:val="005A6BB9"/>
    <w:rsid w:val="005A7E59"/>
    <w:rsid w:val="005B1632"/>
    <w:rsid w:val="005B2073"/>
    <w:rsid w:val="005B6796"/>
    <w:rsid w:val="005B7D57"/>
    <w:rsid w:val="005C1A32"/>
    <w:rsid w:val="005D0BF2"/>
    <w:rsid w:val="005D6CA9"/>
    <w:rsid w:val="005E0FFD"/>
    <w:rsid w:val="005E568A"/>
    <w:rsid w:val="00603AA9"/>
    <w:rsid w:val="00606602"/>
    <w:rsid w:val="00621D89"/>
    <w:rsid w:val="0063077F"/>
    <w:rsid w:val="00631F22"/>
    <w:rsid w:val="006404B0"/>
    <w:rsid w:val="00640BE4"/>
    <w:rsid w:val="00641E72"/>
    <w:rsid w:val="006457DF"/>
    <w:rsid w:val="00656604"/>
    <w:rsid w:val="0066082F"/>
    <w:rsid w:val="006630EB"/>
    <w:rsid w:val="00673BCB"/>
    <w:rsid w:val="006769C9"/>
    <w:rsid w:val="00676F31"/>
    <w:rsid w:val="006803AE"/>
    <w:rsid w:val="006857F7"/>
    <w:rsid w:val="00697D90"/>
    <w:rsid w:val="006A20E2"/>
    <w:rsid w:val="006B7CFD"/>
    <w:rsid w:val="006C16A9"/>
    <w:rsid w:val="006C1F2F"/>
    <w:rsid w:val="006D6107"/>
    <w:rsid w:val="006E0843"/>
    <w:rsid w:val="006E0A79"/>
    <w:rsid w:val="006E71AC"/>
    <w:rsid w:val="006F05AD"/>
    <w:rsid w:val="006F2765"/>
    <w:rsid w:val="006F4A48"/>
    <w:rsid w:val="006F590D"/>
    <w:rsid w:val="006F7809"/>
    <w:rsid w:val="00701721"/>
    <w:rsid w:val="007073A7"/>
    <w:rsid w:val="00707BAE"/>
    <w:rsid w:val="00714D3F"/>
    <w:rsid w:val="007225C2"/>
    <w:rsid w:val="00731D87"/>
    <w:rsid w:val="007324E9"/>
    <w:rsid w:val="0074030C"/>
    <w:rsid w:val="00740B77"/>
    <w:rsid w:val="00744AF8"/>
    <w:rsid w:val="00745983"/>
    <w:rsid w:val="00751849"/>
    <w:rsid w:val="00754392"/>
    <w:rsid w:val="007619B6"/>
    <w:rsid w:val="00772D49"/>
    <w:rsid w:val="007825AB"/>
    <w:rsid w:val="00793280"/>
    <w:rsid w:val="007B298A"/>
    <w:rsid w:val="007B658B"/>
    <w:rsid w:val="007C21C7"/>
    <w:rsid w:val="007C53A8"/>
    <w:rsid w:val="007C5D8A"/>
    <w:rsid w:val="007C79F3"/>
    <w:rsid w:val="007C7B11"/>
    <w:rsid w:val="007D45DC"/>
    <w:rsid w:val="007D79B8"/>
    <w:rsid w:val="007E1C9D"/>
    <w:rsid w:val="007F7ADA"/>
    <w:rsid w:val="00801BDD"/>
    <w:rsid w:val="00802458"/>
    <w:rsid w:val="00807D98"/>
    <w:rsid w:val="008125D4"/>
    <w:rsid w:val="00813753"/>
    <w:rsid w:val="00824F66"/>
    <w:rsid w:val="00825A1C"/>
    <w:rsid w:val="0085064D"/>
    <w:rsid w:val="00854C67"/>
    <w:rsid w:val="00860175"/>
    <w:rsid w:val="00873E24"/>
    <w:rsid w:val="008831A4"/>
    <w:rsid w:val="00896AB7"/>
    <w:rsid w:val="008979C8"/>
    <w:rsid w:val="00897DFB"/>
    <w:rsid w:val="008B30F2"/>
    <w:rsid w:val="008B3F0D"/>
    <w:rsid w:val="008B75DD"/>
    <w:rsid w:val="008C79E8"/>
    <w:rsid w:val="008D5879"/>
    <w:rsid w:val="008D7DE4"/>
    <w:rsid w:val="008E3F2A"/>
    <w:rsid w:val="008F4746"/>
    <w:rsid w:val="008F5BC2"/>
    <w:rsid w:val="00903DDF"/>
    <w:rsid w:val="00906FC4"/>
    <w:rsid w:val="0091042A"/>
    <w:rsid w:val="00911915"/>
    <w:rsid w:val="00921316"/>
    <w:rsid w:val="0092262D"/>
    <w:rsid w:val="009342DE"/>
    <w:rsid w:val="00934E8F"/>
    <w:rsid w:val="00936051"/>
    <w:rsid w:val="009407EE"/>
    <w:rsid w:val="0094288C"/>
    <w:rsid w:val="00943866"/>
    <w:rsid w:val="00950849"/>
    <w:rsid w:val="0095735F"/>
    <w:rsid w:val="00961ED7"/>
    <w:rsid w:val="0096493C"/>
    <w:rsid w:val="009816FB"/>
    <w:rsid w:val="00981EE8"/>
    <w:rsid w:val="00985797"/>
    <w:rsid w:val="00990887"/>
    <w:rsid w:val="0099230A"/>
    <w:rsid w:val="009961C9"/>
    <w:rsid w:val="009A1C25"/>
    <w:rsid w:val="009A2B9D"/>
    <w:rsid w:val="009B5721"/>
    <w:rsid w:val="009E26A4"/>
    <w:rsid w:val="009F4CAE"/>
    <w:rsid w:val="00A0318B"/>
    <w:rsid w:val="00A04568"/>
    <w:rsid w:val="00A0536E"/>
    <w:rsid w:val="00A07211"/>
    <w:rsid w:val="00A17C2B"/>
    <w:rsid w:val="00A238E7"/>
    <w:rsid w:val="00A2611E"/>
    <w:rsid w:val="00A27A0F"/>
    <w:rsid w:val="00A30D23"/>
    <w:rsid w:val="00A3392D"/>
    <w:rsid w:val="00A33A49"/>
    <w:rsid w:val="00A33E00"/>
    <w:rsid w:val="00A33FE5"/>
    <w:rsid w:val="00A40243"/>
    <w:rsid w:val="00A43C60"/>
    <w:rsid w:val="00A5574A"/>
    <w:rsid w:val="00A7368F"/>
    <w:rsid w:val="00A7484D"/>
    <w:rsid w:val="00A769E0"/>
    <w:rsid w:val="00A77945"/>
    <w:rsid w:val="00A81559"/>
    <w:rsid w:val="00A8167F"/>
    <w:rsid w:val="00A82550"/>
    <w:rsid w:val="00A87D13"/>
    <w:rsid w:val="00A91B21"/>
    <w:rsid w:val="00A934FD"/>
    <w:rsid w:val="00A93EAC"/>
    <w:rsid w:val="00A95C83"/>
    <w:rsid w:val="00A97592"/>
    <w:rsid w:val="00AA4716"/>
    <w:rsid w:val="00AA4D7C"/>
    <w:rsid w:val="00AA6114"/>
    <w:rsid w:val="00AB254F"/>
    <w:rsid w:val="00AC6158"/>
    <w:rsid w:val="00AD13D2"/>
    <w:rsid w:val="00AD52E6"/>
    <w:rsid w:val="00AD6A70"/>
    <w:rsid w:val="00AE4ACA"/>
    <w:rsid w:val="00AE4CE8"/>
    <w:rsid w:val="00B01AB5"/>
    <w:rsid w:val="00B04A48"/>
    <w:rsid w:val="00B04B94"/>
    <w:rsid w:val="00B131BA"/>
    <w:rsid w:val="00B24505"/>
    <w:rsid w:val="00B273F0"/>
    <w:rsid w:val="00B32F76"/>
    <w:rsid w:val="00B35044"/>
    <w:rsid w:val="00B41E00"/>
    <w:rsid w:val="00B4236A"/>
    <w:rsid w:val="00B55123"/>
    <w:rsid w:val="00B566E8"/>
    <w:rsid w:val="00B60F02"/>
    <w:rsid w:val="00B614D8"/>
    <w:rsid w:val="00B70061"/>
    <w:rsid w:val="00B87B3B"/>
    <w:rsid w:val="00B91329"/>
    <w:rsid w:val="00B91D3E"/>
    <w:rsid w:val="00B92D48"/>
    <w:rsid w:val="00B950EE"/>
    <w:rsid w:val="00B9552F"/>
    <w:rsid w:val="00B95BC9"/>
    <w:rsid w:val="00BA03D6"/>
    <w:rsid w:val="00BA31B1"/>
    <w:rsid w:val="00BA4EDD"/>
    <w:rsid w:val="00BA5774"/>
    <w:rsid w:val="00BA7039"/>
    <w:rsid w:val="00BB347C"/>
    <w:rsid w:val="00BB619B"/>
    <w:rsid w:val="00BB674B"/>
    <w:rsid w:val="00BB75D5"/>
    <w:rsid w:val="00BC245A"/>
    <w:rsid w:val="00BC7E8A"/>
    <w:rsid w:val="00BD35C9"/>
    <w:rsid w:val="00BD6531"/>
    <w:rsid w:val="00BD772F"/>
    <w:rsid w:val="00BE5106"/>
    <w:rsid w:val="00BE6069"/>
    <w:rsid w:val="00C035B5"/>
    <w:rsid w:val="00C06CA3"/>
    <w:rsid w:val="00C0703B"/>
    <w:rsid w:val="00C073E1"/>
    <w:rsid w:val="00C14D2B"/>
    <w:rsid w:val="00C15C2B"/>
    <w:rsid w:val="00C21715"/>
    <w:rsid w:val="00C34386"/>
    <w:rsid w:val="00C4085C"/>
    <w:rsid w:val="00C46686"/>
    <w:rsid w:val="00C521D1"/>
    <w:rsid w:val="00C63099"/>
    <w:rsid w:val="00C632EA"/>
    <w:rsid w:val="00C67732"/>
    <w:rsid w:val="00C75A49"/>
    <w:rsid w:val="00C75FF9"/>
    <w:rsid w:val="00C7747A"/>
    <w:rsid w:val="00C81AE0"/>
    <w:rsid w:val="00C95F73"/>
    <w:rsid w:val="00CA1CAF"/>
    <w:rsid w:val="00CA4712"/>
    <w:rsid w:val="00CB084A"/>
    <w:rsid w:val="00CB2D38"/>
    <w:rsid w:val="00CB4603"/>
    <w:rsid w:val="00CC60E2"/>
    <w:rsid w:val="00CC6664"/>
    <w:rsid w:val="00CC78AF"/>
    <w:rsid w:val="00CC7D88"/>
    <w:rsid w:val="00CD05BB"/>
    <w:rsid w:val="00CE1B4E"/>
    <w:rsid w:val="00CE337E"/>
    <w:rsid w:val="00CE5263"/>
    <w:rsid w:val="00CE589A"/>
    <w:rsid w:val="00D00BF5"/>
    <w:rsid w:val="00D0508D"/>
    <w:rsid w:val="00D0585A"/>
    <w:rsid w:val="00D069F6"/>
    <w:rsid w:val="00D06F98"/>
    <w:rsid w:val="00D13D29"/>
    <w:rsid w:val="00D35B7E"/>
    <w:rsid w:val="00D41916"/>
    <w:rsid w:val="00D46A14"/>
    <w:rsid w:val="00D507AF"/>
    <w:rsid w:val="00D50BFD"/>
    <w:rsid w:val="00D52A4C"/>
    <w:rsid w:val="00D609A1"/>
    <w:rsid w:val="00D62F76"/>
    <w:rsid w:val="00D63100"/>
    <w:rsid w:val="00D64EE3"/>
    <w:rsid w:val="00D6675E"/>
    <w:rsid w:val="00D71E46"/>
    <w:rsid w:val="00D7513C"/>
    <w:rsid w:val="00D77823"/>
    <w:rsid w:val="00D903A9"/>
    <w:rsid w:val="00D910B6"/>
    <w:rsid w:val="00D961C3"/>
    <w:rsid w:val="00D96F3F"/>
    <w:rsid w:val="00DA6D5A"/>
    <w:rsid w:val="00DB1B25"/>
    <w:rsid w:val="00DB5F0A"/>
    <w:rsid w:val="00DB6C40"/>
    <w:rsid w:val="00DB7C36"/>
    <w:rsid w:val="00DD2624"/>
    <w:rsid w:val="00DE5812"/>
    <w:rsid w:val="00DF12EB"/>
    <w:rsid w:val="00DF1551"/>
    <w:rsid w:val="00DF60F8"/>
    <w:rsid w:val="00E11747"/>
    <w:rsid w:val="00E16C6C"/>
    <w:rsid w:val="00E16FD6"/>
    <w:rsid w:val="00E1782C"/>
    <w:rsid w:val="00E22A62"/>
    <w:rsid w:val="00E25EC7"/>
    <w:rsid w:val="00E26B54"/>
    <w:rsid w:val="00E36580"/>
    <w:rsid w:val="00E40147"/>
    <w:rsid w:val="00E40EEC"/>
    <w:rsid w:val="00E54024"/>
    <w:rsid w:val="00E62E3F"/>
    <w:rsid w:val="00E63343"/>
    <w:rsid w:val="00E637AC"/>
    <w:rsid w:val="00E6679C"/>
    <w:rsid w:val="00E74095"/>
    <w:rsid w:val="00E76E07"/>
    <w:rsid w:val="00E808DE"/>
    <w:rsid w:val="00E8139F"/>
    <w:rsid w:val="00E82635"/>
    <w:rsid w:val="00E86FA7"/>
    <w:rsid w:val="00E870F0"/>
    <w:rsid w:val="00E911A2"/>
    <w:rsid w:val="00E971E8"/>
    <w:rsid w:val="00E97A03"/>
    <w:rsid w:val="00EB46B7"/>
    <w:rsid w:val="00EC0B62"/>
    <w:rsid w:val="00ED01C5"/>
    <w:rsid w:val="00ED0BBE"/>
    <w:rsid w:val="00ED4ADB"/>
    <w:rsid w:val="00ED6F35"/>
    <w:rsid w:val="00EE61BD"/>
    <w:rsid w:val="00EF0088"/>
    <w:rsid w:val="00EF36E8"/>
    <w:rsid w:val="00EF638E"/>
    <w:rsid w:val="00F1260B"/>
    <w:rsid w:val="00F13503"/>
    <w:rsid w:val="00F149AE"/>
    <w:rsid w:val="00F2141F"/>
    <w:rsid w:val="00F26AE8"/>
    <w:rsid w:val="00F31607"/>
    <w:rsid w:val="00F33345"/>
    <w:rsid w:val="00F34312"/>
    <w:rsid w:val="00F4472D"/>
    <w:rsid w:val="00F4589D"/>
    <w:rsid w:val="00F45E30"/>
    <w:rsid w:val="00F507FB"/>
    <w:rsid w:val="00F5162A"/>
    <w:rsid w:val="00F5434E"/>
    <w:rsid w:val="00F54496"/>
    <w:rsid w:val="00F61227"/>
    <w:rsid w:val="00F65BDA"/>
    <w:rsid w:val="00F67F2E"/>
    <w:rsid w:val="00F816C7"/>
    <w:rsid w:val="00F823A3"/>
    <w:rsid w:val="00F84577"/>
    <w:rsid w:val="00F84643"/>
    <w:rsid w:val="00F854F8"/>
    <w:rsid w:val="00F865A8"/>
    <w:rsid w:val="00F9099D"/>
    <w:rsid w:val="00F9155B"/>
    <w:rsid w:val="00F94E48"/>
    <w:rsid w:val="00F979F2"/>
    <w:rsid w:val="00FA7EA2"/>
    <w:rsid w:val="00FB02A2"/>
    <w:rsid w:val="00FB0C99"/>
    <w:rsid w:val="00FB4995"/>
    <w:rsid w:val="00FB4CC1"/>
    <w:rsid w:val="00FB5A8D"/>
    <w:rsid w:val="00FB70B5"/>
    <w:rsid w:val="00FC1AAA"/>
    <w:rsid w:val="00FC255A"/>
    <w:rsid w:val="00FC281B"/>
    <w:rsid w:val="00FC2FE6"/>
    <w:rsid w:val="00FD130F"/>
    <w:rsid w:val="00FF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E7"/>
  </w:style>
  <w:style w:type="paragraph" w:styleId="Heading1">
    <w:name w:val="heading 1"/>
    <w:basedOn w:val="Normal"/>
    <w:next w:val="Normal"/>
    <w:link w:val="Heading1Char"/>
    <w:uiPriority w:val="9"/>
    <w:qFormat/>
    <w:rsid w:val="00DD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in Heading - Colour"/>
    <w:basedOn w:val="Heading1"/>
    <w:next w:val="Normal"/>
    <w:link w:val="Heading2Char"/>
    <w:uiPriority w:val="9"/>
    <w:qFormat/>
    <w:rsid w:val="00DD2624"/>
    <w:pPr>
      <w:keepNext w:val="0"/>
      <w:keepLines w:val="0"/>
      <w:tabs>
        <w:tab w:val="left" w:pos="2581"/>
      </w:tabs>
      <w:spacing w:before="120" w:after="360" w:line="240" w:lineRule="auto"/>
      <w:outlineLvl w:val="1"/>
    </w:pPr>
    <w:rPr>
      <w:rFonts w:ascii="Verdana" w:eastAsia="Times New Roman" w:hAnsi="Verdana" w:cs="Times New Roman"/>
      <w:bCs w:val="0"/>
      <w:color w:val="365F91"/>
      <w:sz w:val="24"/>
      <w:szCs w:val="24"/>
    </w:rPr>
  </w:style>
  <w:style w:type="paragraph" w:styleId="Heading3">
    <w:name w:val="heading 3"/>
    <w:aliases w:val="Sub-heading 2 - Bold"/>
    <w:basedOn w:val="Heading2"/>
    <w:next w:val="Normal"/>
    <w:link w:val="Heading3Char"/>
    <w:qFormat/>
    <w:rsid w:val="00DD2624"/>
    <w:pPr>
      <w:outlineLvl w:val="2"/>
    </w:pPr>
    <w:rPr>
      <w:color w:val="auto"/>
      <w:sz w:val="20"/>
    </w:rPr>
  </w:style>
  <w:style w:type="paragraph" w:styleId="Heading4">
    <w:name w:val="heading 4"/>
    <w:basedOn w:val="Normal"/>
    <w:next w:val="Normal"/>
    <w:link w:val="Heading4Char"/>
    <w:uiPriority w:val="9"/>
    <w:semiHidden/>
    <w:unhideWhenUsed/>
    <w:qFormat/>
    <w:rsid w:val="009508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1B6"/>
    <w:pPr>
      <w:ind w:left="720"/>
      <w:contextualSpacing/>
    </w:pPr>
  </w:style>
  <w:style w:type="character" w:customStyle="1" w:styleId="ListParagraphChar">
    <w:name w:val="List Paragraph Char"/>
    <w:basedOn w:val="DefaultParagraphFont"/>
    <w:link w:val="ListParagraph"/>
    <w:uiPriority w:val="34"/>
    <w:rsid w:val="000A51B6"/>
  </w:style>
  <w:style w:type="character" w:styleId="Hyperlink">
    <w:name w:val="Hyperlink"/>
    <w:basedOn w:val="DefaultParagraphFont"/>
    <w:uiPriority w:val="99"/>
    <w:unhideWhenUsed/>
    <w:rsid w:val="0029322A"/>
    <w:rPr>
      <w:color w:val="0000FF" w:themeColor="hyperlink"/>
      <w:u w:val="single"/>
    </w:rPr>
  </w:style>
  <w:style w:type="character" w:styleId="CommentReference">
    <w:name w:val="annotation reference"/>
    <w:basedOn w:val="DefaultParagraphFont"/>
    <w:uiPriority w:val="99"/>
    <w:rsid w:val="00BD35C9"/>
    <w:rPr>
      <w:sz w:val="16"/>
      <w:szCs w:val="16"/>
    </w:rPr>
  </w:style>
  <w:style w:type="paragraph" w:styleId="CommentText">
    <w:name w:val="annotation text"/>
    <w:basedOn w:val="Normal"/>
    <w:link w:val="CommentTextChar"/>
    <w:uiPriority w:val="99"/>
    <w:rsid w:val="00BD35C9"/>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BD35C9"/>
    <w:rPr>
      <w:rFonts w:eastAsia="Times New Roman" w:cs="Times New Roman"/>
      <w:szCs w:val="20"/>
    </w:rPr>
  </w:style>
  <w:style w:type="paragraph" w:styleId="BalloonText">
    <w:name w:val="Balloon Text"/>
    <w:basedOn w:val="Normal"/>
    <w:link w:val="BalloonTextChar"/>
    <w:uiPriority w:val="99"/>
    <w:semiHidden/>
    <w:unhideWhenUsed/>
    <w:rsid w:val="00B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368F"/>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7368F"/>
    <w:rPr>
      <w:rFonts w:eastAsia="Times New Roman" w:cs="Times New Roman"/>
      <w:b/>
      <w:bCs/>
      <w:szCs w:val="20"/>
    </w:rPr>
  </w:style>
  <w:style w:type="table" w:styleId="TableGrid">
    <w:name w:val="Table Grid"/>
    <w:basedOn w:val="TableNormal"/>
    <w:uiPriority w:val="59"/>
    <w:rsid w:val="00F9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Main Heading - Colour Char"/>
    <w:basedOn w:val="DefaultParagraphFont"/>
    <w:link w:val="Heading2"/>
    <w:uiPriority w:val="9"/>
    <w:rsid w:val="00DD2624"/>
    <w:rPr>
      <w:rFonts w:eastAsia="Times New Roman" w:cs="Times New Roman"/>
      <w:b/>
      <w:color w:val="365F91"/>
      <w:sz w:val="24"/>
      <w:szCs w:val="24"/>
    </w:rPr>
  </w:style>
  <w:style w:type="character" w:customStyle="1" w:styleId="Heading3Char">
    <w:name w:val="Heading 3 Char"/>
    <w:aliases w:val="Sub-heading 2 - Bold Char"/>
    <w:basedOn w:val="DefaultParagraphFont"/>
    <w:link w:val="Heading3"/>
    <w:rsid w:val="00DD2624"/>
    <w:rPr>
      <w:rFonts w:eastAsia="Times New Roman" w:cs="Times New Roman"/>
      <w:b/>
      <w:szCs w:val="24"/>
    </w:rPr>
  </w:style>
  <w:style w:type="paragraph" w:customStyle="1" w:styleId="ChapterHeading">
    <w:name w:val="Chapter Heading"/>
    <w:basedOn w:val="Heading1"/>
    <w:next w:val="Normal"/>
    <w:uiPriority w:val="99"/>
    <w:rsid w:val="00DD2624"/>
    <w:pPr>
      <w:keepNext w:val="0"/>
      <w:keepLines w:val="0"/>
      <w:pageBreakBefore/>
      <w:numPr>
        <w:numId w:val="2"/>
      </w:numPr>
      <w:pBdr>
        <w:bottom w:val="single" w:sz="24" w:space="1" w:color="365F91"/>
      </w:pBdr>
      <w:tabs>
        <w:tab w:val="left" w:pos="2581"/>
      </w:tabs>
      <w:spacing w:before="0" w:after="200"/>
    </w:pPr>
    <w:rPr>
      <w:rFonts w:ascii="Verdana" w:eastAsia="Times New Roman" w:hAnsi="Verdana" w:cs="Times New Roman"/>
      <w:b w:val="0"/>
      <w:color w:val="365F91"/>
      <w:sz w:val="40"/>
      <w:szCs w:val="20"/>
    </w:rPr>
  </w:style>
  <w:style w:type="paragraph" w:styleId="FootnoteText">
    <w:name w:val="footnote text"/>
    <w:link w:val="FootnoteTextChar"/>
    <w:uiPriority w:val="99"/>
    <w:rsid w:val="00DD2624"/>
    <w:pPr>
      <w:widowControl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rsid w:val="00DD2624"/>
    <w:rPr>
      <w:rFonts w:eastAsia="Times New Roman" w:cs="Times New Roman"/>
      <w:sz w:val="18"/>
      <w:szCs w:val="20"/>
    </w:rPr>
  </w:style>
  <w:style w:type="paragraph" w:customStyle="1" w:styleId="Paragrapgh">
    <w:name w:val="Paragrapgh"/>
    <w:basedOn w:val="Normal"/>
    <w:uiPriority w:val="99"/>
    <w:qFormat/>
    <w:rsid w:val="00DD2624"/>
    <w:pPr>
      <w:numPr>
        <w:ilvl w:val="1"/>
        <w:numId w:val="2"/>
      </w:numPr>
      <w:spacing w:before="360" w:after="360" w:line="240" w:lineRule="auto"/>
    </w:pPr>
    <w:rPr>
      <w:rFonts w:eastAsia="Times New Roman" w:cs="Times New Roman"/>
      <w:szCs w:val="20"/>
    </w:rPr>
  </w:style>
  <w:style w:type="character" w:styleId="FootnoteReference">
    <w:name w:val="footnote reference"/>
    <w:basedOn w:val="DefaultParagraphFont"/>
    <w:uiPriority w:val="99"/>
    <w:semiHidden/>
    <w:rsid w:val="00DD2624"/>
    <w:rPr>
      <w:rFonts w:ascii="Verdana" w:hAnsi="Verdana"/>
      <w:vertAlign w:val="superscript"/>
    </w:rPr>
  </w:style>
  <w:style w:type="character" w:customStyle="1" w:styleId="Heading1Char">
    <w:name w:val="Heading 1 Char"/>
    <w:basedOn w:val="DefaultParagraphFont"/>
    <w:link w:val="Heading1"/>
    <w:uiPriority w:val="9"/>
    <w:rsid w:val="00DD26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B4603"/>
    <w:rPr>
      <w:color w:val="800080" w:themeColor="followedHyperlink"/>
      <w:u w:val="single"/>
    </w:rPr>
  </w:style>
  <w:style w:type="paragraph" w:customStyle="1" w:styleId="paragrapgh0">
    <w:name w:val="paragrapgh"/>
    <w:basedOn w:val="Normal"/>
    <w:uiPriority w:val="99"/>
    <w:rsid w:val="007E1C9D"/>
    <w:pPr>
      <w:spacing w:before="360" w:after="360" w:line="240" w:lineRule="auto"/>
      <w:ind w:left="426"/>
    </w:pPr>
    <w:rPr>
      <w:rFonts w:cs="Times New Roman"/>
      <w:szCs w:val="20"/>
      <w:lang w:eastAsia="en-GB"/>
    </w:rPr>
  </w:style>
  <w:style w:type="paragraph" w:customStyle="1" w:styleId="RIIOTitleoflicence">
    <w:name w:val="RIIO Title of licence"/>
    <w:basedOn w:val="Heading4"/>
    <w:uiPriority w:val="2"/>
    <w:qFormat/>
    <w:rsid w:val="00950849"/>
    <w:pPr>
      <w:keepNext w:val="0"/>
      <w:keepLines w:val="0"/>
      <w:spacing w:before="0" w:after="432" w:line="360" w:lineRule="auto"/>
    </w:pPr>
    <w:rPr>
      <w:rFonts w:ascii="Arial Bold" w:eastAsia="Times New Roman" w:hAnsi="Arial Bold" w:cs="Times New Roman"/>
      <w:i w:val="0"/>
      <w:iCs w:val="0"/>
      <w:color w:val="auto"/>
      <w:sz w:val="28"/>
      <w:szCs w:val="20"/>
    </w:rPr>
  </w:style>
  <w:style w:type="character" w:customStyle="1" w:styleId="Heading4Char">
    <w:name w:val="Heading 4 Char"/>
    <w:basedOn w:val="DefaultParagraphFont"/>
    <w:link w:val="Heading4"/>
    <w:uiPriority w:val="9"/>
    <w:semiHidden/>
    <w:rsid w:val="00950849"/>
    <w:rPr>
      <w:rFonts w:asciiTheme="majorHAnsi" w:eastAsiaTheme="majorEastAsia" w:hAnsiTheme="majorHAnsi" w:cstheme="majorBidi"/>
      <w:b/>
      <w:bCs/>
      <w:i/>
      <w:iCs/>
      <w:color w:val="4F81BD" w:themeColor="accent1"/>
    </w:rPr>
  </w:style>
  <w:style w:type="paragraph" w:customStyle="1" w:styleId="RIIOMainParagraph">
    <w:name w:val="RIIO Main Paragraph"/>
    <w:basedOn w:val="ListParagraph"/>
    <w:qFormat/>
    <w:rsid w:val="00DF1551"/>
    <w:pPr>
      <w:tabs>
        <w:tab w:val="left" w:pos="-1440"/>
        <w:tab w:val="left" w:pos="-720"/>
        <w:tab w:val="left" w:pos="720"/>
        <w:tab w:val="left" w:pos="1447"/>
        <w:tab w:val="left" w:pos="2170"/>
        <w:tab w:val="left" w:pos="2894"/>
        <w:tab w:val="left" w:pos="3600"/>
        <w:tab w:val="left" w:pos="4320"/>
        <w:tab w:val="left" w:pos="4992"/>
        <w:tab w:val="left" w:pos="5788"/>
      </w:tabs>
      <w:spacing w:after="120" w:line="240" w:lineRule="auto"/>
      <w:ind w:left="0"/>
      <w:contextualSpacing w:val="0"/>
    </w:pPr>
    <w:rPr>
      <w:rFonts w:ascii="Times New Roman" w:eastAsia="Times New Roman" w:hAnsi="Times New Roman" w:cs="Times New Roman"/>
      <w:spacing w:val="-3"/>
      <w:sz w:val="24"/>
      <w:szCs w:val="20"/>
    </w:rPr>
  </w:style>
  <w:style w:type="paragraph" w:customStyle="1" w:styleId="Default">
    <w:name w:val="Default"/>
    <w:rsid w:val="00854C67"/>
    <w:pPr>
      <w:autoSpaceDE w:val="0"/>
      <w:autoSpaceDN w:val="0"/>
      <w:adjustRightInd w:val="0"/>
      <w:spacing w:after="0" w:line="240" w:lineRule="auto"/>
    </w:pPr>
    <w:rPr>
      <w:rFonts w:cs="Verdana"/>
      <w:color w:val="000000"/>
      <w:sz w:val="24"/>
      <w:szCs w:val="24"/>
    </w:rPr>
  </w:style>
  <w:style w:type="character" w:styleId="PlaceholderText">
    <w:name w:val="Placeholder Text"/>
    <w:basedOn w:val="DefaultParagraphFont"/>
    <w:uiPriority w:val="99"/>
    <w:semiHidden/>
    <w:rsid w:val="000821CD"/>
    <w:rPr>
      <w:color w:val="808080"/>
    </w:rPr>
  </w:style>
  <w:style w:type="paragraph" w:customStyle="1" w:styleId="RIIOSub-heading">
    <w:name w:val="RIIO Sub-heading"/>
    <w:basedOn w:val="Normal"/>
    <w:qFormat/>
    <w:rsid w:val="00046F09"/>
    <w:pPr>
      <w:tabs>
        <w:tab w:val="left" w:pos="-720"/>
      </w:tabs>
      <w:spacing w:after="220"/>
    </w:pPr>
    <w:rPr>
      <w:rFonts w:ascii="Arial" w:eastAsia="Calibri" w:hAnsi="Arial" w:cs="Arial"/>
      <w:b/>
      <w:spacing w:val="-3"/>
      <w:sz w:val="24"/>
      <w:szCs w:val="24"/>
    </w:rPr>
  </w:style>
  <w:style w:type="paragraph" w:customStyle="1" w:styleId="RIIOListlevel1">
    <w:name w:val="RIIO List (level 1)"/>
    <w:basedOn w:val="Normal"/>
    <w:uiPriority w:val="2"/>
    <w:qFormat/>
    <w:rsid w:val="00046F09"/>
    <w:pPr>
      <w:spacing w:after="160" w:line="240" w:lineRule="auto"/>
      <w:ind w:left="1440" w:hanging="720"/>
    </w:pPr>
    <w:rPr>
      <w:rFonts w:ascii="Times New Roman" w:eastAsia="Times New Roman" w:hAnsi="Times New Roman" w:cs="Times New Roman"/>
      <w:sz w:val="24"/>
      <w:szCs w:val="20"/>
      <w:lang w:val="en-US"/>
    </w:rPr>
  </w:style>
  <w:style w:type="paragraph" w:styleId="Revision">
    <w:name w:val="Revision"/>
    <w:hidden/>
    <w:uiPriority w:val="99"/>
    <w:semiHidden/>
    <w:rsid w:val="00D35B7E"/>
    <w:pPr>
      <w:spacing w:after="0" w:line="240" w:lineRule="auto"/>
    </w:pPr>
  </w:style>
  <w:style w:type="paragraph" w:styleId="Header">
    <w:name w:val="header"/>
    <w:basedOn w:val="Normal"/>
    <w:link w:val="HeaderChar"/>
    <w:uiPriority w:val="99"/>
    <w:unhideWhenUsed/>
    <w:rsid w:val="00C6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EA"/>
  </w:style>
  <w:style w:type="paragraph" w:styleId="Footer">
    <w:name w:val="footer"/>
    <w:basedOn w:val="Normal"/>
    <w:link w:val="FooterChar"/>
    <w:uiPriority w:val="99"/>
    <w:unhideWhenUsed/>
    <w:rsid w:val="00C6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E7"/>
  </w:style>
  <w:style w:type="paragraph" w:styleId="Heading1">
    <w:name w:val="heading 1"/>
    <w:basedOn w:val="Normal"/>
    <w:next w:val="Normal"/>
    <w:link w:val="Heading1Char"/>
    <w:uiPriority w:val="9"/>
    <w:qFormat/>
    <w:rsid w:val="00DD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in Heading - Colour"/>
    <w:basedOn w:val="Heading1"/>
    <w:next w:val="Normal"/>
    <w:link w:val="Heading2Char"/>
    <w:uiPriority w:val="9"/>
    <w:qFormat/>
    <w:rsid w:val="00DD2624"/>
    <w:pPr>
      <w:keepNext w:val="0"/>
      <w:keepLines w:val="0"/>
      <w:tabs>
        <w:tab w:val="left" w:pos="2581"/>
      </w:tabs>
      <w:spacing w:before="120" w:after="360" w:line="240" w:lineRule="auto"/>
      <w:outlineLvl w:val="1"/>
    </w:pPr>
    <w:rPr>
      <w:rFonts w:ascii="Verdana" w:eastAsia="Times New Roman" w:hAnsi="Verdana" w:cs="Times New Roman"/>
      <w:bCs w:val="0"/>
      <w:color w:val="365F91"/>
      <w:sz w:val="24"/>
      <w:szCs w:val="24"/>
    </w:rPr>
  </w:style>
  <w:style w:type="paragraph" w:styleId="Heading3">
    <w:name w:val="heading 3"/>
    <w:aliases w:val="Sub-heading 2 - Bold"/>
    <w:basedOn w:val="Heading2"/>
    <w:next w:val="Normal"/>
    <w:link w:val="Heading3Char"/>
    <w:qFormat/>
    <w:rsid w:val="00DD2624"/>
    <w:pPr>
      <w:outlineLvl w:val="2"/>
    </w:pPr>
    <w:rPr>
      <w:color w:val="auto"/>
      <w:sz w:val="20"/>
    </w:rPr>
  </w:style>
  <w:style w:type="paragraph" w:styleId="Heading4">
    <w:name w:val="heading 4"/>
    <w:basedOn w:val="Normal"/>
    <w:next w:val="Normal"/>
    <w:link w:val="Heading4Char"/>
    <w:uiPriority w:val="9"/>
    <w:semiHidden/>
    <w:unhideWhenUsed/>
    <w:qFormat/>
    <w:rsid w:val="009508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1B6"/>
    <w:pPr>
      <w:ind w:left="720"/>
      <w:contextualSpacing/>
    </w:pPr>
  </w:style>
  <w:style w:type="character" w:customStyle="1" w:styleId="ListParagraphChar">
    <w:name w:val="List Paragraph Char"/>
    <w:basedOn w:val="DefaultParagraphFont"/>
    <w:link w:val="ListParagraph"/>
    <w:uiPriority w:val="34"/>
    <w:rsid w:val="000A51B6"/>
  </w:style>
  <w:style w:type="character" w:styleId="Hyperlink">
    <w:name w:val="Hyperlink"/>
    <w:basedOn w:val="DefaultParagraphFont"/>
    <w:uiPriority w:val="99"/>
    <w:unhideWhenUsed/>
    <w:rsid w:val="0029322A"/>
    <w:rPr>
      <w:color w:val="0000FF" w:themeColor="hyperlink"/>
      <w:u w:val="single"/>
    </w:rPr>
  </w:style>
  <w:style w:type="character" w:styleId="CommentReference">
    <w:name w:val="annotation reference"/>
    <w:basedOn w:val="DefaultParagraphFont"/>
    <w:uiPriority w:val="99"/>
    <w:rsid w:val="00BD35C9"/>
    <w:rPr>
      <w:sz w:val="16"/>
      <w:szCs w:val="16"/>
    </w:rPr>
  </w:style>
  <w:style w:type="paragraph" w:styleId="CommentText">
    <w:name w:val="annotation text"/>
    <w:basedOn w:val="Normal"/>
    <w:link w:val="CommentTextChar"/>
    <w:uiPriority w:val="99"/>
    <w:rsid w:val="00BD35C9"/>
    <w:pPr>
      <w:spacing w:after="0" w:line="240" w:lineRule="auto"/>
    </w:pPr>
    <w:rPr>
      <w:rFonts w:eastAsia="Times New Roman" w:cs="Times New Roman"/>
      <w:szCs w:val="20"/>
    </w:rPr>
  </w:style>
  <w:style w:type="character" w:customStyle="1" w:styleId="CommentTextChar">
    <w:name w:val="Comment Text Char"/>
    <w:basedOn w:val="DefaultParagraphFont"/>
    <w:link w:val="CommentText"/>
    <w:uiPriority w:val="99"/>
    <w:rsid w:val="00BD35C9"/>
    <w:rPr>
      <w:rFonts w:eastAsia="Times New Roman" w:cs="Times New Roman"/>
      <w:szCs w:val="20"/>
    </w:rPr>
  </w:style>
  <w:style w:type="paragraph" w:styleId="BalloonText">
    <w:name w:val="Balloon Text"/>
    <w:basedOn w:val="Normal"/>
    <w:link w:val="BalloonTextChar"/>
    <w:uiPriority w:val="99"/>
    <w:semiHidden/>
    <w:unhideWhenUsed/>
    <w:rsid w:val="00B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368F"/>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7368F"/>
    <w:rPr>
      <w:rFonts w:eastAsia="Times New Roman" w:cs="Times New Roman"/>
      <w:b/>
      <w:bCs/>
      <w:szCs w:val="20"/>
    </w:rPr>
  </w:style>
  <w:style w:type="table" w:styleId="TableGrid">
    <w:name w:val="Table Grid"/>
    <w:basedOn w:val="TableNormal"/>
    <w:uiPriority w:val="59"/>
    <w:rsid w:val="00F9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Main Heading - Colour Char"/>
    <w:basedOn w:val="DefaultParagraphFont"/>
    <w:link w:val="Heading2"/>
    <w:uiPriority w:val="9"/>
    <w:rsid w:val="00DD2624"/>
    <w:rPr>
      <w:rFonts w:eastAsia="Times New Roman" w:cs="Times New Roman"/>
      <w:b/>
      <w:color w:val="365F91"/>
      <w:sz w:val="24"/>
      <w:szCs w:val="24"/>
    </w:rPr>
  </w:style>
  <w:style w:type="character" w:customStyle="1" w:styleId="Heading3Char">
    <w:name w:val="Heading 3 Char"/>
    <w:aliases w:val="Sub-heading 2 - Bold Char"/>
    <w:basedOn w:val="DefaultParagraphFont"/>
    <w:link w:val="Heading3"/>
    <w:rsid w:val="00DD2624"/>
    <w:rPr>
      <w:rFonts w:eastAsia="Times New Roman" w:cs="Times New Roman"/>
      <w:b/>
      <w:szCs w:val="24"/>
    </w:rPr>
  </w:style>
  <w:style w:type="paragraph" w:customStyle="1" w:styleId="ChapterHeading">
    <w:name w:val="Chapter Heading"/>
    <w:basedOn w:val="Heading1"/>
    <w:next w:val="Normal"/>
    <w:uiPriority w:val="99"/>
    <w:rsid w:val="00DD2624"/>
    <w:pPr>
      <w:keepNext w:val="0"/>
      <w:keepLines w:val="0"/>
      <w:pageBreakBefore/>
      <w:numPr>
        <w:numId w:val="2"/>
      </w:numPr>
      <w:pBdr>
        <w:bottom w:val="single" w:sz="24" w:space="1" w:color="365F91"/>
      </w:pBdr>
      <w:tabs>
        <w:tab w:val="left" w:pos="2581"/>
      </w:tabs>
      <w:spacing w:before="0" w:after="200"/>
    </w:pPr>
    <w:rPr>
      <w:rFonts w:ascii="Verdana" w:eastAsia="Times New Roman" w:hAnsi="Verdana" w:cs="Times New Roman"/>
      <w:b w:val="0"/>
      <w:color w:val="365F91"/>
      <w:sz w:val="40"/>
      <w:szCs w:val="20"/>
    </w:rPr>
  </w:style>
  <w:style w:type="paragraph" w:styleId="FootnoteText">
    <w:name w:val="footnote text"/>
    <w:link w:val="FootnoteTextChar"/>
    <w:uiPriority w:val="99"/>
    <w:rsid w:val="00DD2624"/>
    <w:pPr>
      <w:widowControl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rsid w:val="00DD2624"/>
    <w:rPr>
      <w:rFonts w:eastAsia="Times New Roman" w:cs="Times New Roman"/>
      <w:sz w:val="18"/>
      <w:szCs w:val="20"/>
    </w:rPr>
  </w:style>
  <w:style w:type="paragraph" w:customStyle="1" w:styleId="Paragrapgh">
    <w:name w:val="Paragrapgh"/>
    <w:basedOn w:val="Normal"/>
    <w:uiPriority w:val="99"/>
    <w:qFormat/>
    <w:rsid w:val="00DD2624"/>
    <w:pPr>
      <w:numPr>
        <w:ilvl w:val="1"/>
        <w:numId w:val="2"/>
      </w:numPr>
      <w:spacing w:before="360" w:after="360" w:line="240" w:lineRule="auto"/>
    </w:pPr>
    <w:rPr>
      <w:rFonts w:eastAsia="Times New Roman" w:cs="Times New Roman"/>
      <w:szCs w:val="20"/>
    </w:rPr>
  </w:style>
  <w:style w:type="character" w:styleId="FootnoteReference">
    <w:name w:val="footnote reference"/>
    <w:basedOn w:val="DefaultParagraphFont"/>
    <w:uiPriority w:val="99"/>
    <w:semiHidden/>
    <w:rsid w:val="00DD2624"/>
    <w:rPr>
      <w:rFonts w:ascii="Verdana" w:hAnsi="Verdana"/>
      <w:vertAlign w:val="superscript"/>
    </w:rPr>
  </w:style>
  <w:style w:type="character" w:customStyle="1" w:styleId="Heading1Char">
    <w:name w:val="Heading 1 Char"/>
    <w:basedOn w:val="DefaultParagraphFont"/>
    <w:link w:val="Heading1"/>
    <w:uiPriority w:val="9"/>
    <w:rsid w:val="00DD26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B4603"/>
    <w:rPr>
      <w:color w:val="800080" w:themeColor="followedHyperlink"/>
      <w:u w:val="single"/>
    </w:rPr>
  </w:style>
  <w:style w:type="paragraph" w:customStyle="1" w:styleId="paragrapgh0">
    <w:name w:val="paragrapgh"/>
    <w:basedOn w:val="Normal"/>
    <w:uiPriority w:val="99"/>
    <w:rsid w:val="007E1C9D"/>
    <w:pPr>
      <w:spacing w:before="360" w:after="360" w:line="240" w:lineRule="auto"/>
      <w:ind w:left="426"/>
    </w:pPr>
    <w:rPr>
      <w:rFonts w:cs="Times New Roman"/>
      <w:szCs w:val="20"/>
      <w:lang w:eastAsia="en-GB"/>
    </w:rPr>
  </w:style>
  <w:style w:type="paragraph" w:customStyle="1" w:styleId="RIIOTitleoflicence">
    <w:name w:val="RIIO Title of licence"/>
    <w:basedOn w:val="Heading4"/>
    <w:uiPriority w:val="2"/>
    <w:qFormat/>
    <w:rsid w:val="00950849"/>
    <w:pPr>
      <w:keepNext w:val="0"/>
      <w:keepLines w:val="0"/>
      <w:spacing w:before="0" w:after="432" w:line="360" w:lineRule="auto"/>
    </w:pPr>
    <w:rPr>
      <w:rFonts w:ascii="Arial Bold" w:eastAsia="Times New Roman" w:hAnsi="Arial Bold" w:cs="Times New Roman"/>
      <w:i w:val="0"/>
      <w:iCs w:val="0"/>
      <w:color w:val="auto"/>
      <w:sz w:val="28"/>
      <w:szCs w:val="20"/>
    </w:rPr>
  </w:style>
  <w:style w:type="character" w:customStyle="1" w:styleId="Heading4Char">
    <w:name w:val="Heading 4 Char"/>
    <w:basedOn w:val="DefaultParagraphFont"/>
    <w:link w:val="Heading4"/>
    <w:uiPriority w:val="9"/>
    <w:semiHidden/>
    <w:rsid w:val="00950849"/>
    <w:rPr>
      <w:rFonts w:asciiTheme="majorHAnsi" w:eastAsiaTheme="majorEastAsia" w:hAnsiTheme="majorHAnsi" w:cstheme="majorBidi"/>
      <w:b/>
      <w:bCs/>
      <w:i/>
      <w:iCs/>
      <w:color w:val="4F81BD" w:themeColor="accent1"/>
    </w:rPr>
  </w:style>
  <w:style w:type="paragraph" w:customStyle="1" w:styleId="RIIOMainParagraph">
    <w:name w:val="RIIO Main Paragraph"/>
    <w:basedOn w:val="ListParagraph"/>
    <w:qFormat/>
    <w:rsid w:val="00DF1551"/>
    <w:pPr>
      <w:tabs>
        <w:tab w:val="left" w:pos="-1440"/>
        <w:tab w:val="left" w:pos="-720"/>
        <w:tab w:val="left" w:pos="720"/>
        <w:tab w:val="left" w:pos="1447"/>
        <w:tab w:val="left" w:pos="2170"/>
        <w:tab w:val="left" w:pos="2894"/>
        <w:tab w:val="left" w:pos="3600"/>
        <w:tab w:val="left" w:pos="4320"/>
        <w:tab w:val="left" w:pos="4992"/>
        <w:tab w:val="left" w:pos="5788"/>
      </w:tabs>
      <w:spacing w:after="120" w:line="240" w:lineRule="auto"/>
      <w:ind w:left="0"/>
      <w:contextualSpacing w:val="0"/>
    </w:pPr>
    <w:rPr>
      <w:rFonts w:ascii="Times New Roman" w:eastAsia="Times New Roman" w:hAnsi="Times New Roman" w:cs="Times New Roman"/>
      <w:spacing w:val="-3"/>
      <w:sz w:val="24"/>
      <w:szCs w:val="20"/>
    </w:rPr>
  </w:style>
  <w:style w:type="paragraph" w:customStyle="1" w:styleId="Default">
    <w:name w:val="Default"/>
    <w:rsid w:val="00854C67"/>
    <w:pPr>
      <w:autoSpaceDE w:val="0"/>
      <w:autoSpaceDN w:val="0"/>
      <w:adjustRightInd w:val="0"/>
      <w:spacing w:after="0" w:line="240" w:lineRule="auto"/>
    </w:pPr>
    <w:rPr>
      <w:rFonts w:cs="Verdana"/>
      <w:color w:val="000000"/>
      <w:sz w:val="24"/>
      <w:szCs w:val="24"/>
    </w:rPr>
  </w:style>
  <w:style w:type="character" w:styleId="PlaceholderText">
    <w:name w:val="Placeholder Text"/>
    <w:basedOn w:val="DefaultParagraphFont"/>
    <w:uiPriority w:val="99"/>
    <w:semiHidden/>
    <w:rsid w:val="000821CD"/>
    <w:rPr>
      <w:color w:val="808080"/>
    </w:rPr>
  </w:style>
  <w:style w:type="paragraph" w:customStyle="1" w:styleId="RIIOSub-heading">
    <w:name w:val="RIIO Sub-heading"/>
    <w:basedOn w:val="Normal"/>
    <w:qFormat/>
    <w:rsid w:val="00046F09"/>
    <w:pPr>
      <w:tabs>
        <w:tab w:val="left" w:pos="-720"/>
      </w:tabs>
      <w:spacing w:after="220"/>
    </w:pPr>
    <w:rPr>
      <w:rFonts w:ascii="Arial" w:eastAsia="Calibri" w:hAnsi="Arial" w:cs="Arial"/>
      <w:b/>
      <w:spacing w:val="-3"/>
      <w:sz w:val="24"/>
      <w:szCs w:val="24"/>
    </w:rPr>
  </w:style>
  <w:style w:type="paragraph" w:customStyle="1" w:styleId="RIIOListlevel1">
    <w:name w:val="RIIO List (level 1)"/>
    <w:basedOn w:val="Normal"/>
    <w:uiPriority w:val="2"/>
    <w:qFormat/>
    <w:rsid w:val="00046F09"/>
    <w:pPr>
      <w:spacing w:after="160" w:line="240" w:lineRule="auto"/>
      <w:ind w:left="1440" w:hanging="720"/>
    </w:pPr>
    <w:rPr>
      <w:rFonts w:ascii="Times New Roman" w:eastAsia="Times New Roman" w:hAnsi="Times New Roman" w:cs="Times New Roman"/>
      <w:sz w:val="24"/>
      <w:szCs w:val="20"/>
      <w:lang w:val="en-US"/>
    </w:rPr>
  </w:style>
  <w:style w:type="paragraph" w:styleId="Revision">
    <w:name w:val="Revision"/>
    <w:hidden/>
    <w:uiPriority w:val="99"/>
    <w:semiHidden/>
    <w:rsid w:val="00D35B7E"/>
    <w:pPr>
      <w:spacing w:after="0" w:line="240" w:lineRule="auto"/>
    </w:pPr>
  </w:style>
  <w:style w:type="paragraph" w:styleId="Header">
    <w:name w:val="header"/>
    <w:basedOn w:val="Normal"/>
    <w:link w:val="HeaderChar"/>
    <w:uiPriority w:val="99"/>
    <w:unhideWhenUsed/>
    <w:rsid w:val="00C6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EA"/>
  </w:style>
  <w:style w:type="paragraph" w:styleId="Footer">
    <w:name w:val="footer"/>
    <w:basedOn w:val="Normal"/>
    <w:link w:val="FooterChar"/>
    <w:uiPriority w:val="99"/>
    <w:unhideWhenUsed/>
    <w:rsid w:val="00C6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79">
      <w:bodyDiv w:val="1"/>
      <w:marLeft w:val="0"/>
      <w:marRight w:val="0"/>
      <w:marTop w:val="0"/>
      <w:marBottom w:val="0"/>
      <w:divBdr>
        <w:top w:val="none" w:sz="0" w:space="0" w:color="auto"/>
        <w:left w:val="none" w:sz="0" w:space="0" w:color="auto"/>
        <w:bottom w:val="none" w:sz="0" w:space="0" w:color="auto"/>
        <w:right w:val="none" w:sz="0" w:space="0" w:color="auto"/>
      </w:divBdr>
    </w:div>
    <w:div w:id="40636096">
      <w:bodyDiv w:val="1"/>
      <w:marLeft w:val="0"/>
      <w:marRight w:val="0"/>
      <w:marTop w:val="0"/>
      <w:marBottom w:val="0"/>
      <w:divBdr>
        <w:top w:val="none" w:sz="0" w:space="0" w:color="auto"/>
        <w:left w:val="none" w:sz="0" w:space="0" w:color="auto"/>
        <w:bottom w:val="none" w:sz="0" w:space="0" w:color="auto"/>
        <w:right w:val="none" w:sz="0" w:space="0" w:color="auto"/>
      </w:divBdr>
    </w:div>
    <w:div w:id="227040469">
      <w:bodyDiv w:val="1"/>
      <w:marLeft w:val="0"/>
      <w:marRight w:val="0"/>
      <w:marTop w:val="0"/>
      <w:marBottom w:val="0"/>
      <w:divBdr>
        <w:top w:val="none" w:sz="0" w:space="0" w:color="auto"/>
        <w:left w:val="none" w:sz="0" w:space="0" w:color="auto"/>
        <w:bottom w:val="none" w:sz="0" w:space="0" w:color="auto"/>
        <w:right w:val="none" w:sz="0" w:space="0" w:color="auto"/>
      </w:divBdr>
    </w:div>
    <w:div w:id="414285219">
      <w:bodyDiv w:val="1"/>
      <w:marLeft w:val="0"/>
      <w:marRight w:val="0"/>
      <w:marTop w:val="0"/>
      <w:marBottom w:val="0"/>
      <w:divBdr>
        <w:top w:val="none" w:sz="0" w:space="0" w:color="auto"/>
        <w:left w:val="none" w:sz="0" w:space="0" w:color="auto"/>
        <w:bottom w:val="none" w:sz="0" w:space="0" w:color="auto"/>
        <w:right w:val="none" w:sz="0" w:space="0" w:color="auto"/>
      </w:divBdr>
    </w:div>
    <w:div w:id="566644752">
      <w:bodyDiv w:val="1"/>
      <w:marLeft w:val="167"/>
      <w:marRight w:val="167"/>
      <w:marTop w:val="335"/>
      <w:marBottom w:val="0"/>
      <w:divBdr>
        <w:top w:val="none" w:sz="0" w:space="0" w:color="auto"/>
        <w:left w:val="none" w:sz="0" w:space="0" w:color="auto"/>
        <w:bottom w:val="none" w:sz="0" w:space="0" w:color="auto"/>
        <w:right w:val="none" w:sz="0" w:space="0" w:color="auto"/>
      </w:divBdr>
      <w:divsChild>
        <w:div w:id="1751350335">
          <w:marLeft w:val="0"/>
          <w:marRight w:val="0"/>
          <w:marTop w:val="0"/>
          <w:marBottom w:val="0"/>
          <w:divBdr>
            <w:top w:val="none" w:sz="0" w:space="0" w:color="auto"/>
            <w:left w:val="none" w:sz="0" w:space="0" w:color="auto"/>
            <w:bottom w:val="none" w:sz="0" w:space="0" w:color="auto"/>
            <w:right w:val="none" w:sz="0" w:space="0" w:color="auto"/>
          </w:divBdr>
          <w:divsChild>
            <w:div w:id="1359890339">
              <w:marLeft w:val="0"/>
              <w:marRight w:val="0"/>
              <w:marTop w:val="0"/>
              <w:marBottom w:val="0"/>
              <w:divBdr>
                <w:top w:val="none" w:sz="0" w:space="0" w:color="auto"/>
                <w:left w:val="none" w:sz="0" w:space="0" w:color="auto"/>
                <w:bottom w:val="none" w:sz="0" w:space="0" w:color="auto"/>
                <w:right w:val="none" w:sz="0" w:space="0" w:color="auto"/>
              </w:divBdr>
              <w:divsChild>
                <w:div w:id="510411746">
                  <w:marLeft w:val="84"/>
                  <w:marRight w:val="84"/>
                  <w:marTop w:val="84"/>
                  <w:marBottom w:val="0"/>
                  <w:divBdr>
                    <w:top w:val="none" w:sz="0" w:space="0" w:color="auto"/>
                    <w:left w:val="none" w:sz="0" w:space="0" w:color="auto"/>
                    <w:bottom w:val="none" w:sz="0" w:space="0" w:color="auto"/>
                    <w:right w:val="none" w:sz="0" w:space="0" w:color="auto"/>
                  </w:divBdr>
                  <w:divsChild>
                    <w:div w:id="4208518">
                      <w:marLeft w:val="0"/>
                      <w:marRight w:val="0"/>
                      <w:marTop w:val="0"/>
                      <w:marBottom w:val="167"/>
                      <w:divBdr>
                        <w:top w:val="none" w:sz="0" w:space="0" w:color="auto"/>
                        <w:left w:val="none" w:sz="0" w:space="0" w:color="auto"/>
                        <w:bottom w:val="none" w:sz="0" w:space="0" w:color="auto"/>
                        <w:right w:val="none" w:sz="0" w:space="0" w:color="auto"/>
                      </w:divBdr>
                      <w:divsChild>
                        <w:div w:id="20347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21269">
      <w:bodyDiv w:val="1"/>
      <w:marLeft w:val="0"/>
      <w:marRight w:val="0"/>
      <w:marTop w:val="0"/>
      <w:marBottom w:val="0"/>
      <w:divBdr>
        <w:top w:val="none" w:sz="0" w:space="0" w:color="auto"/>
        <w:left w:val="none" w:sz="0" w:space="0" w:color="auto"/>
        <w:bottom w:val="none" w:sz="0" w:space="0" w:color="auto"/>
        <w:right w:val="none" w:sz="0" w:space="0" w:color="auto"/>
      </w:divBdr>
    </w:div>
    <w:div w:id="790169722">
      <w:bodyDiv w:val="1"/>
      <w:marLeft w:val="150"/>
      <w:marRight w:val="150"/>
      <w:marTop w:val="300"/>
      <w:marBottom w:val="0"/>
      <w:divBdr>
        <w:top w:val="none" w:sz="0" w:space="0" w:color="auto"/>
        <w:left w:val="none" w:sz="0" w:space="0" w:color="auto"/>
        <w:bottom w:val="none" w:sz="0" w:space="0" w:color="auto"/>
        <w:right w:val="none" w:sz="0" w:space="0" w:color="auto"/>
      </w:divBdr>
      <w:divsChild>
        <w:div w:id="812529946">
          <w:marLeft w:val="0"/>
          <w:marRight w:val="0"/>
          <w:marTop w:val="0"/>
          <w:marBottom w:val="0"/>
          <w:divBdr>
            <w:top w:val="none" w:sz="0" w:space="0" w:color="auto"/>
            <w:left w:val="none" w:sz="0" w:space="0" w:color="auto"/>
            <w:bottom w:val="none" w:sz="0" w:space="0" w:color="auto"/>
            <w:right w:val="none" w:sz="0" w:space="0" w:color="auto"/>
          </w:divBdr>
          <w:divsChild>
            <w:div w:id="52555852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75"/>
                  <w:marRight w:val="75"/>
                  <w:marTop w:val="75"/>
                  <w:marBottom w:val="0"/>
                  <w:divBdr>
                    <w:top w:val="none" w:sz="0" w:space="0" w:color="auto"/>
                    <w:left w:val="none" w:sz="0" w:space="0" w:color="auto"/>
                    <w:bottom w:val="none" w:sz="0" w:space="0" w:color="auto"/>
                    <w:right w:val="none" w:sz="0" w:space="0" w:color="auto"/>
                  </w:divBdr>
                  <w:divsChild>
                    <w:div w:id="2022076127">
                      <w:marLeft w:val="0"/>
                      <w:marRight w:val="0"/>
                      <w:marTop w:val="0"/>
                      <w:marBottom w:val="150"/>
                      <w:divBdr>
                        <w:top w:val="none" w:sz="0" w:space="0" w:color="auto"/>
                        <w:left w:val="none" w:sz="0" w:space="0" w:color="auto"/>
                        <w:bottom w:val="none" w:sz="0" w:space="0" w:color="auto"/>
                        <w:right w:val="none" w:sz="0" w:space="0" w:color="auto"/>
                      </w:divBdr>
                      <w:divsChild>
                        <w:div w:id="9733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00157">
      <w:bodyDiv w:val="1"/>
      <w:marLeft w:val="0"/>
      <w:marRight w:val="0"/>
      <w:marTop w:val="0"/>
      <w:marBottom w:val="0"/>
      <w:divBdr>
        <w:top w:val="none" w:sz="0" w:space="0" w:color="auto"/>
        <w:left w:val="none" w:sz="0" w:space="0" w:color="auto"/>
        <w:bottom w:val="none" w:sz="0" w:space="0" w:color="auto"/>
        <w:right w:val="none" w:sz="0" w:space="0" w:color="auto"/>
      </w:divBdr>
    </w:div>
    <w:div w:id="1220702980">
      <w:bodyDiv w:val="1"/>
      <w:marLeft w:val="150"/>
      <w:marRight w:val="150"/>
      <w:marTop w:val="300"/>
      <w:marBottom w:val="0"/>
      <w:divBdr>
        <w:top w:val="none" w:sz="0" w:space="0" w:color="auto"/>
        <w:left w:val="none" w:sz="0" w:space="0" w:color="auto"/>
        <w:bottom w:val="none" w:sz="0" w:space="0" w:color="auto"/>
        <w:right w:val="none" w:sz="0" w:space="0" w:color="auto"/>
      </w:divBdr>
      <w:divsChild>
        <w:div w:id="543368987">
          <w:marLeft w:val="0"/>
          <w:marRight w:val="0"/>
          <w:marTop w:val="0"/>
          <w:marBottom w:val="0"/>
          <w:divBdr>
            <w:top w:val="none" w:sz="0" w:space="0" w:color="auto"/>
            <w:left w:val="none" w:sz="0" w:space="0" w:color="auto"/>
            <w:bottom w:val="none" w:sz="0" w:space="0" w:color="auto"/>
            <w:right w:val="none" w:sz="0" w:space="0" w:color="auto"/>
          </w:divBdr>
          <w:divsChild>
            <w:div w:id="694230586">
              <w:marLeft w:val="0"/>
              <w:marRight w:val="0"/>
              <w:marTop w:val="0"/>
              <w:marBottom w:val="0"/>
              <w:divBdr>
                <w:top w:val="none" w:sz="0" w:space="0" w:color="auto"/>
                <w:left w:val="none" w:sz="0" w:space="0" w:color="auto"/>
                <w:bottom w:val="none" w:sz="0" w:space="0" w:color="auto"/>
                <w:right w:val="none" w:sz="0" w:space="0" w:color="auto"/>
              </w:divBdr>
              <w:divsChild>
                <w:div w:id="1780641007">
                  <w:marLeft w:val="75"/>
                  <w:marRight w:val="75"/>
                  <w:marTop w:val="75"/>
                  <w:marBottom w:val="0"/>
                  <w:divBdr>
                    <w:top w:val="none" w:sz="0" w:space="0" w:color="auto"/>
                    <w:left w:val="none" w:sz="0" w:space="0" w:color="auto"/>
                    <w:bottom w:val="none" w:sz="0" w:space="0" w:color="auto"/>
                    <w:right w:val="none" w:sz="0" w:space="0" w:color="auto"/>
                  </w:divBdr>
                  <w:divsChild>
                    <w:div w:id="808279049">
                      <w:marLeft w:val="0"/>
                      <w:marRight w:val="0"/>
                      <w:marTop w:val="0"/>
                      <w:marBottom w:val="150"/>
                      <w:divBdr>
                        <w:top w:val="none" w:sz="0" w:space="0" w:color="auto"/>
                        <w:left w:val="none" w:sz="0" w:space="0" w:color="auto"/>
                        <w:bottom w:val="none" w:sz="0" w:space="0" w:color="auto"/>
                        <w:right w:val="none" w:sz="0" w:space="0" w:color="auto"/>
                      </w:divBdr>
                      <w:divsChild>
                        <w:div w:id="5832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4477">
      <w:bodyDiv w:val="1"/>
      <w:marLeft w:val="0"/>
      <w:marRight w:val="0"/>
      <w:marTop w:val="0"/>
      <w:marBottom w:val="0"/>
      <w:divBdr>
        <w:top w:val="none" w:sz="0" w:space="0" w:color="auto"/>
        <w:left w:val="none" w:sz="0" w:space="0" w:color="auto"/>
        <w:bottom w:val="none" w:sz="0" w:space="0" w:color="auto"/>
        <w:right w:val="none" w:sz="0" w:space="0" w:color="auto"/>
      </w:divBdr>
    </w:div>
    <w:div w:id="1511917086">
      <w:bodyDiv w:val="1"/>
      <w:marLeft w:val="0"/>
      <w:marRight w:val="0"/>
      <w:marTop w:val="0"/>
      <w:marBottom w:val="0"/>
      <w:divBdr>
        <w:top w:val="none" w:sz="0" w:space="0" w:color="auto"/>
        <w:left w:val="none" w:sz="0" w:space="0" w:color="auto"/>
        <w:bottom w:val="none" w:sz="0" w:space="0" w:color="auto"/>
        <w:right w:val="none" w:sz="0" w:space="0" w:color="auto"/>
      </w:divBdr>
    </w:div>
    <w:div w:id="1738939642">
      <w:bodyDiv w:val="1"/>
      <w:marLeft w:val="0"/>
      <w:marRight w:val="0"/>
      <w:marTop w:val="0"/>
      <w:marBottom w:val="0"/>
      <w:divBdr>
        <w:top w:val="none" w:sz="0" w:space="0" w:color="auto"/>
        <w:left w:val="none" w:sz="0" w:space="0" w:color="auto"/>
        <w:bottom w:val="none" w:sz="0" w:space="0" w:color="auto"/>
        <w:right w:val="none" w:sz="0" w:space="0" w:color="auto"/>
      </w:divBdr>
    </w:div>
    <w:div w:id="1845897199">
      <w:bodyDiv w:val="1"/>
      <w:marLeft w:val="0"/>
      <w:marRight w:val="0"/>
      <w:marTop w:val="0"/>
      <w:marBottom w:val="0"/>
      <w:divBdr>
        <w:top w:val="none" w:sz="0" w:space="0" w:color="auto"/>
        <w:left w:val="none" w:sz="0" w:space="0" w:color="auto"/>
        <w:bottom w:val="none" w:sz="0" w:space="0" w:color="auto"/>
        <w:right w:val="none" w:sz="0" w:space="0" w:color="auto"/>
      </w:divBdr>
      <w:divsChild>
        <w:div w:id="1842432631">
          <w:marLeft w:val="0"/>
          <w:marRight w:val="0"/>
          <w:marTop w:val="0"/>
          <w:marBottom w:val="0"/>
          <w:divBdr>
            <w:top w:val="none" w:sz="0" w:space="0" w:color="auto"/>
            <w:left w:val="none" w:sz="0" w:space="0" w:color="auto"/>
            <w:bottom w:val="none" w:sz="0" w:space="0" w:color="auto"/>
            <w:right w:val="none" w:sz="0" w:space="0" w:color="auto"/>
          </w:divBdr>
        </w:div>
      </w:divsChild>
    </w:div>
    <w:div w:id="1983608660">
      <w:bodyDiv w:val="1"/>
      <w:marLeft w:val="0"/>
      <w:marRight w:val="0"/>
      <w:marTop w:val="0"/>
      <w:marBottom w:val="0"/>
      <w:divBdr>
        <w:top w:val="none" w:sz="0" w:space="0" w:color="auto"/>
        <w:left w:val="none" w:sz="0" w:space="0" w:color="auto"/>
        <w:bottom w:val="none" w:sz="0" w:space="0" w:color="auto"/>
        <w:right w:val="none" w:sz="0" w:space="0" w:color="auto"/>
      </w:divBdr>
    </w:div>
    <w:div w:id="20535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fgem.gov.uk/publications-and-updates/decision-modification-riio-gd1-gas-distribution-price-control-regulatory-instructions-and-guidance-version-3-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ofgem.gov.uk/publications-and-updates/notice-modification-relation-riio-gd1-gas-distribution-price-control-regulatory-instructions-and-guidance-version-3-0"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hyperlink" Target="https://www.ofgem.gov.uk/publications-and-updates/decision-modification-riio-gd1-gas-distribution-price-control-regulatory-instructions-and-guidance-versio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cision document" ma:contentTypeID="0x010100E3BECA1E04DDD94A83B1949C2EA4A3440081F313AC85593A4085FB233ADA82AA0D" ma:contentTypeVersion="0" ma:contentTypeDescription="This is used to produce decision documents" ma:contentTypeScope="" ma:versionID="d09d2fd9a21eb315c118c150b588fc2d">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f65d289fa2b061d72b236f48bbee50a2" ns2:_="" ns3:_="">
    <xsd:import namespace="http://schemas.microsoft.com/sharepoint/v3/fields"/>
    <xsd:import namespace="631298fc-6a88-4548-b7d9-3b164918c4a3"/>
    <xsd:element name="properties">
      <xsd:complexType>
        <xsd:sequence>
          <xsd:element name="documentManagement">
            <xsd:complexType>
              <xsd:all>
                <xsd:element ref="ns2:_Status" minOccurs="0"/>
                <xsd:element ref="ns3:_x003a_" minOccurs="0"/>
                <xsd:element ref="ns3:_x003a__x003a_" minOccurs="0"/>
                <xsd:element ref="ns3:Publication_x0020_Date_x003a_" minOccurs="0"/>
                <xsd:element ref="ns3:Recipient" minOccurs="0"/>
                <xsd:element ref="ns3:Ref_x0020_No"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10"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1"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Recipient" ma:index="13"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Ref_x0020_No" ma:index="14" nillable="true" ma:displayName="Ref No" ma:description="Generally the Ofgem Reference Number assigned by Comms for external publication" ma:internalName="Ref_x0020_No">
      <xsd:simpleType>
        <xsd:restriction base="dms:Text">
          <xsd:maxLength value="255"/>
        </xsd:restriction>
      </xsd:simpleType>
    </xsd:element>
    <xsd:element name="Classification" ma:index="15" ma:displayName="Classification" ma:default="Protect" ma:format="Dropdown" ma:internalName="Classification">
      <xsd:simpleType>
        <xsd:restriction base="dms:Choice">
          <xsd:enumeration value="Unclassified"/>
          <xsd:enumeration value="Protect"/>
          <xsd:enumeration value="Restricted"/>
        </xsd:restriction>
      </xsd:simpleType>
    </xsd:element>
    <xsd:element name="Descriptor" ma:index="16"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lassification xmlns="631298fc-6a88-4548-b7d9-3b164918c4a3">Protect</Classification>
    <Recipient xmlns="631298fc-6a88-4548-b7d9-3b164918c4a3" xsi:nil="true"/>
    <Descriptor xmlns="631298fc-6a88-4548-b7d9-3b164918c4a3" xsi:nil="true"/>
    <Publication_x0020_Date_x003a_ xmlns="631298fc-6a88-4548-b7d9-3b164918c4a3">2013-09-26T10:23:53+00:00</Publication_x0020_Date_x003a_>
    <Ref_x0020_No xmlns="631298fc-6a88-4548-b7d9-3b164918c4a3" xsi:nil="true"/>
    <_x003a__x003a_ xmlns="631298fc-6a88-4548-b7d9-3b164918c4a3">-Main Document</_x003a__x003a_>
    <_x003a_ xmlns="631298fc-6a88-4548-b7d9-3b164918c4a3" xsi:nil="true"/>
    <_Status xmlns="http://schemas.microsoft.com/sharepoint/v3/fields">Draft</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E3BECA1E04DDD94A83B1949C2EA4A344" PreviousValue="false"/>
</file>

<file path=customXml/item5.xml><?xml version="1.0" encoding="utf-8"?>
<sisl xmlns:xsd="http://www.w3.org/2001/XMLSchema" xmlns:xsi="http://www.w3.org/2001/XMLSchema-instance"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F1EB-EE06-47CE-85C2-51C654372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10B70-54BC-40E4-B983-31560B1734D2}">
  <ds:schemaRefs>
    <ds:schemaRef ds:uri="http://schemas.microsoft.com/office/2006/metadata/properties"/>
    <ds:schemaRef ds:uri="http://purl.org/dc/terms/"/>
    <ds:schemaRef ds:uri="http://schemas.microsoft.com/office/infopath/2007/PartnerControls"/>
    <ds:schemaRef ds:uri="631298fc-6a88-4548-b7d9-3b164918c4a3"/>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A5742575-AD3D-4468-BCF1-DB7F89CE2B1D}">
  <ds:schemaRefs>
    <ds:schemaRef ds:uri="http://schemas.microsoft.com/sharepoint/v3/contenttype/forms"/>
  </ds:schemaRefs>
</ds:datastoreItem>
</file>

<file path=customXml/itemProps4.xml><?xml version="1.0" encoding="utf-8"?>
<ds:datastoreItem xmlns:ds="http://schemas.openxmlformats.org/officeDocument/2006/customXml" ds:itemID="{5DAD3420-4DD8-41C3-AF5E-EB8702ACEA19}">
  <ds:schemaRefs>
    <ds:schemaRef ds:uri="Microsoft.SharePoint.Taxonomy.ContentTypeSync"/>
  </ds:schemaRefs>
</ds:datastoreItem>
</file>

<file path=customXml/itemProps5.xml><?xml version="1.0" encoding="utf-8"?>
<ds:datastoreItem xmlns:ds="http://schemas.openxmlformats.org/officeDocument/2006/customXml" ds:itemID="{CEEE297A-C0AB-43E8-BF69-72627C1F353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BB71B7B-CEEC-4D35-9A8E-499CA187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8490DFEA</Template>
  <TotalTime>8</TotalTime>
  <Pages>7</Pages>
  <Words>2245</Words>
  <Characters>11183</Characters>
  <Application>Microsoft Office Word</Application>
  <DocSecurity>0</DocSecurity>
  <Lines>399</Lines>
  <Paragraphs>213</Paragraphs>
  <ScaleCrop>false</ScaleCrop>
  <HeadingPairs>
    <vt:vector size="2" baseType="variant">
      <vt:variant>
        <vt:lpstr>Title</vt:lpstr>
      </vt:variant>
      <vt:variant>
        <vt:i4>1</vt:i4>
      </vt:variant>
    </vt:vector>
  </HeadingPairs>
  <TitlesOfParts>
    <vt:vector size="1" baseType="lpstr">
      <vt:lpstr>StatCon_Notice_RIIO GD1_Jul 13</vt:lpstr>
    </vt:vector>
  </TitlesOfParts>
  <Company>Ofgem</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StatCon_Notice_RIIO GD1_Jul 13</dc:title>
  <dc:creator>hussaini</dc:creator>
  <cp:lastModifiedBy>Laura Chester</cp:lastModifiedBy>
  <cp:revision>5</cp:revision>
  <cp:lastPrinted>2015-04-22T09:57:00Z</cp:lastPrinted>
  <dcterms:created xsi:type="dcterms:W3CDTF">2016-06-29T09:00:00Z</dcterms:created>
  <dcterms:modified xsi:type="dcterms:W3CDTF">2016-06-29T11:45:00Z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0x010100E3BECA1E04DDD94A83B1949C2EA4A3440081F313AC85593A4085FB233ADA82AA0D</vt:lpwstr>
  </property>
  <property fmtid="{D5CDD505-2E9C-101B-9397-08002B2CF9AE}" pid="3" name="Organisation">
    <vt:lpwstr>Choose an Organisation</vt:lpwstr>
  </property>
  <property fmtid="{D5CDD505-2E9C-101B-9397-08002B2CF9AE}" pid="4" name="DLCPolicyLabelValue">
    <vt:lpwstr>Version : 0.1</vt:lpwstr>
  </property>
  <property fmtid="{D5CDD505-2E9C-101B-9397-08002B2CF9AE}" pid="5" name="DLCPolicyLabelClientValue">
    <vt:lpwstr>Version : {_UIVersionString}</vt:lpwstr>
  </property>
  <property fmtid="{D5CDD505-2E9C-101B-9397-08002B2CF9AE}" pid="6" name="Select Content Type Above">
    <vt:lpwstr/>
  </property>
  <property fmtid="{D5CDD505-2E9C-101B-9397-08002B2CF9AE}" pid="7" name="Order">
    <vt:r8>935700</vt:r8>
  </property>
  <property fmtid="{D5CDD505-2E9C-101B-9397-08002B2CF9AE}" pid="8" name="From">
    <vt:lpwstr/>
  </property>
  <property fmtid="{D5CDD505-2E9C-101B-9397-08002B2CF9AE}" pid="9" name="Project Sponsor">
    <vt:lpwstr/>
  </property>
  <property fmtid="{D5CDD505-2E9C-101B-9397-08002B2CF9AE}" pid="10" name="BCC">
    <vt:lpwstr/>
  </property>
  <property fmtid="{D5CDD505-2E9C-101B-9397-08002B2CF9AE}" pid="11" name="xd_ProgID">
    <vt:lpwstr/>
  </property>
  <property fmtid="{D5CDD505-2E9C-101B-9397-08002B2CF9AE}" pid="12" name="Publication Date:">
    <vt:filetime>2013-09-26T10:23:53Z</vt:filetime>
  </property>
  <property fmtid="{D5CDD505-2E9C-101B-9397-08002B2CF9AE}" pid="13" name="_Version">
    <vt:lpwstr/>
  </property>
  <property fmtid="{D5CDD505-2E9C-101B-9397-08002B2CF9AE}" pid="14" name="Applicable Duration">
    <vt:lpwstr/>
  </property>
  <property fmtid="{D5CDD505-2E9C-101B-9397-08002B2CF9AE}" pid="15" name="TemplateUrl">
    <vt:lpwstr/>
  </property>
  <property fmtid="{D5CDD505-2E9C-101B-9397-08002B2CF9AE}" pid="16" name="CC">
    <vt:lpwstr/>
  </property>
  <property fmtid="{D5CDD505-2E9C-101B-9397-08002B2CF9AE}" pid="17" name="DLCPolicyLabelLock">
    <vt:lpwstr/>
  </property>
  <property fmtid="{D5CDD505-2E9C-101B-9397-08002B2CF9AE}" pid="18" name="To">
    <vt:lpwstr/>
  </property>
  <property fmtid="{D5CDD505-2E9C-101B-9397-08002B2CF9AE}" pid="19" name="::">
    <vt:lpwstr>-Main Document</vt:lpwstr>
  </property>
  <property fmtid="{D5CDD505-2E9C-101B-9397-08002B2CF9AE}" pid="20" name="Attach Count">
    <vt:lpwstr/>
  </property>
  <property fmtid="{D5CDD505-2E9C-101B-9397-08002B2CF9AE}" pid="21" name="Importance">
    <vt:lpwstr/>
  </property>
  <property fmtid="{D5CDD505-2E9C-101B-9397-08002B2CF9AE}" pid="22" name="Project Manager">
    <vt:lpwstr/>
  </property>
  <property fmtid="{D5CDD505-2E9C-101B-9397-08002B2CF9AE}" pid="23" name="Project Owner">
    <vt:lpwstr/>
  </property>
  <property fmtid="{D5CDD505-2E9C-101B-9397-08002B2CF9AE}" pid="24" name="Project Name">
    <vt:lpwstr/>
  </property>
  <property fmtid="{D5CDD505-2E9C-101B-9397-08002B2CF9AE}" pid="25" name="docIndexRef">
    <vt:lpwstr>21fe9b5e-631c-4011-a31b-16db0f7bff7f</vt:lpwstr>
  </property>
  <property fmtid="{D5CDD505-2E9C-101B-9397-08002B2CF9AE}" pid="26" name="bjSaver">
    <vt:lpwstr>QR/EJJOcy1YFtPVUjh7GTP9GSaUjpLQH</vt:lpwstr>
  </property>
  <property fmtid="{D5CDD505-2E9C-101B-9397-08002B2CF9AE}" pid="27" name="bjDocumentSecurityLabel">
    <vt:lpwstr>This item has no classification</vt:lpwstr>
  </property>
</Properties>
</file>