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162986" w14:textId="77777777" w:rsidR="00984D97" w:rsidRPr="007E7880" w:rsidRDefault="00984D97" w:rsidP="00984D97">
      <w:pPr>
        <w:rPr>
          <w:rFonts w:ascii="Verdana" w:hAnsi="Verdana"/>
          <w:b/>
          <w:sz w:val="22"/>
          <w:szCs w:val="22"/>
        </w:rPr>
      </w:pPr>
    </w:p>
    <w:p w14:paraId="1B02E62F" w14:textId="77777777" w:rsidR="002905E9" w:rsidRPr="007E7880" w:rsidRDefault="002905E9" w:rsidP="00984D97">
      <w:pPr>
        <w:rPr>
          <w:rFonts w:ascii="Verdana" w:hAnsi="Verdana"/>
          <w:b/>
          <w:sz w:val="22"/>
          <w:szCs w:val="22"/>
        </w:rPr>
      </w:pPr>
    </w:p>
    <w:p w14:paraId="594547C1" w14:textId="77777777" w:rsidR="002905E9" w:rsidRPr="007E7880" w:rsidRDefault="002905E9" w:rsidP="00984D97">
      <w:pPr>
        <w:rPr>
          <w:rFonts w:ascii="Verdana" w:hAnsi="Verdana"/>
          <w:b/>
          <w:sz w:val="22"/>
          <w:szCs w:val="22"/>
        </w:rPr>
      </w:pPr>
    </w:p>
    <w:p w14:paraId="7D162988" w14:textId="77777777" w:rsidR="00984D97" w:rsidRPr="007E7880" w:rsidRDefault="00984D97" w:rsidP="00984D97">
      <w:pPr>
        <w:jc w:val="center"/>
        <w:rPr>
          <w:rFonts w:ascii="Verdana" w:hAnsi="Verdana"/>
          <w:b/>
          <w:sz w:val="28"/>
          <w:szCs w:val="28"/>
        </w:rPr>
      </w:pPr>
    </w:p>
    <w:p w14:paraId="7D162989" w14:textId="72827B55" w:rsidR="00984D97" w:rsidRPr="007E7880" w:rsidRDefault="001468BF" w:rsidP="00984D97">
      <w:pPr>
        <w:jc w:val="center"/>
        <w:rPr>
          <w:rFonts w:ascii="Verdana" w:hAnsi="Verdana"/>
          <w:b/>
          <w:sz w:val="28"/>
          <w:szCs w:val="28"/>
        </w:rPr>
      </w:pPr>
      <w:r w:rsidRPr="007E7880">
        <w:rPr>
          <w:rFonts w:ascii="Verdana" w:hAnsi="Verdana"/>
          <w:b/>
          <w:sz w:val="28"/>
          <w:szCs w:val="28"/>
        </w:rPr>
        <w:t xml:space="preserve">RIIO-ED1 </w:t>
      </w:r>
      <w:r w:rsidR="00AE032B" w:rsidRPr="007E7880">
        <w:rPr>
          <w:rFonts w:ascii="Verdana" w:hAnsi="Verdana"/>
          <w:b/>
          <w:sz w:val="28"/>
          <w:szCs w:val="28"/>
        </w:rPr>
        <w:t xml:space="preserve">RIGs Financial Issues </w:t>
      </w:r>
    </w:p>
    <w:p w14:paraId="7D16298A" w14:textId="547BD0DE" w:rsidR="00984D97" w:rsidRPr="007E7880" w:rsidRDefault="00984D97" w:rsidP="00984D97">
      <w:pPr>
        <w:jc w:val="center"/>
        <w:rPr>
          <w:rFonts w:ascii="Verdana" w:hAnsi="Verdana"/>
          <w:b/>
          <w:sz w:val="28"/>
          <w:szCs w:val="28"/>
        </w:rPr>
      </w:pPr>
      <w:r w:rsidRPr="007E7880">
        <w:rPr>
          <w:rFonts w:ascii="Verdana" w:hAnsi="Verdana"/>
          <w:b/>
          <w:sz w:val="28"/>
          <w:szCs w:val="28"/>
        </w:rPr>
        <w:t>Commentary</w:t>
      </w:r>
      <w:r w:rsidR="003F3227">
        <w:rPr>
          <w:rFonts w:ascii="Verdana" w:hAnsi="Verdana"/>
          <w:b/>
          <w:sz w:val="28"/>
          <w:szCs w:val="28"/>
        </w:rPr>
        <w:t>, version 2</w:t>
      </w:r>
      <w:bookmarkStart w:id="0" w:name="_GoBack"/>
      <w:bookmarkEnd w:id="0"/>
      <w:r w:rsidR="002772D8" w:rsidRPr="007E7880">
        <w:rPr>
          <w:rFonts w:ascii="Verdana" w:hAnsi="Verdana"/>
          <w:b/>
          <w:sz w:val="28"/>
          <w:szCs w:val="28"/>
        </w:rPr>
        <w:t>.0</w:t>
      </w:r>
    </w:p>
    <w:p w14:paraId="7D16298B" w14:textId="77777777" w:rsidR="00984D97" w:rsidRPr="007E7880" w:rsidRDefault="00984D97" w:rsidP="00984D97">
      <w:pPr>
        <w:jc w:val="center"/>
        <w:rPr>
          <w:rFonts w:ascii="Verdana" w:hAnsi="Verdana"/>
          <w:b/>
          <w:sz w:val="28"/>
          <w:szCs w:val="28"/>
        </w:rPr>
      </w:pPr>
    </w:p>
    <w:p w14:paraId="7D16298C" w14:textId="26B86D91" w:rsidR="00984D97" w:rsidRPr="007E7880" w:rsidRDefault="00AE032B" w:rsidP="00AE032B">
      <w:pPr>
        <w:jc w:val="center"/>
        <w:rPr>
          <w:rFonts w:ascii="Verdana" w:hAnsi="Verdana"/>
          <w:b/>
          <w:color w:val="FF0000"/>
          <w:sz w:val="28"/>
          <w:szCs w:val="28"/>
        </w:rPr>
      </w:pPr>
      <w:r w:rsidRPr="007E7880">
        <w:rPr>
          <w:rFonts w:ascii="Verdana" w:hAnsi="Verdana"/>
          <w:b/>
          <w:color w:val="FF0000"/>
          <w:sz w:val="28"/>
          <w:szCs w:val="28"/>
        </w:rPr>
        <w:t>[</w:t>
      </w:r>
      <w:r w:rsidR="002772D8" w:rsidRPr="007E7880">
        <w:rPr>
          <w:rFonts w:ascii="Verdana" w:hAnsi="Verdana"/>
          <w:b/>
          <w:color w:val="FF0000"/>
          <w:sz w:val="28"/>
          <w:szCs w:val="28"/>
        </w:rPr>
        <w:t xml:space="preserve">DNO to </w:t>
      </w:r>
      <w:r w:rsidRPr="007E7880">
        <w:rPr>
          <w:rFonts w:ascii="Verdana" w:hAnsi="Verdana"/>
          <w:b/>
          <w:color w:val="FF0000"/>
          <w:sz w:val="28"/>
          <w:szCs w:val="28"/>
        </w:rPr>
        <w:t>enter regulatory year]</w:t>
      </w:r>
    </w:p>
    <w:p w14:paraId="0ACC3E8A" w14:textId="77777777" w:rsidR="001468BF" w:rsidRPr="007E7880" w:rsidRDefault="001468BF" w:rsidP="00984D97">
      <w:pPr>
        <w:jc w:val="center"/>
        <w:rPr>
          <w:rFonts w:ascii="Verdana" w:hAnsi="Verdana"/>
          <w:b/>
          <w:sz w:val="28"/>
          <w:szCs w:val="28"/>
        </w:rPr>
      </w:pPr>
    </w:p>
    <w:p w14:paraId="527781EF" w14:textId="30A5148A" w:rsidR="00B10437" w:rsidRPr="007E7880" w:rsidRDefault="00AE032B" w:rsidP="00B10437">
      <w:pPr>
        <w:jc w:val="center"/>
        <w:rPr>
          <w:rFonts w:ascii="Verdana" w:hAnsi="Verdana"/>
          <w:b/>
          <w:color w:val="FF0000"/>
          <w:sz w:val="28"/>
          <w:szCs w:val="28"/>
        </w:rPr>
      </w:pPr>
      <w:r w:rsidRPr="007E7880">
        <w:rPr>
          <w:rFonts w:ascii="Verdana" w:hAnsi="Verdana"/>
          <w:b/>
          <w:color w:val="FF0000"/>
          <w:sz w:val="28"/>
          <w:szCs w:val="28"/>
        </w:rPr>
        <w:t>[</w:t>
      </w:r>
      <w:r w:rsidR="002772D8" w:rsidRPr="007E7880">
        <w:rPr>
          <w:rFonts w:ascii="Verdana" w:hAnsi="Verdana"/>
          <w:b/>
          <w:color w:val="FF0000"/>
          <w:sz w:val="28"/>
          <w:szCs w:val="28"/>
        </w:rPr>
        <w:t>DNO to e</w:t>
      </w:r>
      <w:r w:rsidRPr="007E7880">
        <w:rPr>
          <w:rFonts w:ascii="Verdana" w:hAnsi="Verdana"/>
          <w:b/>
          <w:color w:val="FF0000"/>
          <w:sz w:val="28"/>
          <w:szCs w:val="28"/>
        </w:rPr>
        <w:t>nter DNO name]</w:t>
      </w:r>
    </w:p>
    <w:p w14:paraId="6B120565" w14:textId="77777777" w:rsidR="00B10437" w:rsidRPr="007E7880" w:rsidRDefault="00B10437" w:rsidP="00984D97">
      <w:pPr>
        <w:jc w:val="center"/>
        <w:rPr>
          <w:rFonts w:ascii="Verdana" w:hAnsi="Verdana"/>
          <w:b/>
          <w:sz w:val="28"/>
          <w:szCs w:val="28"/>
        </w:rPr>
      </w:pPr>
    </w:p>
    <w:p w14:paraId="2D65EC2D" w14:textId="77777777" w:rsidR="00B10437" w:rsidRPr="007E7880" w:rsidRDefault="00B10437" w:rsidP="00984D97">
      <w:pPr>
        <w:jc w:val="center"/>
        <w:rPr>
          <w:rFonts w:ascii="Verdana" w:hAnsi="Verdana"/>
          <w:b/>
          <w:sz w:val="28"/>
          <w:szCs w:val="28"/>
        </w:rPr>
      </w:pPr>
    </w:p>
    <w:p w14:paraId="4A2CCD59" w14:textId="77777777" w:rsidR="003C0836" w:rsidRPr="007E7880" w:rsidRDefault="003C0836" w:rsidP="00097D5A">
      <w:pPr>
        <w:rPr>
          <w:rFonts w:ascii="Verdana" w:hAnsi="Verdana"/>
          <w:b/>
          <w:sz w:val="48"/>
          <w:szCs w:val="48"/>
        </w:rPr>
        <w:sectPr w:rsidR="003C0836" w:rsidRPr="007E7880" w:rsidSect="002905E9">
          <w:headerReference w:type="even" r:id="rId15"/>
          <w:headerReference w:type="default" r:id="rId16"/>
          <w:footerReference w:type="even" r:id="rId17"/>
          <w:footerReference w:type="default" r:id="rId18"/>
          <w:headerReference w:type="first" r:id="rId19"/>
          <w:footerReference w:type="first" r:id="rId20"/>
          <w:pgSz w:w="11906" w:h="16838"/>
          <w:pgMar w:top="720" w:right="720" w:bottom="720" w:left="720" w:header="708" w:footer="708" w:gutter="0"/>
          <w:cols w:space="708"/>
          <w:docGrid w:linePitch="360"/>
        </w:sectPr>
      </w:pPr>
    </w:p>
    <w:p w14:paraId="7D16298E" w14:textId="33CEAF17" w:rsidR="00FE7C76" w:rsidRPr="007E7880" w:rsidRDefault="00FE7C76" w:rsidP="003C0836">
      <w:pPr>
        <w:pStyle w:val="Heading1"/>
      </w:pPr>
      <w:bookmarkStart w:id="1" w:name="_Toc421884225"/>
      <w:r w:rsidRPr="007E7880">
        <w:lastRenderedPageBreak/>
        <w:t>Contents</w:t>
      </w:r>
      <w:bookmarkEnd w:id="1"/>
    </w:p>
    <w:p w14:paraId="5F9A6519" w14:textId="0478BBB6" w:rsidR="003C0836" w:rsidRPr="007E7880" w:rsidRDefault="003C0836">
      <w:pPr>
        <w:pStyle w:val="TOC1"/>
        <w:tabs>
          <w:tab w:val="right" w:pos="10456"/>
        </w:tabs>
        <w:rPr>
          <w:rFonts w:ascii="Verdana" w:hAnsi="Verdana"/>
          <w:sz w:val="20"/>
          <w:szCs w:val="20"/>
        </w:rPr>
      </w:pPr>
      <w:r w:rsidRPr="007E7880">
        <w:rPr>
          <w:rFonts w:ascii="Verdana" w:hAnsi="Verdana"/>
          <w:sz w:val="20"/>
          <w:szCs w:val="20"/>
        </w:rPr>
        <w:fldChar w:fldCharType="begin"/>
      </w:r>
      <w:r w:rsidRPr="007E7880">
        <w:rPr>
          <w:rFonts w:ascii="Verdana" w:hAnsi="Verdana"/>
          <w:sz w:val="20"/>
          <w:szCs w:val="20"/>
        </w:rPr>
        <w:instrText xml:space="preserve"> TOC \o "1-1" \h \z \u </w:instrText>
      </w:r>
      <w:r w:rsidRPr="007E7880">
        <w:rPr>
          <w:rFonts w:ascii="Verdana" w:hAnsi="Verdana"/>
          <w:sz w:val="20"/>
          <w:szCs w:val="20"/>
        </w:rPr>
        <w:fldChar w:fldCharType="separate"/>
      </w:r>
      <w:hyperlink w:anchor="_Toc421884225" w:history="1"/>
    </w:p>
    <w:p w14:paraId="41254A12" w14:textId="77777777" w:rsidR="003C0836" w:rsidRPr="007E7880" w:rsidRDefault="00D7495E">
      <w:pPr>
        <w:pStyle w:val="TOC1"/>
        <w:tabs>
          <w:tab w:val="right" w:pos="10456"/>
        </w:tabs>
        <w:rPr>
          <w:rFonts w:ascii="Verdana" w:hAnsi="Verdana"/>
          <w:sz w:val="20"/>
          <w:szCs w:val="20"/>
        </w:rPr>
      </w:pPr>
      <w:hyperlink w:anchor="_Toc421884226" w:history="1">
        <w:r w:rsidR="003C0836" w:rsidRPr="007E7880">
          <w:rPr>
            <w:rStyle w:val="Hyperlink"/>
            <w:rFonts w:ascii="Verdana" w:hAnsi="Verdana"/>
            <w:sz w:val="20"/>
            <w:szCs w:val="20"/>
          </w:rPr>
          <w:t>Summary - Information Required</w:t>
        </w:r>
        <w:r w:rsidR="003C0836" w:rsidRPr="007E7880">
          <w:rPr>
            <w:rFonts w:ascii="Verdana" w:hAnsi="Verdana"/>
            <w:webHidden/>
            <w:sz w:val="20"/>
            <w:szCs w:val="20"/>
          </w:rPr>
          <w:tab/>
        </w:r>
        <w:r w:rsidR="003C0836" w:rsidRPr="007E7880">
          <w:rPr>
            <w:rFonts w:ascii="Verdana" w:hAnsi="Verdana"/>
            <w:webHidden/>
            <w:sz w:val="20"/>
            <w:szCs w:val="20"/>
          </w:rPr>
          <w:fldChar w:fldCharType="begin"/>
        </w:r>
        <w:r w:rsidR="003C0836" w:rsidRPr="007E7880">
          <w:rPr>
            <w:rFonts w:ascii="Verdana" w:hAnsi="Verdana"/>
            <w:webHidden/>
            <w:sz w:val="20"/>
            <w:szCs w:val="20"/>
          </w:rPr>
          <w:instrText xml:space="preserve"> PAGEREF _Toc421884226 \h </w:instrText>
        </w:r>
        <w:r w:rsidR="003C0836" w:rsidRPr="007E7880">
          <w:rPr>
            <w:rFonts w:ascii="Verdana" w:hAnsi="Verdana"/>
            <w:webHidden/>
            <w:sz w:val="20"/>
            <w:szCs w:val="20"/>
          </w:rPr>
        </w:r>
        <w:r w:rsidR="003C0836" w:rsidRPr="007E7880">
          <w:rPr>
            <w:rFonts w:ascii="Verdana" w:hAnsi="Verdana"/>
            <w:webHidden/>
            <w:sz w:val="20"/>
            <w:szCs w:val="20"/>
          </w:rPr>
          <w:fldChar w:fldCharType="separate"/>
        </w:r>
        <w:r w:rsidR="003C0836" w:rsidRPr="007E7880">
          <w:rPr>
            <w:rFonts w:ascii="Verdana" w:hAnsi="Verdana"/>
            <w:webHidden/>
            <w:sz w:val="20"/>
            <w:szCs w:val="20"/>
          </w:rPr>
          <w:t>1</w:t>
        </w:r>
        <w:r w:rsidR="003C0836" w:rsidRPr="007E7880">
          <w:rPr>
            <w:rFonts w:ascii="Verdana" w:hAnsi="Verdana"/>
            <w:webHidden/>
            <w:sz w:val="20"/>
            <w:szCs w:val="20"/>
          </w:rPr>
          <w:fldChar w:fldCharType="end"/>
        </w:r>
      </w:hyperlink>
    </w:p>
    <w:p w14:paraId="4E977426" w14:textId="77777777" w:rsidR="003C0836" w:rsidRPr="007E7880" w:rsidRDefault="00D7495E">
      <w:pPr>
        <w:pStyle w:val="TOC1"/>
        <w:tabs>
          <w:tab w:val="right" w:pos="10456"/>
        </w:tabs>
        <w:rPr>
          <w:rFonts w:ascii="Verdana" w:hAnsi="Verdana"/>
          <w:sz w:val="20"/>
          <w:szCs w:val="20"/>
        </w:rPr>
      </w:pPr>
      <w:hyperlink w:anchor="_Toc421884227" w:history="1">
        <w:r w:rsidR="003C0836" w:rsidRPr="007E7880">
          <w:rPr>
            <w:rStyle w:val="Hyperlink"/>
            <w:rFonts w:ascii="Verdana" w:hAnsi="Verdana"/>
            <w:sz w:val="20"/>
            <w:szCs w:val="20"/>
          </w:rPr>
          <w:t>Supporting Data Submissions</w:t>
        </w:r>
        <w:r w:rsidR="003C0836" w:rsidRPr="007E7880">
          <w:rPr>
            <w:rFonts w:ascii="Verdana" w:hAnsi="Verdana"/>
            <w:webHidden/>
            <w:sz w:val="20"/>
            <w:szCs w:val="20"/>
          </w:rPr>
          <w:tab/>
        </w:r>
        <w:r w:rsidR="003C0836" w:rsidRPr="007E7880">
          <w:rPr>
            <w:rFonts w:ascii="Verdana" w:hAnsi="Verdana"/>
            <w:webHidden/>
            <w:sz w:val="20"/>
            <w:szCs w:val="20"/>
          </w:rPr>
          <w:fldChar w:fldCharType="begin"/>
        </w:r>
        <w:r w:rsidR="003C0836" w:rsidRPr="007E7880">
          <w:rPr>
            <w:rFonts w:ascii="Verdana" w:hAnsi="Verdana"/>
            <w:webHidden/>
            <w:sz w:val="20"/>
            <w:szCs w:val="20"/>
          </w:rPr>
          <w:instrText xml:space="preserve"> PAGEREF _Toc421884227 \h </w:instrText>
        </w:r>
        <w:r w:rsidR="003C0836" w:rsidRPr="007E7880">
          <w:rPr>
            <w:rFonts w:ascii="Verdana" w:hAnsi="Verdana"/>
            <w:webHidden/>
            <w:sz w:val="20"/>
            <w:szCs w:val="20"/>
          </w:rPr>
        </w:r>
        <w:r w:rsidR="003C0836" w:rsidRPr="007E7880">
          <w:rPr>
            <w:rFonts w:ascii="Verdana" w:hAnsi="Verdana"/>
            <w:webHidden/>
            <w:sz w:val="20"/>
            <w:szCs w:val="20"/>
          </w:rPr>
          <w:fldChar w:fldCharType="separate"/>
        </w:r>
        <w:r w:rsidR="003C0836" w:rsidRPr="007E7880">
          <w:rPr>
            <w:rFonts w:ascii="Verdana" w:hAnsi="Verdana"/>
            <w:webHidden/>
            <w:sz w:val="20"/>
            <w:szCs w:val="20"/>
          </w:rPr>
          <w:t>1</w:t>
        </w:r>
        <w:r w:rsidR="003C0836" w:rsidRPr="007E7880">
          <w:rPr>
            <w:rFonts w:ascii="Verdana" w:hAnsi="Verdana"/>
            <w:webHidden/>
            <w:sz w:val="20"/>
            <w:szCs w:val="20"/>
          </w:rPr>
          <w:fldChar w:fldCharType="end"/>
        </w:r>
      </w:hyperlink>
    </w:p>
    <w:p w14:paraId="234FA6F4" w14:textId="77777777" w:rsidR="003C0836" w:rsidRPr="007E7880" w:rsidRDefault="00D7495E">
      <w:pPr>
        <w:pStyle w:val="TOC1"/>
        <w:tabs>
          <w:tab w:val="right" w:pos="10456"/>
        </w:tabs>
        <w:rPr>
          <w:rFonts w:ascii="Verdana" w:hAnsi="Verdana"/>
          <w:sz w:val="20"/>
          <w:szCs w:val="20"/>
        </w:rPr>
      </w:pPr>
      <w:hyperlink w:anchor="_Toc421884228" w:history="1">
        <w:r w:rsidR="003C0836" w:rsidRPr="007E7880">
          <w:rPr>
            <w:rStyle w:val="Hyperlink"/>
            <w:rFonts w:ascii="Verdana" w:hAnsi="Verdana"/>
            <w:sz w:val="20"/>
            <w:szCs w:val="20"/>
          </w:rPr>
          <w:t>Changes to Amounts Reported in Prior Year(s)</w:t>
        </w:r>
        <w:r w:rsidR="003C0836" w:rsidRPr="007E7880">
          <w:rPr>
            <w:rFonts w:ascii="Verdana" w:hAnsi="Verdana"/>
            <w:webHidden/>
            <w:sz w:val="20"/>
            <w:szCs w:val="20"/>
          </w:rPr>
          <w:tab/>
        </w:r>
        <w:r w:rsidR="003C0836" w:rsidRPr="007E7880">
          <w:rPr>
            <w:rFonts w:ascii="Verdana" w:hAnsi="Verdana"/>
            <w:webHidden/>
            <w:sz w:val="20"/>
            <w:szCs w:val="20"/>
          </w:rPr>
          <w:fldChar w:fldCharType="begin"/>
        </w:r>
        <w:r w:rsidR="003C0836" w:rsidRPr="007E7880">
          <w:rPr>
            <w:rFonts w:ascii="Verdana" w:hAnsi="Verdana"/>
            <w:webHidden/>
            <w:sz w:val="20"/>
            <w:szCs w:val="20"/>
          </w:rPr>
          <w:instrText xml:space="preserve"> PAGEREF _Toc421884228 \h </w:instrText>
        </w:r>
        <w:r w:rsidR="003C0836" w:rsidRPr="007E7880">
          <w:rPr>
            <w:rFonts w:ascii="Verdana" w:hAnsi="Verdana"/>
            <w:webHidden/>
            <w:sz w:val="20"/>
            <w:szCs w:val="20"/>
          </w:rPr>
        </w:r>
        <w:r w:rsidR="003C0836" w:rsidRPr="007E7880">
          <w:rPr>
            <w:rFonts w:ascii="Verdana" w:hAnsi="Verdana"/>
            <w:webHidden/>
            <w:sz w:val="20"/>
            <w:szCs w:val="20"/>
          </w:rPr>
          <w:fldChar w:fldCharType="separate"/>
        </w:r>
        <w:r w:rsidR="003C0836" w:rsidRPr="007E7880">
          <w:rPr>
            <w:rFonts w:ascii="Verdana" w:hAnsi="Verdana"/>
            <w:webHidden/>
            <w:sz w:val="20"/>
            <w:szCs w:val="20"/>
          </w:rPr>
          <w:t>1</w:t>
        </w:r>
        <w:r w:rsidR="003C0836" w:rsidRPr="007E7880">
          <w:rPr>
            <w:rFonts w:ascii="Verdana" w:hAnsi="Verdana"/>
            <w:webHidden/>
            <w:sz w:val="20"/>
            <w:szCs w:val="20"/>
          </w:rPr>
          <w:fldChar w:fldCharType="end"/>
        </w:r>
      </w:hyperlink>
    </w:p>
    <w:p w14:paraId="41C4AD9E" w14:textId="77777777" w:rsidR="003C0836" w:rsidRPr="007E7880" w:rsidRDefault="00D7495E">
      <w:pPr>
        <w:pStyle w:val="TOC1"/>
        <w:tabs>
          <w:tab w:val="right" w:pos="10456"/>
        </w:tabs>
        <w:rPr>
          <w:rFonts w:ascii="Verdana" w:hAnsi="Verdana"/>
          <w:sz w:val="20"/>
          <w:szCs w:val="20"/>
        </w:rPr>
      </w:pPr>
      <w:hyperlink w:anchor="_Toc421884229" w:history="1">
        <w:r w:rsidR="003C0836" w:rsidRPr="007E7880">
          <w:rPr>
            <w:rStyle w:val="Hyperlink"/>
            <w:rFonts w:ascii="Verdana" w:hAnsi="Verdana"/>
            <w:sz w:val="20"/>
            <w:szCs w:val="20"/>
          </w:rPr>
          <w:t>F1a, F1b &amp; F1c – Income Statement, Statement of Financial Position and Statement of Cashflows</w:t>
        </w:r>
        <w:r w:rsidR="003C0836" w:rsidRPr="007E7880">
          <w:rPr>
            <w:rFonts w:ascii="Verdana" w:hAnsi="Verdana"/>
            <w:webHidden/>
            <w:sz w:val="20"/>
            <w:szCs w:val="20"/>
          </w:rPr>
          <w:tab/>
        </w:r>
        <w:r w:rsidR="003C0836" w:rsidRPr="007E7880">
          <w:rPr>
            <w:rFonts w:ascii="Verdana" w:hAnsi="Verdana"/>
            <w:webHidden/>
            <w:sz w:val="20"/>
            <w:szCs w:val="20"/>
          </w:rPr>
          <w:fldChar w:fldCharType="begin"/>
        </w:r>
        <w:r w:rsidR="003C0836" w:rsidRPr="007E7880">
          <w:rPr>
            <w:rFonts w:ascii="Verdana" w:hAnsi="Verdana"/>
            <w:webHidden/>
            <w:sz w:val="20"/>
            <w:szCs w:val="20"/>
          </w:rPr>
          <w:instrText xml:space="preserve"> PAGEREF _Toc421884229 \h </w:instrText>
        </w:r>
        <w:r w:rsidR="003C0836" w:rsidRPr="007E7880">
          <w:rPr>
            <w:rFonts w:ascii="Verdana" w:hAnsi="Verdana"/>
            <w:webHidden/>
            <w:sz w:val="20"/>
            <w:szCs w:val="20"/>
          </w:rPr>
        </w:r>
        <w:r w:rsidR="003C0836" w:rsidRPr="007E7880">
          <w:rPr>
            <w:rFonts w:ascii="Verdana" w:hAnsi="Verdana"/>
            <w:webHidden/>
            <w:sz w:val="20"/>
            <w:szCs w:val="20"/>
          </w:rPr>
          <w:fldChar w:fldCharType="separate"/>
        </w:r>
        <w:r w:rsidR="003C0836" w:rsidRPr="007E7880">
          <w:rPr>
            <w:rFonts w:ascii="Verdana" w:hAnsi="Verdana"/>
            <w:webHidden/>
            <w:sz w:val="20"/>
            <w:szCs w:val="20"/>
          </w:rPr>
          <w:t>1</w:t>
        </w:r>
        <w:r w:rsidR="003C0836" w:rsidRPr="007E7880">
          <w:rPr>
            <w:rFonts w:ascii="Verdana" w:hAnsi="Verdana"/>
            <w:webHidden/>
            <w:sz w:val="20"/>
            <w:szCs w:val="20"/>
          </w:rPr>
          <w:fldChar w:fldCharType="end"/>
        </w:r>
      </w:hyperlink>
    </w:p>
    <w:p w14:paraId="31454B1C" w14:textId="77777777" w:rsidR="003C0836" w:rsidRPr="007E7880" w:rsidRDefault="00D7495E">
      <w:pPr>
        <w:pStyle w:val="TOC1"/>
        <w:tabs>
          <w:tab w:val="right" w:pos="10456"/>
        </w:tabs>
        <w:rPr>
          <w:rFonts w:ascii="Verdana" w:hAnsi="Verdana"/>
          <w:sz w:val="20"/>
          <w:szCs w:val="20"/>
        </w:rPr>
      </w:pPr>
      <w:hyperlink w:anchor="_Toc421884230" w:history="1">
        <w:r w:rsidR="003C0836" w:rsidRPr="007E7880">
          <w:rPr>
            <w:rStyle w:val="Hyperlink"/>
            <w:rFonts w:ascii="Verdana" w:hAnsi="Verdana"/>
            <w:sz w:val="20"/>
            <w:szCs w:val="20"/>
          </w:rPr>
          <w:t>F2 – Net Debt &amp; Interest</w:t>
        </w:r>
        <w:r w:rsidR="003C0836" w:rsidRPr="007E7880">
          <w:rPr>
            <w:rFonts w:ascii="Verdana" w:hAnsi="Verdana"/>
            <w:webHidden/>
            <w:sz w:val="20"/>
            <w:szCs w:val="20"/>
          </w:rPr>
          <w:tab/>
        </w:r>
        <w:r w:rsidR="003C0836" w:rsidRPr="007E7880">
          <w:rPr>
            <w:rFonts w:ascii="Verdana" w:hAnsi="Verdana"/>
            <w:webHidden/>
            <w:sz w:val="20"/>
            <w:szCs w:val="20"/>
          </w:rPr>
          <w:fldChar w:fldCharType="begin"/>
        </w:r>
        <w:r w:rsidR="003C0836" w:rsidRPr="007E7880">
          <w:rPr>
            <w:rFonts w:ascii="Verdana" w:hAnsi="Verdana"/>
            <w:webHidden/>
            <w:sz w:val="20"/>
            <w:szCs w:val="20"/>
          </w:rPr>
          <w:instrText xml:space="preserve"> PAGEREF _Toc421884230 \h </w:instrText>
        </w:r>
        <w:r w:rsidR="003C0836" w:rsidRPr="007E7880">
          <w:rPr>
            <w:rFonts w:ascii="Verdana" w:hAnsi="Verdana"/>
            <w:webHidden/>
            <w:sz w:val="20"/>
            <w:szCs w:val="20"/>
          </w:rPr>
        </w:r>
        <w:r w:rsidR="003C0836" w:rsidRPr="007E7880">
          <w:rPr>
            <w:rFonts w:ascii="Verdana" w:hAnsi="Verdana"/>
            <w:webHidden/>
            <w:sz w:val="20"/>
            <w:szCs w:val="20"/>
          </w:rPr>
          <w:fldChar w:fldCharType="separate"/>
        </w:r>
        <w:r w:rsidR="003C0836" w:rsidRPr="007E7880">
          <w:rPr>
            <w:rFonts w:ascii="Verdana" w:hAnsi="Verdana"/>
            <w:webHidden/>
            <w:sz w:val="20"/>
            <w:szCs w:val="20"/>
          </w:rPr>
          <w:t>2</w:t>
        </w:r>
        <w:r w:rsidR="003C0836" w:rsidRPr="007E7880">
          <w:rPr>
            <w:rFonts w:ascii="Verdana" w:hAnsi="Verdana"/>
            <w:webHidden/>
            <w:sz w:val="20"/>
            <w:szCs w:val="20"/>
          </w:rPr>
          <w:fldChar w:fldCharType="end"/>
        </w:r>
      </w:hyperlink>
    </w:p>
    <w:p w14:paraId="4A5F3A4D" w14:textId="77777777" w:rsidR="003C0836" w:rsidRPr="007E7880" w:rsidRDefault="00D7495E">
      <w:pPr>
        <w:pStyle w:val="TOC1"/>
        <w:tabs>
          <w:tab w:val="right" w:pos="10456"/>
        </w:tabs>
        <w:rPr>
          <w:rFonts w:ascii="Verdana" w:hAnsi="Verdana"/>
          <w:sz w:val="20"/>
          <w:szCs w:val="20"/>
        </w:rPr>
      </w:pPr>
      <w:hyperlink w:anchor="_Toc421884231" w:history="1">
        <w:r w:rsidR="003C0836" w:rsidRPr="007E7880">
          <w:rPr>
            <w:rStyle w:val="Hyperlink"/>
            <w:rFonts w:ascii="Verdana" w:hAnsi="Verdana"/>
            <w:sz w:val="20"/>
            <w:szCs w:val="20"/>
          </w:rPr>
          <w:t>F3 – Financing Requirements</w:t>
        </w:r>
        <w:r w:rsidR="003C0836" w:rsidRPr="007E7880">
          <w:rPr>
            <w:rFonts w:ascii="Verdana" w:hAnsi="Verdana"/>
            <w:webHidden/>
            <w:sz w:val="20"/>
            <w:szCs w:val="20"/>
          </w:rPr>
          <w:tab/>
        </w:r>
        <w:r w:rsidR="003C0836" w:rsidRPr="007E7880">
          <w:rPr>
            <w:rFonts w:ascii="Verdana" w:hAnsi="Verdana"/>
            <w:webHidden/>
            <w:sz w:val="20"/>
            <w:szCs w:val="20"/>
          </w:rPr>
          <w:fldChar w:fldCharType="begin"/>
        </w:r>
        <w:r w:rsidR="003C0836" w:rsidRPr="007E7880">
          <w:rPr>
            <w:rFonts w:ascii="Verdana" w:hAnsi="Verdana"/>
            <w:webHidden/>
            <w:sz w:val="20"/>
            <w:szCs w:val="20"/>
          </w:rPr>
          <w:instrText xml:space="preserve"> PAGEREF _Toc421884231 \h </w:instrText>
        </w:r>
        <w:r w:rsidR="003C0836" w:rsidRPr="007E7880">
          <w:rPr>
            <w:rFonts w:ascii="Verdana" w:hAnsi="Verdana"/>
            <w:webHidden/>
            <w:sz w:val="20"/>
            <w:szCs w:val="20"/>
          </w:rPr>
        </w:r>
        <w:r w:rsidR="003C0836" w:rsidRPr="007E7880">
          <w:rPr>
            <w:rFonts w:ascii="Verdana" w:hAnsi="Verdana"/>
            <w:webHidden/>
            <w:sz w:val="20"/>
            <w:szCs w:val="20"/>
          </w:rPr>
          <w:fldChar w:fldCharType="separate"/>
        </w:r>
        <w:r w:rsidR="003C0836" w:rsidRPr="007E7880">
          <w:rPr>
            <w:rFonts w:ascii="Verdana" w:hAnsi="Verdana"/>
            <w:webHidden/>
            <w:sz w:val="20"/>
            <w:szCs w:val="20"/>
          </w:rPr>
          <w:t>2</w:t>
        </w:r>
        <w:r w:rsidR="003C0836" w:rsidRPr="007E7880">
          <w:rPr>
            <w:rFonts w:ascii="Verdana" w:hAnsi="Verdana"/>
            <w:webHidden/>
            <w:sz w:val="20"/>
            <w:szCs w:val="20"/>
          </w:rPr>
          <w:fldChar w:fldCharType="end"/>
        </w:r>
      </w:hyperlink>
    </w:p>
    <w:p w14:paraId="424C809A" w14:textId="77777777" w:rsidR="003C0836" w:rsidRPr="007E7880" w:rsidRDefault="00D7495E">
      <w:pPr>
        <w:pStyle w:val="TOC1"/>
        <w:tabs>
          <w:tab w:val="right" w:pos="10456"/>
        </w:tabs>
        <w:rPr>
          <w:rFonts w:ascii="Verdana" w:hAnsi="Verdana"/>
          <w:sz w:val="20"/>
          <w:szCs w:val="20"/>
        </w:rPr>
      </w:pPr>
      <w:hyperlink w:anchor="_Toc421884232" w:history="1">
        <w:r w:rsidR="003C0836" w:rsidRPr="007E7880">
          <w:rPr>
            <w:rStyle w:val="Hyperlink"/>
            <w:rFonts w:ascii="Verdana" w:hAnsi="Verdana"/>
            <w:sz w:val="20"/>
            <w:szCs w:val="20"/>
          </w:rPr>
          <w:t>F4 – Tax Computation</w:t>
        </w:r>
        <w:r w:rsidR="003C0836" w:rsidRPr="007E7880">
          <w:rPr>
            <w:rFonts w:ascii="Verdana" w:hAnsi="Verdana"/>
            <w:webHidden/>
            <w:sz w:val="20"/>
            <w:szCs w:val="20"/>
          </w:rPr>
          <w:tab/>
        </w:r>
        <w:r w:rsidR="003C0836" w:rsidRPr="007E7880">
          <w:rPr>
            <w:rFonts w:ascii="Verdana" w:hAnsi="Verdana"/>
            <w:webHidden/>
            <w:sz w:val="20"/>
            <w:szCs w:val="20"/>
          </w:rPr>
          <w:fldChar w:fldCharType="begin"/>
        </w:r>
        <w:r w:rsidR="003C0836" w:rsidRPr="007E7880">
          <w:rPr>
            <w:rFonts w:ascii="Verdana" w:hAnsi="Verdana"/>
            <w:webHidden/>
            <w:sz w:val="20"/>
            <w:szCs w:val="20"/>
          </w:rPr>
          <w:instrText xml:space="preserve"> PAGEREF _Toc421884232 \h </w:instrText>
        </w:r>
        <w:r w:rsidR="003C0836" w:rsidRPr="007E7880">
          <w:rPr>
            <w:rFonts w:ascii="Verdana" w:hAnsi="Verdana"/>
            <w:webHidden/>
            <w:sz w:val="20"/>
            <w:szCs w:val="20"/>
          </w:rPr>
        </w:r>
        <w:r w:rsidR="003C0836" w:rsidRPr="007E7880">
          <w:rPr>
            <w:rFonts w:ascii="Verdana" w:hAnsi="Verdana"/>
            <w:webHidden/>
            <w:sz w:val="20"/>
            <w:szCs w:val="20"/>
          </w:rPr>
          <w:fldChar w:fldCharType="separate"/>
        </w:r>
        <w:r w:rsidR="003C0836" w:rsidRPr="007E7880">
          <w:rPr>
            <w:rFonts w:ascii="Verdana" w:hAnsi="Verdana"/>
            <w:webHidden/>
            <w:sz w:val="20"/>
            <w:szCs w:val="20"/>
          </w:rPr>
          <w:t>2</w:t>
        </w:r>
        <w:r w:rsidR="003C0836" w:rsidRPr="007E7880">
          <w:rPr>
            <w:rFonts w:ascii="Verdana" w:hAnsi="Verdana"/>
            <w:webHidden/>
            <w:sz w:val="20"/>
            <w:szCs w:val="20"/>
          </w:rPr>
          <w:fldChar w:fldCharType="end"/>
        </w:r>
      </w:hyperlink>
    </w:p>
    <w:p w14:paraId="0BEE6B9D" w14:textId="77777777" w:rsidR="003C0836" w:rsidRPr="007E7880" w:rsidRDefault="00D7495E">
      <w:pPr>
        <w:pStyle w:val="TOC1"/>
        <w:tabs>
          <w:tab w:val="right" w:pos="10456"/>
        </w:tabs>
        <w:rPr>
          <w:rFonts w:ascii="Verdana" w:hAnsi="Verdana"/>
          <w:sz w:val="20"/>
          <w:szCs w:val="20"/>
        </w:rPr>
      </w:pPr>
      <w:hyperlink w:anchor="_Toc421884233" w:history="1">
        <w:r w:rsidR="003C0836" w:rsidRPr="007E7880">
          <w:rPr>
            <w:rStyle w:val="Hyperlink"/>
            <w:rFonts w:ascii="Verdana" w:hAnsi="Verdana"/>
            <w:sz w:val="20"/>
            <w:szCs w:val="20"/>
          </w:rPr>
          <w:t>F5 – Allocation to Tax Pools</w:t>
        </w:r>
        <w:r w:rsidR="003C0836" w:rsidRPr="007E7880">
          <w:rPr>
            <w:rFonts w:ascii="Verdana" w:hAnsi="Verdana"/>
            <w:webHidden/>
            <w:sz w:val="20"/>
            <w:szCs w:val="20"/>
          </w:rPr>
          <w:tab/>
        </w:r>
        <w:r w:rsidR="003C0836" w:rsidRPr="007E7880">
          <w:rPr>
            <w:rFonts w:ascii="Verdana" w:hAnsi="Verdana"/>
            <w:webHidden/>
            <w:sz w:val="20"/>
            <w:szCs w:val="20"/>
          </w:rPr>
          <w:fldChar w:fldCharType="begin"/>
        </w:r>
        <w:r w:rsidR="003C0836" w:rsidRPr="007E7880">
          <w:rPr>
            <w:rFonts w:ascii="Verdana" w:hAnsi="Verdana"/>
            <w:webHidden/>
            <w:sz w:val="20"/>
            <w:szCs w:val="20"/>
          </w:rPr>
          <w:instrText xml:space="preserve"> PAGEREF _Toc421884233 \h </w:instrText>
        </w:r>
        <w:r w:rsidR="003C0836" w:rsidRPr="007E7880">
          <w:rPr>
            <w:rFonts w:ascii="Verdana" w:hAnsi="Verdana"/>
            <w:webHidden/>
            <w:sz w:val="20"/>
            <w:szCs w:val="20"/>
          </w:rPr>
        </w:r>
        <w:r w:rsidR="003C0836" w:rsidRPr="007E7880">
          <w:rPr>
            <w:rFonts w:ascii="Verdana" w:hAnsi="Verdana"/>
            <w:webHidden/>
            <w:sz w:val="20"/>
            <w:szCs w:val="20"/>
          </w:rPr>
          <w:fldChar w:fldCharType="separate"/>
        </w:r>
        <w:r w:rsidR="003C0836" w:rsidRPr="007E7880">
          <w:rPr>
            <w:rFonts w:ascii="Verdana" w:hAnsi="Verdana"/>
            <w:webHidden/>
            <w:sz w:val="20"/>
            <w:szCs w:val="20"/>
          </w:rPr>
          <w:t>3</w:t>
        </w:r>
        <w:r w:rsidR="003C0836" w:rsidRPr="007E7880">
          <w:rPr>
            <w:rFonts w:ascii="Verdana" w:hAnsi="Verdana"/>
            <w:webHidden/>
            <w:sz w:val="20"/>
            <w:szCs w:val="20"/>
          </w:rPr>
          <w:fldChar w:fldCharType="end"/>
        </w:r>
      </w:hyperlink>
    </w:p>
    <w:p w14:paraId="54A32D71" w14:textId="77777777" w:rsidR="003C0836" w:rsidRPr="007E7880" w:rsidRDefault="00D7495E">
      <w:pPr>
        <w:pStyle w:val="TOC1"/>
        <w:tabs>
          <w:tab w:val="right" w:pos="10456"/>
        </w:tabs>
        <w:rPr>
          <w:rFonts w:ascii="Verdana" w:hAnsi="Verdana"/>
          <w:sz w:val="20"/>
          <w:szCs w:val="20"/>
        </w:rPr>
      </w:pPr>
      <w:hyperlink w:anchor="_Toc421884234" w:history="1">
        <w:r w:rsidR="003C0836" w:rsidRPr="007E7880">
          <w:rPr>
            <w:rStyle w:val="Hyperlink"/>
            <w:rFonts w:ascii="Verdana" w:hAnsi="Verdana"/>
            <w:sz w:val="20"/>
            <w:szCs w:val="20"/>
          </w:rPr>
          <w:t>F6 – Tax Clawback Data</w:t>
        </w:r>
        <w:r w:rsidR="003C0836" w:rsidRPr="007E7880">
          <w:rPr>
            <w:rFonts w:ascii="Verdana" w:hAnsi="Verdana"/>
            <w:webHidden/>
            <w:sz w:val="20"/>
            <w:szCs w:val="20"/>
          </w:rPr>
          <w:tab/>
        </w:r>
        <w:r w:rsidR="003C0836" w:rsidRPr="007E7880">
          <w:rPr>
            <w:rFonts w:ascii="Verdana" w:hAnsi="Verdana"/>
            <w:webHidden/>
            <w:sz w:val="20"/>
            <w:szCs w:val="20"/>
          </w:rPr>
          <w:fldChar w:fldCharType="begin"/>
        </w:r>
        <w:r w:rsidR="003C0836" w:rsidRPr="007E7880">
          <w:rPr>
            <w:rFonts w:ascii="Verdana" w:hAnsi="Verdana"/>
            <w:webHidden/>
            <w:sz w:val="20"/>
            <w:szCs w:val="20"/>
          </w:rPr>
          <w:instrText xml:space="preserve"> PAGEREF _Toc421884234 \h </w:instrText>
        </w:r>
        <w:r w:rsidR="003C0836" w:rsidRPr="007E7880">
          <w:rPr>
            <w:rFonts w:ascii="Verdana" w:hAnsi="Verdana"/>
            <w:webHidden/>
            <w:sz w:val="20"/>
            <w:szCs w:val="20"/>
          </w:rPr>
        </w:r>
        <w:r w:rsidR="003C0836" w:rsidRPr="007E7880">
          <w:rPr>
            <w:rFonts w:ascii="Verdana" w:hAnsi="Verdana"/>
            <w:webHidden/>
            <w:sz w:val="20"/>
            <w:szCs w:val="20"/>
          </w:rPr>
          <w:fldChar w:fldCharType="separate"/>
        </w:r>
        <w:r w:rsidR="003C0836" w:rsidRPr="007E7880">
          <w:rPr>
            <w:rFonts w:ascii="Verdana" w:hAnsi="Verdana"/>
            <w:webHidden/>
            <w:sz w:val="20"/>
            <w:szCs w:val="20"/>
          </w:rPr>
          <w:t>3</w:t>
        </w:r>
        <w:r w:rsidR="003C0836" w:rsidRPr="007E7880">
          <w:rPr>
            <w:rFonts w:ascii="Verdana" w:hAnsi="Verdana"/>
            <w:webHidden/>
            <w:sz w:val="20"/>
            <w:szCs w:val="20"/>
          </w:rPr>
          <w:fldChar w:fldCharType="end"/>
        </w:r>
      </w:hyperlink>
    </w:p>
    <w:p w14:paraId="131325DD" w14:textId="77777777" w:rsidR="003C0836" w:rsidRPr="007E7880" w:rsidRDefault="00D7495E">
      <w:pPr>
        <w:pStyle w:val="TOC1"/>
        <w:tabs>
          <w:tab w:val="right" w:pos="10456"/>
        </w:tabs>
        <w:rPr>
          <w:rFonts w:ascii="Verdana" w:hAnsi="Verdana"/>
          <w:sz w:val="20"/>
          <w:szCs w:val="20"/>
        </w:rPr>
      </w:pPr>
      <w:hyperlink w:anchor="_Toc421884235" w:history="1">
        <w:r w:rsidR="003C0836" w:rsidRPr="007E7880">
          <w:rPr>
            <w:rStyle w:val="Hyperlink"/>
            <w:rFonts w:ascii="Verdana" w:hAnsi="Verdana"/>
            <w:sz w:val="20"/>
            <w:szCs w:val="20"/>
          </w:rPr>
          <w:t>F7 – Pensions</w:t>
        </w:r>
        <w:r w:rsidR="003C0836" w:rsidRPr="007E7880">
          <w:rPr>
            <w:rFonts w:ascii="Verdana" w:hAnsi="Verdana"/>
            <w:webHidden/>
            <w:sz w:val="20"/>
            <w:szCs w:val="20"/>
          </w:rPr>
          <w:tab/>
        </w:r>
        <w:r w:rsidR="003C0836" w:rsidRPr="007E7880">
          <w:rPr>
            <w:rFonts w:ascii="Verdana" w:hAnsi="Verdana"/>
            <w:webHidden/>
            <w:sz w:val="20"/>
            <w:szCs w:val="20"/>
          </w:rPr>
          <w:fldChar w:fldCharType="begin"/>
        </w:r>
        <w:r w:rsidR="003C0836" w:rsidRPr="007E7880">
          <w:rPr>
            <w:rFonts w:ascii="Verdana" w:hAnsi="Verdana"/>
            <w:webHidden/>
            <w:sz w:val="20"/>
            <w:szCs w:val="20"/>
          </w:rPr>
          <w:instrText xml:space="preserve"> PAGEREF _Toc421884235 \h </w:instrText>
        </w:r>
        <w:r w:rsidR="003C0836" w:rsidRPr="007E7880">
          <w:rPr>
            <w:rFonts w:ascii="Verdana" w:hAnsi="Verdana"/>
            <w:webHidden/>
            <w:sz w:val="20"/>
            <w:szCs w:val="20"/>
          </w:rPr>
        </w:r>
        <w:r w:rsidR="003C0836" w:rsidRPr="007E7880">
          <w:rPr>
            <w:rFonts w:ascii="Verdana" w:hAnsi="Verdana"/>
            <w:webHidden/>
            <w:sz w:val="20"/>
            <w:szCs w:val="20"/>
          </w:rPr>
          <w:fldChar w:fldCharType="separate"/>
        </w:r>
        <w:r w:rsidR="003C0836" w:rsidRPr="007E7880">
          <w:rPr>
            <w:rFonts w:ascii="Verdana" w:hAnsi="Verdana"/>
            <w:webHidden/>
            <w:sz w:val="20"/>
            <w:szCs w:val="20"/>
          </w:rPr>
          <w:t>3</w:t>
        </w:r>
        <w:r w:rsidR="003C0836" w:rsidRPr="007E7880">
          <w:rPr>
            <w:rFonts w:ascii="Verdana" w:hAnsi="Verdana"/>
            <w:webHidden/>
            <w:sz w:val="20"/>
            <w:szCs w:val="20"/>
          </w:rPr>
          <w:fldChar w:fldCharType="end"/>
        </w:r>
      </w:hyperlink>
    </w:p>
    <w:p w14:paraId="60A052A5" w14:textId="77777777" w:rsidR="003C0836" w:rsidRPr="007E7880" w:rsidRDefault="00D7495E">
      <w:pPr>
        <w:pStyle w:val="TOC1"/>
        <w:tabs>
          <w:tab w:val="right" w:pos="10456"/>
        </w:tabs>
        <w:rPr>
          <w:rFonts w:ascii="Verdana" w:hAnsi="Verdana"/>
          <w:sz w:val="20"/>
          <w:szCs w:val="20"/>
        </w:rPr>
      </w:pPr>
      <w:hyperlink w:anchor="_Toc421884236" w:history="1">
        <w:r w:rsidR="003C0836" w:rsidRPr="007E7880">
          <w:rPr>
            <w:rStyle w:val="Hyperlink"/>
            <w:rFonts w:ascii="Verdana" w:hAnsi="Verdana"/>
            <w:sz w:val="20"/>
            <w:szCs w:val="20"/>
          </w:rPr>
          <w:t>Pension Protection Fund (PPF) Costs</w:t>
        </w:r>
        <w:r w:rsidR="003C0836" w:rsidRPr="007E7880">
          <w:rPr>
            <w:rFonts w:ascii="Verdana" w:hAnsi="Verdana"/>
            <w:webHidden/>
            <w:sz w:val="20"/>
            <w:szCs w:val="20"/>
          </w:rPr>
          <w:tab/>
        </w:r>
        <w:r w:rsidR="003C0836" w:rsidRPr="007E7880">
          <w:rPr>
            <w:rFonts w:ascii="Verdana" w:hAnsi="Verdana"/>
            <w:webHidden/>
            <w:sz w:val="20"/>
            <w:szCs w:val="20"/>
          </w:rPr>
          <w:fldChar w:fldCharType="begin"/>
        </w:r>
        <w:r w:rsidR="003C0836" w:rsidRPr="007E7880">
          <w:rPr>
            <w:rFonts w:ascii="Verdana" w:hAnsi="Verdana"/>
            <w:webHidden/>
            <w:sz w:val="20"/>
            <w:szCs w:val="20"/>
          </w:rPr>
          <w:instrText xml:space="preserve"> PAGEREF _Toc421884236 \h </w:instrText>
        </w:r>
        <w:r w:rsidR="003C0836" w:rsidRPr="007E7880">
          <w:rPr>
            <w:rFonts w:ascii="Verdana" w:hAnsi="Verdana"/>
            <w:webHidden/>
            <w:sz w:val="20"/>
            <w:szCs w:val="20"/>
          </w:rPr>
        </w:r>
        <w:r w:rsidR="003C0836" w:rsidRPr="007E7880">
          <w:rPr>
            <w:rFonts w:ascii="Verdana" w:hAnsi="Verdana"/>
            <w:webHidden/>
            <w:sz w:val="20"/>
            <w:szCs w:val="20"/>
          </w:rPr>
          <w:fldChar w:fldCharType="separate"/>
        </w:r>
        <w:r w:rsidR="003C0836" w:rsidRPr="007E7880">
          <w:rPr>
            <w:rFonts w:ascii="Verdana" w:hAnsi="Verdana"/>
            <w:webHidden/>
            <w:sz w:val="20"/>
            <w:szCs w:val="20"/>
          </w:rPr>
          <w:t>4</w:t>
        </w:r>
        <w:r w:rsidR="003C0836" w:rsidRPr="007E7880">
          <w:rPr>
            <w:rFonts w:ascii="Verdana" w:hAnsi="Verdana"/>
            <w:webHidden/>
            <w:sz w:val="20"/>
            <w:szCs w:val="20"/>
          </w:rPr>
          <w:fldChar w:fldCharType="end"/>
        </w:r>
      </w:hyperlink>
    </w:p>
    <w:p w14:paraId="018F6919" w14:textId="77777777" w:rsidR="003C0836" w:rsidRPr="007E7880" w:rsidRDefault="00D7495E">
      <w:pPr>
        <w:pStyle w:val="TOC1"/>
        <w:tabs>
          <w:tab w:val="right" w:pos="10456"/>
        </w:tabs>
        <w:rPr>
          <w:rFonts w:ascii="Verdana" w:hAnsi="Verdana"/>
          <w:sz w:val="20"/>
          <w:szCs w:val="20"/>
        </w:rPr>
      </w:pPr>
      <w:hyperlink w:anchor="_Toc421884237" w:history="1">
        <w:r w:rsidR="003C0836" w:rsidRPr="007E7880">
          <w:rPr>
            <w:rStyle w:val="Hyperlink"/>
            <w:rFonts w:ascii="Verdana" w:hAnsi="Verdana"/>
            <w:sz w:val="20"/>
            <w:szCs w:val="20"/>
          </w:rPr>
          <w:t>Pension Scheme Administration Costs</w:t>
        </w:r>
        <w:r w:rsidR="003C0836" w:rsidRPr="007E7880">
          <w:rPr>
            <w:rFonts w:ascii="Verdana" w:hAnsi="Verdana"/>
            <w:webHidden/>
            <w:sz w:val="20"/>
            <w:szCs w:val="20"/>
          </w:rPr>
          <w:tab/>
        </w:r>
        <w:r w:rsidR="003C0836" w:rsidRPr="007E7880">
          <w:rPr>
            <w:rFonts w:ascii="Verdana" w:hAnsi="Verdana"/>
            <w:webHidden/>
            <w:sz w:val="20"/>
            <w:szCs w:val="20"/>
          </w:rPr>
          <w:fldChar w:fldCharType="begin"/>
        </w:r>
        <w:r w:rsidR="003C0836" w:rsidRPr="007E7880">
          <w:rPr>
            <w:rFonts w:ascii="Verdana" w:hAnsi="Verdana"/>
            <w:webHidden/>
            <w:sz w:val="20"/>
            <w:szCs w:val="20"/>
          </w:rPr>
          <w:instrText xml:space="preserve"> PAGEREF _Toc421884237 \h </w:instrText>
        </w:r>
        <w:r w:rsidR="003C0836" w:rsidRPr="007E7880">
          <w:rPr>
            <w:rFonts w:ascii="Verdana" w:hAnsi="Verdana"/>
            <w:webHidden/>
            <w:sz w:val="20"/>
            <w:szCs w:val="20"/>
          </w:rPr>
        </w:r>
        <w:r w:rsidR="003C0836" w:rsidRPr="007E7880">
          <w:rPr>
            <w:rFonts w:ascii="Verdana" w:hAnsi="Verdana"/>
            <w:webHidden/>
            <w:sz w:val="20"/>
            <w:szCs w:val="20"/>
          </w:rPr>
          <w:fldChar w:fldCharType="separate"/>
        </w:r>
        <w:r w:rsidR="003C0836" w:rsidRPr="007E7880">
          <w:rPr>
            <w:rFonts w:ascii="Verdana" w:hAnsi="Verdana"/>
            <w:webHidden/>
            <w:sz w:val="20"/>
            <w:szCs w:val="20"/>
          </w:rPr>
          <w:t>4</w:t>
        </w:r>
        <w:r w:rsidR="003C0836" w:rsidRPr="007E7880">
          <w:rPr>
            <w:rFonts w:ascii="Verdana" w:hAnsi="Verdana"/>
            <w:webHidden/>
            <w:sz w:val="20"/>
            <w:szCs w:val="20"/>
          </w:rPr>
          <w:fldChar w:fldCharType="end"/>
        </w:r>
      </w:hyperlink>
    </w:p>
    <w:p w14:paraId="75BF9FCC" w14:textId="77777777" w:rsidR="003C0836" w:rsidRPr="007E7880" w:rsidRDefault="00D7495E">
      <w:pPr>
        <w:pStyle w:val="TOC1"/>
        <w:tabs>
          <w:tab w:val="right" w:pos="10456"/>
        </w:tabs>
        <w:rPr>
          <w:rFonts w:ascii="Verdana" w:hAnsi="Verdana"/>
          <w:sz w:val="20"/>
          <w:szCs w:val="20"/>
        </w:rPr>
      </w:pPr>
      <w:hyperlink w:anchor="_Toc421884238" w:history="1">
        <w:r w:rsidR="003C0836" w:rsidRPr="007E7880">
          <w:rPr>
            <w:rStyle w:val="Hyperlink"/>
            <w:rFonts w:ascii="Verdana" w:hAnsi="Verdana"/>
            <w:sz w:val="20"/>
            <w:szCs w:val="20"/>
          </w:rPr>
          <w:t>F8 – Reconciliation to Regulatory Accounts</w:t>
        </w:r>
        <w:r w:rsidR="003C0836" w:rsidRPr="007E7880">
          <w:rPr>
            <w:rFonts w:ascii="Verdana" w:hAnsi="Verdana"/>
            <w:webHidden/>
            <w:sz w:val="20"/>
            <w:szCs w:val="20"/>
          </w:rPr>
          <w:tab/>
        </w:r>
        <w:r w:rsidR="003C0836" w:rsidRPr="007E7880">
          <w:rPr>
            <w:rFonts w:ascii="Verdana" w:hAnsi="Verdana"/>
            <w:webHidden/>
            <w:sz w:val="20"/>
            <w:szCs w:val="20"/>
          </w:rPr>
          <w:fldChar w:fldCharType="begin"/>
        </w:r>
        <w:r w:rsidR="003C0836" w:rsidRPr="007E7880">
          <w:rPr>
            <w:rFonts w:ascii="Verdana" w:hAnsi="Verdana"/>
            <w:webHidden/>
            <w:sz w:val="20"/>
            <w:szCs w:val="20"/>
          </w:rPr>
          <w:instrText xml:space="preserve"> PAGEREF _Toc421884238 \h </w:instrText>
        </w:r>
        <w:r w:rsidR="003C0836" w:rsidRPr="007E7880">
          <w:rPr>
            <w:rFonts w:ascii="Verdana" w:hAnsi="Verdana"/>
            <w:webHidden/>
            <w:sz w:val="20"/>
            <w:szCs w:val="20"/>
          </w:rPr>
        </w:r>
        <w:r w:rsidR="003C0836" w:rsidRPr="007E7880">
          <w:rPr>
            <w:rFonts w:ascii="Verdana" w:hAnsi="Verdana"/>
            <w:webHidden/>
            <w:sz w:val="20"/>
            <w:szCs w:val="20"/>
          </w:rPr>
          <w:fldChar w:fldCharType="separate"/>
        </w:r>
        <w:r w:rsidR="003C0836" w:rsidRPr="007E7880">
          <w:rPr>
            <w:rFonts w:ascii="Verdana" w:hAnsi="Verdana"/>
            <w:webHidden/>
            <w:sz w:val="20"/>
            <w:szCs w:val="20"/>
          </w:rPr>
          <w:t>4</w:t>
        </w:r>
        <w:r w:rsidR="003C0836" w:rsidRPr="007E7880">
          <w:rPr>
            <w:rFonts w:ascii="Verdana" w:hAnsi="Verdana"/>
            <w:webHidden/>
            <w:sz w:val="20"/>
            <w:szCs w:val="20"/>
          </w:rPr>
          <w:fldChar w:fldCharType="end"/>
        </w:r>
      </w:hyperlink>
    </w:p>
    <w:p w14:paraId="3152EB5F" w14:textId="26C5F94E" w:rsidR="003C0836" w:rsidRPr="007E7880" w:rsidRDefault="003C0836" w:rsidP="003C3E81">
      <w:pPr>
        <w:rPr>
          <w:rFonts w:ascii="Verdana" w:hAnsi="Verdana"/>
          <w:sz w:val="20"/>
          <w:szCs w:val="20"/>
        </w:rPr>
      </w:pPr>
      <w:r w:rsidRPr="007E7880">
        <w:rPr>
          <w:rFonts w:ascii="Verdana" w:hAnsi="Verdana"/>
          <w:sz w:val="20"/>
          <w:szCs w:val="20"/>
        </w:rPr>
        <w:fldChar w:fldCharType="end"/>
      </w:r>
    </w:p>
    <w:p w14:paraId="13F9E40E" w14:textId="5E740B6C" w:rsidR="003C0836" w:rsidRPr="007E7880" w:rsidRDefault="003C0836" w:rsidP="003C0836">
      <w:pPr>
        <w:tabs>
          <w:tab w:val="left" w:pos="4721"/>
        </w:tabs>
        <w:rPr>
          <w:rFonts w:ascii="Verdana" w:hAnsi="Verdana"/>
          <w:sz w:val="20"/>
          <w:szCs w:val="20"/>
        </w:rPr>
      </w:pPr>
      <w:r w:rsidRPr="007E7880">
        <w:rPr>
          <w:rFonts w:ascii="Verdana" w:hAnsi="Verdana"/>
          <w:sz w:val="20"/>
          <w:szCs w:val="20"/>
        </w:rPr>
        <w:tab/>
      </w:r>
    </w:p>
    <w:p w14:paraId="6A8363C9" w14:textId="4D97F627" w:rsidR="003C0836" w:rsidRPr="007E7880" w:rsidRDefault="003C0836" w:rsidP="003C0836">
      <w:pPr>
        <w:rPr>
          <w:rFonts w:ascii="Verdana" w:hAnsi="Verdana"/>
          <w:sz w:val="20"/>
          <w:szCs w:val="20"/>
        </w:rPr>
      </w:pPr>
    </w:p>
    <w:p w14:paraId="59CB11BB" w14:textId="77777777" w:rsidR="003C0836" w:rsidRPr="007E7880" w:rsidRDefault="003C0836" w:rsidP="003C0836">
      <w:pPr>
        <w:rPr>
          <w:rFonts w:ascii="Verdana" w:hAnsi="Verdana"/>
          <w:sz w:val="20"/>
          <w:szCs w:val="20"/>
        </w:rPr>
        <w:sectPr w:rsidR="003C0836" w:rsidRPr="007E7880" w:rsidSect="002905E9">
          <w:pgSz w:w="11906" w:h="16838"/>
          <w:pgMar w:top="720" w:right="720" w:bottom="720" w:left="720" w:header="708" w:footer="708" w:gutter="0"/>
          <w:cols w:space="708"/>
          <w:docGrid w:linePitch="360"/>
        </w:sectPr>
      </w:pPr>
    </w:p>
    <w:p w14:paraId="7D1629AC" w14:textId="4EB92F28" w:rsidR="002F70BF" w:rsidRPr="007E7880" w:rsidRDefault="002F70BF" w:rsidP="003C3E81">
      <w:pPr>
        <w:rPr>
          <w:rFonts w:ascii="Verdana" w:hAnsi="Verdana"/>
          <w:sz w:val="22"/>
          <w:szCs w:val="22"/>
        </w:rPr>
      </w:pPr>
    </w:p>
    <w:p w14:paraId="7D1629AD" w14:textId="36C3C396" w:rsidR="005F7825" w:rsidRPr="007E7880" w:rsidRDefault="003D301A" w:rsidP="003C0836">
      <w:pPr>
        <w:pStyle w:val="Heading1"/>
      </w:pPr>
      <w:bookmarkStart w:id="2" w:name="_Toc421884226"/>
      <w:r w:rsidRPr="007E7880">
        <w:t>Summary - I</w:t>
      </w:r>
      <w:r w:rsidR="00DF3B5A" w:rsidRPr="007E7880">
        <w:t>n</w:t>
      </w:r>
      <w:r w:rsidR="001D48ED" w:rsidRPr="007E7880">
        <w:t xml:space="preserve">formation </w:t>
      </w:r>
      <w:r w:rsidRPr="007E7880">
        <w:t>R</w:t>
      </w:r>
      <w:r w:rsidR="001D48ED" w:rsidRPr="007E7880">
        <w:t>equired</w:t>
      </w:r>
      <w:bookmarkEnd w:id="2"/>
      <w:r w:rsidR="00DF3B5A" w:rsidRPr="007E7880">
        <w:t xml:space="preserve"> </w:t>
      </w:r>
    </w:p>
    <w:p w14:paraId="7D1629B4" w14:textId="5A3E5E10" w:rsidR="00913CDE" w:rsidRPr="007E7880" w:rsidRDefault="00AE032B" w:rsidP="001013C2">
      <w:pPr>
        <w:rPr>
          <w:rFonts w:ascii="Verdana" w:hAnsi="Verdana"/>
          <w:sz w:val="20"/>
          <w:szCs w:val="20"/>
        </w:rPr>
      </w:pPr>
      <w:r w:rsidRPr="007E7880">
        <w:rPr>
          <w:rFonts w:ascii="Verdana" w:hAnsi="Verdana"/>
          <w:sz w:val="20"/>
          <w:szCs w:val="20"/>
        </w:rPr>
        <w:t>O</w:t>
      </w:r>
      <w:r w:rsidR="00913CDE" w:rsidRPr="007E7880">
        <w:rPr>
          <w:rFonts w:ascii="Verdana" w:hAnsi="Verdana"/>
          <w:sz w:val="20"/>
          <w:szCs w:val="20"/>
        </w:rPr>
        <w:t>ne Commentary document is required per DNO Group.</w:t>
      </w:r>
      <w:r w:rsidRPr="007E7880">
        <w:rPr>
          <w:rFonts w:ascii="Verdana" w:hAnsi="Verdana"/>
          <w:sz w:val="20"/>
          <w:szCs w:val="20"/>
        </w:rPr>
        <w:t xml:space="preserve"> </w:t>
      </w:r>
      <w:r w:rsidR="00913CDE" w:rsidRPr="007E7880">
        <w:rPr>
          <w:rFonts w:ascii="Verdana" w:hAnsi="Verdana"/>
          <w:sz w:val="20"/>
          <w:szCs w:val="20"/>
        </w:rPr>
        <w:t>Respondents should ensure that comments are clearly marked to show whether they relate to all the DNOs in the group or to which DNO they relate.</w:t>
      </w:r>
    </w:p>
    <w:p w14:paraId="7D1629B5" w14:textId="77777777" w:rsidR="00913CDE" w:rsidRPr="007E7880" w:rsidRDefault="00913CDE" w:rsidP="001013C2">
      <w:pPr>
        <w:rPr>
          <w:rFonts w:ascii="Verdana" w:hAnsi="Verdana"/>
          <w:sz w:val="20"/>
          <w:szCs w:val="20"/>
        </w:rPr>
      </w:pPr>
    </w:p>
    <w:p w14:paraId="7D1629BA" w14:textId="2830C4F4" w:rsidR="008F7BCA" w:rsidRPr="007E7880" w:rsidRDefault="000C1FC2" w:rsidP="001A6B4E">
      <w:pPr>
        <w:rPr>
          <w:rFonts w:ascii="Verdana" w:hAnsi="Verdana"/>
          <w:sz w:val="20"/>
          <w:szCs w:val="20"/>
        </w:rPr>
      </w:pPr>
      <w:r w:rsidRPr="007E7880">
        <w:rPr>
          <w:rFonts w:ascii="Verdana" w:hAnsi="Verdana"/>
          <w:sz w:val="20"/>
          <w:szCs w:val="20"/>
        </w:rPr>
        <w:t>Commentary is required</w:t>
      </w:r>
      <w:r w:rsidR="00EA61BD" w:rsidRPr="007E7880">
        <w:rPr>
          <w:rFonts w:ascii="Verdana" w:hAnsi="Verdana"/>
          <w:sz w:val="20"/>
          <w:szCs w:val="20"/>
        </w:rPr>
        <w:t xml:space="preserve"> in</w:t>
      </w:r>
      <w:r w:rsidRPr="007E7880">
        <w:rPr>
          <w:rFonts w:ascii="Verdana" w:hAnsi="Verdana"/>
          <w:sz w:val="20"/>
          <w:szCs w:val="20"/>
        </w:rPr>
        <w:t xml:space="preserve"> response to specific questions included in this document.</w:t>
      </w:r>
      <w:r w:rsidR="00AE032B" w:rsidRPr="007E7880">
        <w:rPr>
          <w:rFonts w:ascii="Verdana" w:hAnsi="Verdana"/>
          <w:sz w:val="20"/>
          <w:szCs w:val="20"/>
        </w:rPr>
        <w:t xml:space="preserve"> </w:t>
      </w:r>
      <w:r w:rsidR="00C752C5" w:rsidRPr="007E7880">
        <w:rPr>
          <w:rFonts w:ascii="Verdana" w:hAnsi="Verdana"/>
          <w:sz w:val="20"/>
          <w:szCs w:val="20"/>
        </w:rPr>
        <w:t xml:space="preserve">DNO’s </w:t>
      </w:r>
      <w:r w:rsidR="00A6438D" w:rsidRPr="007E7880">
        <w:rPr>
          <w:rFonts w:ascii="Verdana" w:hAnsi="Verdana"/>
          <w:sz w:val="20"/>
          <w:szCs w:val="20"/>
        </w:rPr>
        <w:t>may</w:t>
      </w:r>
      <w:r w:rsidR="00B13E1D" w:rsidRPr="007E7880">
        <w:rPr>
          <w:rFonts w:ascii="Verdana" w:hAnsi="Verdana"/>
          <w:sz w:val="20"/>
          <w:szCs w:val="20"/>
        </w:rPr>
        <w:t xml:space="preserve"> </w:t>
      </w:r>
      <w:r w:rsidR="00C752C5" w:rsidRPr="007E7880">
        <w:rPr>
          <w:rFonts w:ascii="Verdana" w:hAnsi="Verdana"/>
          <w:sz w:val="20"/>
          <w:szCs w:val="20"/>
        </w:rPr>
        <w:t>include supporting documentation where they consider it necessary to support their comments</w:t>
      </w:r>
      <w:r w:rsidRPr="007E7880">
        <w:rPr>
          <w:rFonts w:ascii="Verdana" w:hAnsi="Verdana"/>
          <w:sz w:val="20"/>
          <w:szCs w:val="20"/>
        </w:rPr>
        <w:t xml:space="preserve"> or where it may </w:t>
      </w:r>
      <w:r w:rsidR="00C752C5" w:rsidRPr="007E7880">
        <w:rPr>
          <w:rFonts w:ascii="Verdana" w:hAnsi="Verdana"/>
          <w:sz w:val="20"/>
          <w:szCs w:val="20"/>
        </w:rPr>
        <w:t xml:space="preserve">aid </w:t>
      </w:r>
      <w:proofErr w:type="spellStart"/>
      <w:r w:rsidR="00C752C5" w:rsidRPr="007E7880">
        <w:rPr>
          <w:rFonts w:ascii="Verdana" w:hAnsi="Verdana"/>
          <w:sz w:val="20"/>
          <w:szCs w:val="20"/>
        </w:rPr>
        <w:t>Ofgem’s</w:t>
      </w:r>
      <w:proofErr w:type="spellEnd"/>
      <w:r w:rsidR="00C752C5" w:rsidRPr="007E7880">
        <w:rPr>
          <w:rFonts w:ascii="Verdana" w:hAnsi="Verdana"/>
          <w:sz w:val="20"/>
          <w:szCs w:val="20"/>
        </w:rPr>
        <w:t xml:space="preserve"> understanding.</w:t>
      </w:r>
      <w:r w:rsidR="00AE032B" w:rsidRPr="007E7880">
        <w:rPr>
          <w:rFonts w:ascii="Verdana" w:hAnsi="Verdana"/>
          <w:sz w:val="20"/>
          <w:szCs w:val="20"/>
        </w:rPr>
        <w:t xml:space="preserve"> </w:t>
      </w:r>
      <w:r w:rsidR="00573838" w:rsidRPr="007E7880">
        <w:rPr>
          <w:rFonts w:ascii="Verdana" w:hAnsi="Verdana"/>
          <w:sz w:val="20"/>
          <w:szCs w:val="20"/>
        </w:rPr>
        <w:t xml:space="preserve">Please </w:t>
      </w:r>
      <w:r w:rsidR="00A6438D" w:rsidRPr="007E7880">
        <w:rPr>
          <w:rFonts w:ascii="Verdana" w:hAnsi="Verdana"/>
          <w:sz w:val="20"/>
          <w:szCs w:val="20"/>
        </w:rPr>
        <w:t>highlight in this document if additional information is provided.</w:t>
      </w:r>
    </w:p>
    <w:p w14:paraId="33A0B4C6" w14:textId="116C8C4A" w:rsidR="00187D24" w:rsidRPr="007E7880" w:rsidRDefault="00A6438D" w:rsidP="00A6438D">
      <w:pPr>
        <w:pStyle w:val="Paragrapgh"/>
        <w:numPr>
          <w:ilvl w:val="0"/>
          <w:numId w:val="0"/>
        </w:numPr>
      </w:pPr>
      <w:r w:rsidRPr="007E7880">
        <w:t>The purpose of this commentary is to provide the opportunity for DNOs to set out further supporting information related to the data provided in the Financial Issues Reporting Pack. It also sets out supporting data submissions that DNOs must provide to us.</w:t>
      </w:r>
    </w:p>
    <w:p w14:paraId="7D1629DE" w14:textId="5740AA12" w:rsidR="008E5BD1" w:rsidRPr="007E7880" w:rsidRDefault="003D301A" w:rsidP="003C0836">
      <w:pPr>
        <w:pStyle w:val="Heading1"/>
      </w:pPr>
      <w:bookmarkStart w:id="3" w:name="_Toc421884227"/>
      <w:r w:rsidRPr="007E7880">
        <w:t>Supporting Data S</w:t>
      </w:r>
      <w:r w:rsidR="008E5BD1" w:rsidRPr="007E7880">
        <w:t>ubmissions</w:t>
      </w:r>
      <w:bookmarkEnd w:id="3"/>
    </w:p>
    <w:p w14:paraId="7D1629E0" w14:textId="77777777" w:rsidR="008E5BD1" w:rsidRPr="007E7880" w:rsidRDefault="008E5BD1" w:rsidP="007D6109">
      <w:pPr>
        <w:rPr>
          <w:rFonts w:ascii="Verdana" w:hAnsi="Verdana"/>
          <w:color w:val="000000"/>
          <w:sz w:val="20"/>
          <w:szCs w:val="20"/>
        </w:rPr>
      </w:pPr>
      <w:r w:rsidRPr="007E7880">
        <w:rPr>
          <w:rFonts w:ascii="Verdana" w:hAnsi="Verdana"/>
          <w:color w:val="000000"/>
          <w:sz w:val="20"/>
          <w:szCs w:val="20"/>
        </w:rPr>
        <w:t>If not submitted please indicate when the submission will take place and/or reason for delay.</w:t>
      </w:r>
    </w:p>
    <w:p w14:paraId="7D1629E1" w14:textId="77777777" w:rsidR="008E5BD1" w:rsidRPr="007E7880" w:rsidRDefault="008E5BD1" w:rsidP="007D6109">
      <w:pPr>
        <w:rPr>
          <w:rFonts w:ascii="Verdana" w:hAnsi="Verdana"/>
          <w:b/>
        </w:rPr>
      </w:pPr>
    </w:p>
    <w:tbl>
      <w:tblPr>
        <w:tblW w:w="10398" w:type="dxa"/>
        <w:tblInd w:w="93" w:type="dxa"/>
        <w:tblLook w:val="04A0" w:firstRow="1" w:lastRow="0" w:firstColumn="1" w:lastColumn="0" w:noHBand="0" w:noVBand="1"/>
      </w:tblPr>
      <w:tblGrid>
        <w:gridCol w:w="5554"/>
        <w:gridCol w:w="4844"/>
      </w:tblGrid>
      <w:tr w:rsidR="008E5BD1" w:rsidRPr="007E7880" w14:paraId="7D1629E4" w14:textId="77777777" w:rsidTr="003C2403">
        <w:trPr>
          <w:trHeight w:val="355"/>
        </w:trPr>
        <w:tc>
          <w:tcPr>
            <w:tcW w:w="55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1629E2" w14:textId="77777777" w:rsidR="008E5BD1" w:rsidRPr="007E7880" w:rsidRDefault="008E5BD1" w:rsidP="003D301A">
            <w:pPr>
              <w:keepNext/>
              <w:rPr>
                <w:rFonts w:ascii="Verdana" w:hAnsi="Verdana"/>
                <w:color w:val="000000"/>
                <w:sz w:val="20"/>
                <w:szCs w:val="20"/>
              </w:rPr>
            </w:pPr>
          </w:p>
        </w:tc>
        <w:tc>
          <w:tcPr>
            <w:tcW w:w="4844" w:type="dxa"/>
            <w:tcBorders>
              <w:top w:val="single" w:sz="4" w:space="0" w:color="auto"/>
              <w:left w:val="nil"/>
              <w:bottom w:val="single" w:sz="4" w:space="0" w:color="auto"/>
              <w:right w:val="single" w:sz="4" w:space="0" w:color="auto"/>
            </w:tcBorders>
            <w:shd w:val="clear" w:color="auto" w:fill="FFFFFF" w:themeFill="background1"/>
            <w:vAlign w:val="center"/>
            <w:hideMark/>
          </w:tcPr>
          <w:p w14:paraId="7D1629E3" w14:textId="6823FD61" w:rsidR="008E5BD1" w:rsidRPr="007E7880" w:rsidRDefault="0042115B" w:rsidP="003D301A">
            <w:pPr>
              <w:keepNext/>
              <w:rPr>
                <w:rFonts w:ascii="Verdana" w:hAnsi="Verdana"/>
                <w:b/>
                <w:sz w:val="20"/>
                <w:szCs w:val="20"/>
              </w:rPr>
            </w:pPr>
            <w:r w:rsidRPr="007E7880">
              <w:rPr>
                <w:rFonts w:ascii="Verdana" w:hAnsi="Verdana"/>
                <w:b/>
                <w:sz w:val="20"/>
                <w:szCs w:val="20"/>
              </w:rPr>
              <w:t>Comment</w:t>
            </w:r>
          </w:p>
        </w:tc>
      </w:tr>
      <w:tr w:rsidR="00375C06" w:rsidRPr="007E7880" w14:paraId="7D1629E7" w14:textId="77777777" w:rsidTr="003C2403">
        <w:trPr>
          <w:trHeight w:val="736"/>
        </w:trPr>
        <w:tc>
          <w:tcPr>
            <w:tcW w:w="5554" w:type="dxa"/>
            <w:tcBorders>
              <w:top w:val="single" w:sz="4" w:space="0" w:color="auto"/>
              <w:left w:val="single" w:sz="4" w:space="0" w:color="auto"/>
              <w:bottom w:val="single" w:sz="4" w:space="0" w:color="auto"/>
              <w:right w:val="single" w:sz="4" w:space="0" w:color="auto"/>
            </w:tcBorders>
            <w:shd w:val="clear" w:color="auto" w:fill="auto"/>
            <w:noWrap/>
            <w:hideMark/>
          </w:tcPr>
          <w:p w14:paraId="7D1629E5" w14:textId="77777777" w:rsidR="00375C06" w:rsidRPr="007E7880" w:rsidRDefault="00375C06" w:rsidP="006D54D1">
            <w:pPr>
              <w:rPr>
                <w:rFonts w:ascii="Verdana" w:hAnsi="Verdana"/>
                <w:b/>
                <w:bCs/>
                <w:color w:val="000000"/>
                <w:sz w:val="20"/>
                <w:szCs w:val="20"/>
              </w:rPr>
            </w:pPr>
            <w:bookmarkStart w:id="4" w:name="_Toc256520073"/>
            <w:r w:rsidRPr="007E7880">
              <w:rPr>
                <w:rFonts w:ascii="Verdana" w:hAnsi="Verdana"/>
                <w:color w:val="000000"/>
                <w:sz w:val="20"/>
                <w:szCs w:val="20"/>
              </w:rPr>
              <w:t xml:space="preserve">Corporation Tax </w:t>
            </w:r>
            <w:proofErr w:type="gramStart"/>
            <w:r w:rsidRPr="007E7880">
              <w:rPr>
                <w:rFonts w:ascii="Verdana" w:hAnsi="Verdana"/>
                <w:color w:val="000000"/>
                <w:sz w:val="20"/>
                <w:szCs w:val="20"/>
              </w:rPr>
              <w:t>return</w:t>
            </w:r>
            <w:proofErr w:type="gramEnd"/>
            <w:r w:rsidRPr="007E7880">
              <w:rPr>
                <w:rFonts w:ascii="Verdana" w:hAnsi="Verdana"/>
                <w:color w:val="000000"/>
                <w:sz w:val="20"/>
                <w:szCs w:val="20"/>
              </w:rPr>
              <w:t xml:space="preserve"> (CT600) and supporting tax computations for the licensee's last statutory accounting financial year.</w:t>
            </w:r>
          </w:p>
        </w:tc>
        <w:tc>
          <w:tcPr>
            <w:tcW w:w="4844" w:type="dxa"/>
            <w:tcBorders>
              <w:top w:val="single" w:sz="4" w:space="0" w:color="auto"/>
              <w:left w:val="nil"/>
              <w:bottom w:val="single" w:sz="4" w:space="0" w:color="auto"/>
              <w:right w:val="single" w:sz="4" w:space="0" w:color="auto"/>
            </w:tcBorders>
            <w:shd w:val="clear" w:color="000000" w:fill="FFFF99"/>
            <w:vAlign w:val="center"/>
          </w:tcPr>
          <w:p w14:paraId="7D1629E6" w14:textId="6ED0EF98" w:rsidR="00375C06" w:rsidRPr="007E7880" w:rsidRDefault="00375C06" w:rsidP="00AE2634"/>
        </w:tc>
      </w:tr>
      <w:tr w:rsidR="008E5BD1" w:rsidRPr="007E7880" w14:paraId="7D1629EA" w14:textId="77777777" w:rsidTr="003C2403">
        <w:trPr>
          <w:trHeight w:val="476"/>
        </w:trPr>
        <w:tc>
          <w:tcPr>
            <w:tcW w:w="5554" w:type="dxa"/>
            <w:tcBorders>
              <w:top w:val="single" w:sz="4" w:space="0" w:color="auto"/>
              <w:left w:val="single" w:sz="4" w:space="0" w:color="auto"/>
              <w:bottom w:val="single" w:sz="4" w:space="0" w:color="auto"/>
              <w:right w:val="single" w:sz="4" w:space="0" w:color="auto"/>
            </w:tcBorders>
            <w:shd w:val="clear" w:color="auto" w:fill="auto"/>
            <w:hideMark/>
          </w:tcPr>
          <w:p w14:paraId="7D1629E8" w14:textId="1909D009" w:rsidR="008E5BD1" w:rsidRPr="007E7880" w:rsidRDefault="008E5BD1" w:rsidP="00AE032B">
            <w:pPr>
              <w:rPr>
                <w:rFonts w:ascii="Verdana" w:hAnsi="Verdana"/>
                <w:color w:val="000000"/>
                <w:sz w:val="20"/>
                <w:szCs w:val="20"/>
              </w:rPr>
            </w:pPr>
            <w:r w:rsidRPr="007E7880">
              <w:rPr>
                <w:rFonts w:ascii="Verdana" w:hAnsi="Verdana"/>
                <w:color w:val="000000"/>
                <w:sz w:val="20"/>
                <w:szCs w:val="20"/>
              </w:rPr>
              <w:t xml:space="preserve">Final agreed corporation tax return for all years closed by HMRC in the regulatory year and up to the date of submission of </w:t>
            </w:r>
            <w:r w:rsidR="00AE032B" w:rsidRPr="007E7880">
              <w:rPr>
                <w:rFonts w:ascii="Verdana" w:hAnsi="Verdana"/>
                <w:color w:val="000000"/>
                <w:sz w:val="20"/>
                <w:szCs w:val="20"/>
              </w:rPr>
              <w:t>the Financial Issues Reporting Pack</w:t>
            </w:r>
          </w:p>
        </w:tc>
        <w:tc>
          <w:tcPr>
            <w:tcW w:w="4844" w:type="dxa"/>
            <w:tcBorders>
              <w:top w:val="single" w:sz="4" w:space="0" w:color="auto"/>
              <w:left w:val="nil"/>
              <w:bottom w:val="single" w:sz="4" w:space="0" w:color="auto"/>
              <w:right w:val="single" w:sz="4" w:space="0" w:color="auto"/>
            </w:tcBorders>
            <w:shd w:val="clear" w:color="000000" w:fill="FFFF99"/>
            <w:noWrap/>
            <w:vAlign w:val="center"/>
            <w:hideMark/>
          </w:tcPr>
          <w:p w14:paraId="7D1629E9" w14:textId="6418FFA3" w:rsidR="008E5BD1" w:rsidRPr="007E7880" w:rsidRDefault="008E5BD1" w:rsidP="0050055A">
            <w:pPr>
              <w:spacing w:before="100" w:beforeAutospacing="1" w:after="100" w:afterAutospacing="1"/>
              <w:rPr>
                <w:rFonts w:ascii="Verdana" w:hAnsi="Verdana"/>
                <w:sz w:val="20"/>
                <w:szCs w:val="20"/>
              </w:rPr>
            </w:pPr>
          </w:p>
        </w:tc>
      </w:tr>
      <w:tr w:rsidR="00EB50AA" w:rsidRPr="007E7880" w14:paraId="7D1629ED" w14:textId="77777777" w:rsidTr="003C2403">
        <w:trPr>
          <w:trHeight w:val="491"/>
        </w:trPr>
        <w:tc>
          <w:tcPr>
            <w:tcW w:w="5554" w:type="dxa"/>
            <w:tcBorders>
              <w:top w:val="single" w:sz="4" w:space="0" w:color="auto"/>
              <w:left w:val="single" w:sz="4" w:space="0" w:color="auto"/>
              <w:bottom w:val="single" w:sz="4" w:space="0" w:color="auto"/>
              <w:right w:val="single" w:sz="4" w:space="0" w:color="auto"/>
            </w:tcBorders>
            <w:shd w:val="clear" w:color="auto" w:fill="auto"/>
            <w:hideMark/>
          </w:tcPr>
          <w:p w14:paraId="7D1629EB" w14:textId="77777777" w:rsidR="00EB50AA" w:rsidRPr="007E7880" w:rsidRDefault="00EB50AA" w:rsidP="00692ADD">
            <w:pPr>
              <w:rPr>
                <w:rFonts w:ascii="Verdana" w:hAnsi="Verdana"/>
                <w:color w:val="000000"/>
                <w:sz w:val="20"/>
                <w:szCs w:val="20"/>
              </w:rPr>
            </w:pPr>
            <w:r w:rsidRPr="007E7880">
              <w:rPr>
                <w:rFonts w:ascii="Verdana" w:hAnsi="Verdana"/>
                <w:color w:val="000000"/>
                <w:sz w:val="20"/>
                <w:szCs w:val="20"/>
              </w:rPr>
              <w:t>Annual audited accounts for each Pension Scheme</w:t>
            </w:r>
          </w:p>
        </w:tc>
        <w:tc>
          <w:tcPr>
            <w:tcW w:w="4844" w:type="dxa"/>
            <w:tcBorders>
              <w:top w:val="single" w:sz="4" w:space="0" w:color="auto"/>
              <w:left w:val="nil"/>
              <w:bottom w:val="single" w:sz="4" w:space="0" w:color="auto"/>
              <w:right w:val="single" w:sz="4" w:space="0" w:color="auto"/>
            </w:tcBorders>
            <w:shd w:val="clear" w:color="000000" w:fill="FFFF99"/>
            <w:noWrap/>
            <w:vAlign w:val="center"/>
          </w:tcPr>
          <w:p w14:paraId="7D1629EC" w14:textId="4D700E95" w:rsidR="00EB50AA" w:rsidRPr="007E7880" w:rsidRDefault="00EB50AA" w:rsidP="00EB50AA">
            <w:pPr>
              <w:rPr>
                <w:rFonts w:ascii="Verdana" w:hAnsi="Verdana"/>
                <w:sz w:val="20"/>
                <w:szCs w:val="20"/>
              </w:rPr>
            </w:pPr>
          </w:p>
        </w:tc>
      </w:tr>
      <w:tr w:rsidR="00EB50AA" w:rsidRPr="007E7880" w14:paraId="7D1629F6" w14:textId="77777777" w:rsidTr="003C2403">
        <w:trPr>
          <w:trHeight w:val="491"/>
        </w:trPr>
        <w:tc>
          <w:tcPr>
            <w:tcW w:w="5554" w:type="dxa"/>
            <w:tcBorders>
              <w:top w:val="nil"/>
              <w:left w:val="single" w:sz="4" w:space="0" w:color="auto"/>
              <w:bottom w:val="single" w:sz="4" w:space="0" w:color="auto"/>
              <w:right w:val="single" w:sz="4" w:space="0" w:color="auto"/>
            </w:tcBorders>
            <w:shd w:val="clear" w:color="auto" w:fill="auto"/>
            <w:vAlign w:val="bottom"/>
            <w:hideMark/>
          </w:tcPr>
          <w:p w14:paraId="7D1629F4" w14:textId="60700275" w:rsidR="00EB50AA" w:rsidRPr="007E7880" w:rsidRDefault="00EB50AA" w:rsidP="00375C06">
            <w:pPr>
              <w:rPr>
                <w:rFonts w:ascii="Verdana" w:hAnsi="Verdana"/>
                <w:color w:val="000000"/>
                <w:sz w:val="20"/>
                <w:szCs w:val="20"/>
              </w:rPr>
            </w:pPr>
            <w:r w:rsidRPr="007E7880">
              <w:rPr>
                <w:rFonts w:ascii="Verdana" w:hAnsi="Verdana"/>
                <w:color w:val="000000"/>
                <w:sz w:val="20"/>
                <w:szCs w:val="20"/>
              </w:rPr>
              <w:t>Copy of the Certification by senior accounting officer that</w:t>
            </w:r>
            <w:r w:rsidR="00375C06" w:rsidRPr="007E7880">
              <w:rPr>
                <w:rFonts w:ascii="Verdana" w:hAnsi="Verdana"/>
                <w:color w:val="000000"/>
                <w:sz w:val="20"/>
                <w:szCs w:val="20"/>
              </w:rPr>
              <w:t xml:space="preserve"> </w:t>
            </w:r>
            <w:r w:rsidRPr="007E7880">
              <w:rPr>
                <w:rFonts w:ascii="Verdana" w:hAnsi="Verdana"/>
                <w:color w:val="000000"/>
                <w:sz w:val="20"/>
                <w:szCs w:val="20"/>
              </w:rPr>
              <w:t>is prescribed in FA2009, which certifies annually that the accounting systems for the company and its subsidiaries are adequate f</w:t>
            </w:r>
            <w:r w:rsidR="00375C06" w:rsidRPr="007E7880">
              <w:rPr>
                <w:rFonts w:ascii="Verdana" w:hAnsi="Verdana"/>
                <w:color w:val="000000"/>
                <w:sz w:val="20"/>
                <w:szCs w:val="20"/>
              </w:rPr>
              <w:t>or the purpose of reporting of ‘</w:t>
            </w:r>
            <w:r w:rsidRPr="007E7880">
              <w:rPr>
                <w:rFonts w:ascii="Verdana" w:hAnsi="Verdana"/>
                <w:color w:val="000000"/>
                <w:sz w:val="20"/>
                <w:szCs w:val="20"/>
              </w:rPr>
              <w:t>taxes and duties</w:t>
            </w:r>
            <w:r w:rsidR="00375C06" w:rsidRPr="007E7880">
              <w:rPr>
                <w:rFonts w:ascii="Verdana" w:hAnsi="Verdana"/>
                <w:color w:val="000000"/>
                <w:sz w:val="20"/>
                <w:szCs w:val="20"/>
              </w:rPr>
              <w:t>’</w:t>
            </w:r>
            <w:r w:rsidRPr="007E7880">
              <w:rPr>
                <w:rFonts w:ascii="Verdana" w:hAnsi="Verdana"/>
                <w:color w:val="000000"/>
                <w:sz w:val="20"/>
                <w:szCs w:val="20"/>
              </w:rPr>
              <w:t>.</w:t>
            </w:r>
          </w:p>
        </w:tc>
        <w:tc>
          <w:tcPr>
            <w:tcW w:w="4844" w:type="dxa"/>
            <w:tcBorders>
              <w:top w:val="single" w:sz="4" w:space="0" w:color="auto"/>
              <w:left w:val="nil"/>
              <w:bottom w:val="single" w:sz="4" w:space="0" w:color="auto"/>
              <w:right w:val="single" w:sz="4" w:space="0" w:color="auto"/>
            </w:tcBorders>
            <w:shd w:val="clear" w:color="000000" w:fill="FFFF99"/>
            <w:noWrap/>
            <w:hideMark/>
          </w:tcPr>
          <w:p w14:paraId="7D1629F5" w14:textId="48158C1F" w:rsidR="00840126" w:rsidRPr="007E7880" w:rsidRDefault="00840126" w:rsidP="00840126">
            <w:pPr>
              <w:rPr>
                <w:rFonts w:ascii="Verdana" w:hAnsi="Verdana"/>
                <w:sz w:val="20"/>
                <w:szCs w:val="20"/>
              </w:rPr>
            </w:pPr>
          </w:p>
        </w:tc>
      </w:tr>
    </w:tbl>
    <w:p w14:paraId="7D1629F7" w14:textId="77777777" w:rsidR="008E5BD1" w:rsidRPr="007E7880" w:rsidRDefault="008E5BD1" w:rsidP="00AE1853">
      <w:pPr>
        <w:rPr>
          <w:rFonts w:ascii="Verdana" w:hAnsi="Verdana"/>
          <w:b/>
          <w:sz w:val="28"/>
          <w:szCs w:val="28"/>
        </w:rPr>
      </w:pPr>
    </w:p>
    <w:p w14:paraId="7D1629F9" w14:textId="31165381" w:rsidR="004F2A3C" w:rsidRPr="007E7880" w:rsidRDefault="003D301A" w:rsidP="003C0836">
      <w:pPr>
        <w:pStyle w:val="Heading1"/>
      </w:pPr>
      <w:bookmarkStart w:id="5" w:name="_Toc421884228"/>
      <w:r w:rsidRPr="007E7880">
        <w:t>Changes to Amounts Reported in Prior Y</w:t>
      </w:r>
      <w:r w:rsidR="004F2A3C" w:rsidRPr="007E7880">
        <w:t>ear(s)</w:t>
      </w:r>
      <w:bookmarkEnd w:id="5"/>
      <w:r w:rsidR="004F2A3C" w:rsidRPr="007E788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91"/>
      </w:tblGrid>
      <w:tr w:rsidR="00A6438D" w:rsidRPr="007E7880" w14:paraId="1FAA58FA" w14:textId="77777777" w:rsidTr="002772D8">
        <w:trPr>
          <w:trHeight w:val="243"/>
        </w:trPr>
        <w:tc>
          <w:tcPr>
            <w:tcW w:w="10491" w:type="dxa"/>
            <w:tcBorders>
              <w:bottom w:val="single" w:sz="4" w:space="0" w:color="auto"/>
            </w:tcBorders>
            <w:shd w:val="clear" w:color="auto" w:fill="FFFFFF"/>
          </w:tcPr>
          <w:p w14:paraId="6613C646" w14:textId="32281384" w:rsidR="00A6438D" w:rsidRPr="007E7880" w:rsidRDefault="00A6438D" w:rsidP="003D301A">
            <w:pPr>
              <w:keepNext/>
            </w:pPr>
            <w:r w:rsidRPr="007E7880">
              <w:rPr>
                <w:rFonts w:ascii="Verdana" w:hAnsi="Verdana"/>
                <w:sz w:val="20"/>
                <w:szCs w:val="20"/>
              </w:rPr>
              <w:t>Explain each and any change(s) to amounts reported in prior year(s) columns. Identify each separately by table number and cell number.</w:t>
            </w:r>
          </w:p>
        </w:tc>
      </w:tr>
      <w:tr w:rsidR="00A6438D" w:rsidRPr="007E7880" w14:paraId="33D17E47" w14:textId="77777777" w:rsidTr="002772D8">
        <w:trPr>
          <w:trHeight w:val="987"/>
        </w:trPr>
        <w:tc>
          <w:tcPr>
            <w:tcW w:w="10491" w:type="dxa"/>
            <w:tcBorders>
              <w:bottom w:val="single" w:sz="4" w:space="0" w:color="auto"/>
            </w:tcBorders>
            <w:shd w:val="clear" w:color="auto" w:fill="FFFF99"/>
          </w:tcPr>
          <w:p w14:paraId="652437B9" w14:textId="77777777" w:rsidR="00A6438D" w:rsidRPr="007E7880" w:rsidRDefault="00A6438D" w:rsidP="002772D8">
            <w:pPr>
              <w:jc w:val="both"/>
              <w:rPr>
                <w:rFonts w:ascii="Verdana" w:hAnsi="Verdana"/>
                <w:sz w:val="20"/>
                <w:szCs w:val="20"/>
              </w:rPr>
            </w:pPr>
          </w:p>
          <w:p w14:paraId="397AAA4B" w14:textId="77777777" w:rsidR="00A6438D" w:rsidRPr="007E7880" w:rsidRDefault="00A6438D" w:rsidP="002772D8">
            <w:pPr>
              <w:jc w:val="both"/>
              <w:rPr>
                <w:rFonts w:ascii="Verdana" w:hAnsi="Verdana"/>
                <w:sz w:val="20"/>
                <w:szCs w:val="20"/>
              </w:rPr>
            </w:pPr>
          </w:p>
          <w:p w14:paraId="31E3E347" w14:textId="77777777" w:rsidR="00A6438D" w:rsidRPr="007E7880" w:rsidRDefault="00A6438D" w:rsidP="002772D8">
            <w:pPr>
              <w:jc w:val="both"/>
              <w:rPr>
                <w:rFonts w:ascii="Verdana" w:hAnsi="Verdana"/>
                <w:sz w:val="20"/>
                <w:szCs w:val="20"/>
                <w:lang w:eastAsia="en-US"/>
              </w:rPr>
            </w:pPr>
          </w:p>
          <w:p w14:paraId="0E92E114" w14:textId="77777777" w:rsidR="00A6438D" w:rsidRPr="007E7880" w:rsidRDefault="00A6438D" w:rsidP="002772D8">
            <w:pPr>
              <w:jc w:val="both"/>
              <w:rPr>
                <w:rFonts w:ascii="Verdana" w:hAnsi="Verdana"/>
                <w:sz w:val="20"/>
                <w:szCs w:val="20"/>
                <w:lang w:eastAsia="en-US"/>
              </w:rPr>
            </w:pPr>
          </w:p>
        </w:tc>
      </w:tr>
    </w:tbl>
    <w:p w14:paraId="7D162A2C" w14:textId="77777777" w:rsidR="004F2A3C" w:rsidRPr="007E7880" w:rsidRDefault="004F2A3C" w:rsidP="004F2A3C">
      <w:pPr>
        <w:rPr>
          <w:rFonts w:ascii="Verdana" w:hAnsi="Verdana"/>
          <w:sz w:val="22"/>
          <w:szCs w:val="22"/>
        </w:rPr>
      </w:pPr>
    </w:p>
    <w:p w14:paraId="7D162A2D" w14:textId="58351924" w:rsidR="00AE1853" w:rsidRPr="007E7880" w:rsidRDefault="00AE1853" w:rsidP="003C0836">
      <w:pPr>
        <w:pStyle w:val="Heading1"/>
      </w:pPr>
      <w:bookmarkStart w:id="6" w:name="_Toc421884229"/>
      <w:r w:rsidRPr="007E7880">
        <w:t>F1</w:t>
      </w:r>
      <w:r w:rsidR="00F44815" w:rsidRPr="007E7880">
        <w:t>a</w:t>
      </w:r>
      <w:r w:rsidR="00193468" w:rsidRPr="007E7880">
        <w:t xml:space="preserve">, </w:t>
      </w:r>
      <w:r w:rsidRPr="007E7880">
        <w:t>F</w:t>
      </w:r>
      <w:r w:rsidR="00F44815" w:rsidRPr="007E7880">
        <w:t>1b</w:t>
      </w:r>
      <w:r w:rsidR="00193468" w:rsidRPr="007E7880">
        <w:t xml:space="preserve"> &amp; F1c</w:t>
      </w:r>
      <w:r w:rsidR="003D301A" w:rsidRPr="007E7880">
        <w:t xml:space="preserve"> – </w:t>
      </w:r>
      <w:r w:rsidR="00193468" w:rsidRPr="007E7880">
        <w:t>Income S</w:t>
      </w:r>
      <w:r w:rsidR="00F44815" w:rsidRPr="007E7880">
        <w:t>tatement</w:t>
      </w:r>
      <w:bookmarkEnd w:id="4"/>
      <w:r w:rsidR="00193468" w:rsidRPr="007E7880">
        <w:t>, S</w:t>
      </w:r>
      <w:r w:rsidR="003D301A" w:rsidRPr="007E7880">
        <w:t>tatement of Financial P</w:t>
      </w:r>
      <w:r w:rsidR="00F44815" w:rsidRPr="007E7880">
        <w:t>osition</w:t>
      </w:r>
      <w:r w:rsidR="00193468" w:rsidRPr="007E7880">
        <w:t xml:space="preserve"> and Statement of </w:t>
      </w:r>
      <w:proofErr w:type="spellStart"/>
      <w:r w:rsidR="00193468" w:rsidRPr="007E7880">
        <w:t>Cashflows</w:t>
      </w:r>
      <w:bookmarkEnd w:id="6"/>
      <w:proofErr w:type="spellEnd"/>
    </w:p>
    <w:p w14:paraId="7D162A2E" w14:textId="77777777" w:rsidR="00AE1853" w:rsidRPr="007E7880" w:rsidRDefault="00AE1853" w:rsidP="00AE032B">
      <w:pPr>
        <w:pStyle w:val="Paragrapgh"/>
        <w:numPr>
          <w:ilvl w:val="0"/>
          <w:numId w:val="0"/>
        </w:numPr>
        <w:spacing w:after="120"/>
      </w:pPr>
      <w:r w:rsidRPr="007E7880">
        <w:t>Commentary should specifically include explanation of:</w:t>
      </w:r>
    </w:p>
    <w:p w14:paraId="33D3E2E5" w14:textId="68B04543" w:rsidR="00193468" w:rsidRPr="007E7880" w:rsidRDefault="00367050" w:rsidP="00367050">
      <w:pPr>
        <w:pStyle w:val="ListParagraph"/>
        <w:numPr>
          <w:ilvl w:val="0"/>
          <w:numId w:val="10"/>
        </w:numPr>
      </w:pPr>
      <w:r w:rsidRPr="007E7880">
        <w:t>Accounting framework adopted (EU-IFRS, FRS101 / FRS102)</w:t>
      </w:r>
    </w:p>
    <w:p w14:paraId="7D162A2F" w14:textId="12D7AF01" w:rsidR="00AE1853" w:rsidRPr="007E7880" w:rsidRDefault="00AE1853" w:rsidP="00AE032B">
      <w:pPr>
        <w:pStyle w:val="ListParagraph"/>
        <w:numPr>
          <w:ilvl w:val="0"/>
          <w:numId w:val="10"/>
        </w:numPr>
        <w:spacing w:after="0"/>
        <w:ind w:left="714" w:hanging="357"/>
      </w:pPr>
      <w:r w:rsidRPr="007E7880">
        <w:t>Exceptional items</w:t>
      </w:r>
    </w:p>
    <w:p w14:paraId="7D162A30" w14:textId="7428F7D1" w:rsidR="00AE1853" w:rsidRPr="007E7880" w:rsidRDefault="00AE1853" w:rsidP="00AE185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91"/>
      </w:tblGrid>
      <w:tr w:rsidR="00AE1853" w:rsidRPr="007E7880" w14:paraId="7D162A32" w14:textId="77777777" w:rsidTr="003C2403">
        <w:trPr>
          <w:trHeight w:val="243"/>
        </w:trPr>
        <w:tc>
          <w:tcPr>
            <w:tcW w:w="10491" w:type="dxa"/>
            <w:tcBorders>
              <w:bottom w:val="single" w:sz="4" w:space="0" w:color="auto"/>
            </w:tcBorders>
            <w:shd w:val="clear" w:color="auto" w:fill="FFFFFF"/>
          </w:tcPr>
          <w:p w14:paraId="7D162A31" w14:textId="1EF1803B" w:rsidR="00AE1853" w:rsidRPr="007E7880" w:rsidRDefault="00081049" w:rsidP="00A6438D">
            <w:pPr>
              <w:keepNext/>
            </w:pPr>
            <w:r w:rsidRPr="007E7880">
              <w:rPr>
                <w:rFonts w:ascii="Verdana" w:hAnsi="Verdana"/>
                <w:b/>
                <w:sz w:val="20"/>
                <w:szCs w:val="20"/>
              </w:rPr>
              <w:t>Comments</w:t>
            </w:r>
          </w:p>
        </w:tc>
      </w:tr>
      <w:tr w:rsidR="00AE1853" w:rsidRPr="007E7880" w14:paraId="7D162A36" w14:textId="77777777" w:rsidTr="003C2403">
        <w:trPr>
          <w:trHeight w:val="987"/>
        </w:trPr>
        <w:tc>
          <w:tcPr>
            <w:tcW w:w="10491" w:type="dxa"/>
            <w:tcBorders>
              <w:bottom w:val="single" w:sz="4" w:space="0" w:color="auto"/>
            </w:tcBorders>
            <w:shd w:val="clear" w:color="auto" w:fill="FFFF99"/>
          </w:tcPr>
          <w:p w14:paraId="7D162A34" w14:textId="77777777" w:rsidR="00B82762" w:rsidRPr="007E7880" w:rsidRDefault="00B82762" w:rsidP="002D682B">
            <w:pPr>
              <w:jc w:val="both"/>
              <w:rPr>
                <w:rFonts w:ascii="Verdana" w:hAnsi="Verdana"/>
                <w:sz w:val="20"/>
                <w:szCs w:val="20"/>
              </w:rPr>
            </w:pPr>
          </w:p>
          <w:p w14:paraId="6EB66245" w14:textId="77777777" w:rsidR="002944D9" w:rsidRPr="007E7880" w:rsidRDefault="002944D9" w:rsidP="002D682B">
            <w:pPr>
              <w:jc w:val="both"/>
              <w:rPr>
                <w:rFonts w:ascii="Verdana" w:hAnsi="Verdana"/>
                <w:sz w:val="20"/>
                <w:szCs w:val="20"/>
              </w:rPr>
            </w:pPr>
          </w:p>
          <w:p w14:paraId="7C848C94" w14:textId="77777777" w:rsidR="00A969AA" w:rsidRPr="007E7880" w:rsidRDefault="00A969AA" w:rsidP="00B82762">
            <w:pPr>
              <w:jc w:val="both"/>
              <w:rPr>
                <w:rFonts w:ascii="Verdana" w:hAnsi="Verdana"/>
                <w:sz w:val="20"/>
                <w:szCs w:val="20"/>
                <w:lang w:eastAsia="en-US"/>
              </w:rPr>
            </w:pPr>
          </w:p>
          <w:p w14:paraId="7D162A35" w14:textId="16208E68" w:rsidR="00AE032B" w:rsidRPr="007E7880" w:rsidRDefault="00AE032B" w:rsidP="00B82762">
            <w:pPr>
              <w:jc w:val="both"/>
              <w:rPr>
                <w:rFonts w:ascii="Verdana" w:hAnsi="Verdana"/>
                <w:sz w:val="20"/>
                <w:szCs w:val="20"/>
                <w:lang w:eastAsia="en-US"/>
              </w:rPr>
            </w:pPr>
          </w:p>
        </w:tc>
      </w:tr>
    </w:tbl>
    <w:p w14:paraId="7D162A38" w14:textId="77777777" w:rsidR="00AE1853" w:rsidRPr="007E7880" w:rsidRDefault="00AE1853" w:rsidP="00AE1853"/>
    <w:p w14:paraId="7D162A3E" w14:textId="3814322E" w:rsidR="00AE1853" w:rsidRPr="007E7880" w:rsidRDefault="00AE1853" w:rsidP="003C0836">
      <w:pPr>
        <w:pStyle w:val="Heading1"/>
      </w:pPr>
      <w:bookmarkStart w:id="7" w:name="_Toc256520074"/>
      <w:bookmarkStart w:id="8" w:name="_Toc421884230"/>
      <w:r w:rsidRPr="007E7880">
        <w:t>F</w:t>
      </w:r>
      <w:r w:rsidR="00F44815" w:rsidRPr="007E7880">
        <w:t>2</w:t>
      </w:r>
      <w:r w:rsidR="003D301A" w:rsidRPr="007E7880">
        <w:t xml:space="preserve"> – </w:t>
      </w:r>
      <w:r w:rsidRPr="007E7880">
        <w:t>Net Debt</w:t>
      </w:r>
      <w:bookmarkEnd w:id="7"/>
      <w:r w:rsidR="002772D8" w:rsidRPr="007E7880">
        <w:t xml:space="preserve"> &amp; </w:t>
      </w:r>
      <w:r w:rsidR="00367050" w:rsidRPr="007E7880">
        <w:t>Interest</w:t>
      </w:r>
      <w:bookmarkEnd w:id="8"/>
    </w:p>
    <w:tbl>
      <w:tblPr>
        <w:tblpPr w:leftFromText="180" w:rightFromText="180" w:vertAnchor="text" w:horzAnchor="margin" w:tblpY="236"/>
        <w:tblW w:w="10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4"/>
        <w:gridCol w:w="5681"/>
      </w:tblGrid>
      <w:tr w:rsidR="00B5460B" w:rsidRPr="007E7880" w14:paraId="7D162A41" w14:textId="77777777" w:rsidTr="003C2403">
        <w:trPr>
          <w:trHeight w:val="146"/>
        </w:trPr>
        <w:tc>
          <w:tcPr>
            <w:tcW w:w="4854" w:type="dxa"/>
          </w:tcPr>
          <w:p w14:paraId="7D162A3F" w14:textId="77777777" w:rsidR="00B5460B" w:rsidRPr="007E7880" w:rsidRDefault="00B5460B" w:rsidP="003C2403">
            <w:pPr>
              <w:keepNext/>
              <w:rPr>
                <w:rFonts w:ascii="Verdana" w:hAnsi="Verdana"/>
                <w:sz w:val="20"/>
                <w:szCs w:val="20"/>
              </w:rPr>
            </w:pPr>
          </w:p>
        </w:tc>
        <w:tc>
          <w:tcPr>
            <w:tcW w:w="5681" w:type="dxa"/>
            <w:shd w:val="clear" w:color="auto" w:fill="FFFFFF" w:themeFill="background1"/>
          </w:tcPr>
          <w:p w14:paraId="7D162A40" w14:textId="692A8307" w:rsidR="00B5460B" w:rsidRPr="007E7880" w:rsidRDefault="0042115B" w:rsidP="003C2403">
            <w:pPr>
              <w:keepNext/>
              <w:rPr>
                <w:rFonts w:ascii="Verdana" w:hAnsi="Verdana"/>
                <w:b/>
                <w:sz w:val="20"/>
                <w:szCs w:val="20"/>
              </w:rPr>
            </w:pPr>
            <w:r w:rsidRPr="007E7880">
              <w:rPr>
                <w:rFonts w:ascii="Verdana" w:hAnsi="Verdana"/>
                <w:b/>
                <w:sz w:val="20"/>
                <w:szCs w:val="20"/>
              </w:rPr>
              <w:t>Comment</w:t>
            </w:r>
            <w:r w:rsidR="00081049" w:rsidRPr="007E7880">
              <w:rPr>
                <w:rFonts w:ascii="Verdana" w:hAnsi="Verdana"/>
                <w:b/>
                <w:sz w:val="20"/>
                <w:szCs w:val="20"/>
              </w:rPr>
              <w:t>s</w:t>
            </w:r>
          </w:p>
        </w:tc>
      </w:tr>
      <w:tr w:rsidR="00B5460B" w:rsidRPr="007E7880" w14:paraId="7D162A46" w14:textId="77777777" w:rsidTr="003C2403">
        <w:trPr>
          <w:trHeight w:val="146"/>
        </w:trPr>
        <w:tc>
          <w:tcPr>
            <w:tcW w:w="4854" w:type="dxa"/>
          </w:tcPr>
          <w:p w14:paraId="7D162A42" w14:textId="7CC2D696" w:rsidR="00B5460B" w:rsidRPr="007E7880" w:rsidRDefault="00B5460B" w:rsidP="00B5460B">
            <w:pPr>
              <w:rPr>
                <w:rFonts w:ascii="Verdana" w:hAnsi="Verdana"/>
                <w:sz w:val="20"/>
                <w:szCs w:val="20"/>
              </w:rPr>
            </w:pPr>
            <w:r w:rsidRPr="007E7880">
              <w:rPr>
                <w:rFonts w:ascii="Verdana" w:hAnsi="Verdana"/>
                <w:sz w:val="20"/>
                <w:szCs w:val="20"/>
              </w:rPr>
              <w:t>Whether within the “Analysis of other amounts due to/ (from) group companies per Balance Sheet (memorandum)” there are any amounts that are more than one year old.</w:t>
            </w:r>
            <w:r w:rsidR="00AE032B" w:rsidRPr="007E7880">
              <w:rPr>
                <w:rFonts w:ascii="Verdana" w:hAnsi="Verdana"/>
                <w:sz w:val="20"/>
                <w:szCs w:val="20"/>
              </w:rPr>
              <w:t xml:space="preserve"> </w:t>
            </w:r>
            <w:r w:rsidRPr="007E7880">
              <w:rPr>
                <w:rFonts w:ascii="Verdana" w:hAnsi="Verdana"/>
                <w:sz w:val="20"/>
                <w:szCs w:val="20"/>
              </w:rPr>
              <w:t>If this is so, explain whether or not these amounts should not be considered as part net debt for the purpose of assessing whether the gearing ratio has been exceeded.</w:t>
            </w:r>
          </w:p>
          <w:p w14:paraId="7D162A43" w14:textId="77777777" w:rsidR="00B5460B" w:rsidRPr="007E7880" w:rsidRDefault="00B5460B" w:rsidP="00B5460B">
            <w:pPr>
              <w:rPr>
                <w:rFonts w:ascii="Verdana" w:hAnsi="Verdana"/>
                <w:sz w:val="20"/>
                <w:szCs w:val="20"/>
              </w:rPr>
            </w:pPr>
          </w:p>
        </w:tc>
        <w:tc>
          <w:tcPr>
            <w:tcW w:w="5681" w:type="dxa"/>
            <w:shd w:val="clear" w:color="auto" w:fill="FFFF99"/>
          </w:tcPr>
          <w:p w14:paraId="66D25C7A" w14:textId="77777777" w:rsidR="007E00E0" w:rsidRPr="007E7880" w:rsidRDefault="007E00E0" w:rsidP="00B5460B">
            <w:pPr>
              <w:rPr>
                <w:rFonts w:ascii="Verdana" w:hAnsi="Verdana"/>
                <w:sz w:val="20"/>
                <w:szCs w:val="20"/>
              </w:rPr>
            </w:pPr>
          </w:p>
          <w:p w14:paraId="7D162A45" w14:textId="5CB6AB31" w:rsidR="00784C17" w:rsidRPr="007E7880" w:rsidRDefault="00784C17" w:rsidP="00B5460B">
            <w:pPr>
              <w:rPr>
                <w:rFonts w:ascii="Verdana" w:hAnsi="Verdana"/>
                <w:sz w:val="20"/>
                <w:szCs w:val="20"/>
              </w:rPr>
            </w:pPr>
          </w:p>
        </w:tc>
      </w:tr>
      <w:tr w:rsidR="00B5460B" w:rsidRPr="007E7880" w14:paraId="7D162A50" w14:textId="77777777" w:rsidTr="003C2403">
        <w:trPr>
          <w:trHeight w:val="146"/>
        </w:trPr>
        <w:tc>
          <w:tcPr>
            <w:tcW w:w="4854" w:type="dxa"/>
          </w:tcPr>
          <w:p w14:paraId="7D162A47" w14:textId="46865DE8" w:rsidR="00B5460B" w:rsidRPr="007E7880" w:rsidRDefault="00367050" w:rsidP="00B5460B">
            <w:pPr>
              <w:rPr>
                <w:rFonts w:ascii="Verdana" w:hAnsi="Verdana"/>
                <w:sz w:val="20"/>
                <w:szCs w:val="20"/>
              </w:rPr>
            </w:pPr>
            <w:r w:rsidRPr="007E7880">
              <w:rPr>
                <w:rFonts w:ascii="Verdana" w:hAnsi="Verdana"/>
                <w:sz w:val="20"/>
                <w:szCs w:val="20"/>
              </w:rPr>
              <w:t xml:space="preserve">If there </w:t>
            </w:r>
            <w:proofErr w:type="gramStart"/>
            <w:r w:rsidRPr="007E7880">
              <w:rPr>
                <w:rFonts w:ascii="Verdana" w:hAnsi="Verdana"/>
                <w:sz w:val="20"/>
                <w:szCs w:val="20"/>
              </w:rPr>
              <w:t xml:space="preserve">are any </w:t>
            </w:r>
            <w:r w:rsidR="00B5460B" w:rsidRPr="007E7880">
              <w:rPr>
                <w:rFonts w:ascii="Verdana" w:hAnsi="Verdana"/>
                <w:sz w:val="20"/>
                <w:szCs w:val="20"/>
              </w:rPr>
              <w:t>derivative</w:t>
            </w:r>
            <w:proofErr w:type="gramEnd"/>
            <w:r w:rsidR="00B5460B" w:rsidRPr="007E7880">
              <w:rPr>
                <w:rFonts w:ascii="Verdana" w:hAnsi="Verdana"/>
                <w:sz w:val="20"/>
                <w:szCs w:val="20"/>
              </w:rPr>
              <w:t xml:space="preserve"> financial instruments held by a related party that are not reported in the table, quantifying them and stating which debt(s) is being hedged.</w:t>
            </w:r>
          </w:p>
          <w:p w14:paraId="7D162A48" w14:textId="77777777" w:rsidR="00B5460B" w:rsidRPr="007E7880" w:rsidRDefault="00B5460B" w:rsidP="00B5460B">
            <w:pPr>
              <w:rPr>
                <w:rFonts w:ascii="Verdana" w:hAnsi="Verdana"/>
                <w:sz w:val="20"/>
                <w:szCs w:val="20"/>
              </w:rPr>
            </w:pPr>
          </w:p>
        </w:tc>
        <w:tc>
          <w:tcPr>
            <w:tcW w:w="5681" w:type="dxa"/>
            <w:shd w:val="clear" w:color="auto" w:fill="FFFF99"/>
          </w:tcPr>
          <w:p w14:paraId="0D9A1730" w14:textId="0C5679BF" w:rsidR="008D0E3E" w:rsidRPr="007E7880" w:rsidRDefault="008D0E3E" w:rsidP="00EA7B2B">
            <w:pPr>
              <w:rPr>
                <w:rFonts w:ascii="Verdana" w:hAnsi="Verdana"/>
                <w:b/>
                <w:sz w:val="20"/>
                <w:szCs w:val="20"/>
              </w:rPr>
            </w:pPr>
            <w:r w:rsidRPr="007E7880">
              <w:rPr>
                <w:rFonts w:ascii="Verdana" w:hAnsi="Verdana"/>
                <w:b/>
                <w:sz w:val="20"/>
                <w:szCs w:val="20"/>
              </w:rPr>
              <w:t>I</w:t>
            </w:r>
            <w:r w:rsidR="001814EB" w:rsidRPr="007E7880">
              <w:rPr>
                <w:rFonts w:ascii="Verdana" w:hAnsi="Verdana"/>
                <w:b/>
                <w:sz w:val="20"/>
                <w:szCs w:val="20"/>
              </w:rPr>
              <w:t>nterest rate swap</w:t>
            </w:r>
            <w:r w:rsidRPr="007E7880">
              <w:rPr>
                <w:rFonts w:ascii="Verdana" w:hAnsi="Verdana"/>
                <w:b/>
                <w:sz w:val="20"/>
                <w:szCs w:val="20"/>
              </w:rPr>
              <w:t>s</w:t>
            </w:r>
            <w:r w:rsidR="003C2403" w:rsidRPr="007E7880">
              <w:rPr>
                <w:rFonts w:ascii="Verdana" w:hAnsi="Verdana"/>
                <w:b/>
                <w:sz w:val="20"/>
                <w:szCs w:val="20"/>
              </w:rPr>
              <w:t>:</w:t>
            </w:r>
          </w:p>
          <w:p w14:paraId="7D162A4B" w14:textId="77777777" w:rsidR="00222966" w:rsidRPr="007E7880" w:rsidRDefault="00222966" w:rsidP="00EA7B2B">
            <w:pPr>
              <w:rPr>
                <w:rFonts w:ascii="Verdana" w:hAnsi="Verdana"/>
                <w:sz w:val="20"/>
                <w:szCs w:val="20"/>
              </w:rPr>
            </w:pPr>
          </w:p>
          <w:p w14:paraId="494024B4" w14:textId="77777777" w:rsidR="003C2403" w:rsidRPr="007E7880" w:rsidRDefault="003C2403" w:rsidP="00EA7B2B">
            <w:pPr>
              <w:rPr>
                <w:rFonts w:ascii="Verdana" w:hAnsi="Verdana"/>
                <w:sz w:val="20"/>
                <w:szCs w:val="20"/>
              </w:rPr>
            </w:pPr>
          </w:p>
          <w:p w14:paraId="7D162A4C" w14:textId="44BC7161" w:rsidR="00EA7B2B" w:rsidRPr="007E7880" w:rsidRDefault="00EA7B2B" w:rsidP="00EA7B2B">
            <w:pPr>
              <w:rPr>
                <w:rFonts w:ascii="Verdana" w:hAnsi="Verdana"/>
                <w:b/>
                <w:sz w:val="20"/>
                <w:szCs w:val="20"/>
              </w:rPr>
            </w:pPr>
            <w:r w:rsidRPr="007E7880">
              <w:rPr>
                <w:rFonts w:ascii="Verdana" w:hAnsi="Verdana"/>
                <w:b/>
                <w:sz w:val="20"/>
                <w:szCs w:val="20"/>
              </w:rPr>
              <w:t>Losses and gains</w:t>
            </w:r>
            <w:r w:rsidR="003C2403" w:rsidRPr="007E7880">
              <w:rPr>
                <w:rFonts w:ascii="Verdana" w:hAnsi="Verdana"/>
                <w:b/>
                <w:sz w:val="20"/>
                <w:szCs w:val="20"/>
              </w:rPr>
              <w:t>:</w:t>
            </w:r>
          </w:p>
          <w:p w14:paraId="7D162A4D" w14:textId="77777777" w:rsidR="00EA7B2B" w:rsidRPr="007E7880" w:rsidRDefault="00EA7B2B" w:rsidP="001814EB">
            <w:pPr>
              <w:rPr>
                <w:rFonts w:ascii="Verdana" w:hAnsi="Verdana"/>
                <w:sz w:val="20"/>
                <w:szCs w:val="20"/>
              </w:rPr>
            </w:pPr>
          </w:p>
          <w:p w14:paraId="3CCCDC24" w14:textId="77777777" w:rsidR="003C2403" w:rsidRPr="007E7880" w:rsidRDefault="003C2403" w:rsidP="001814EB">
            <w:pPr>
              <w:rPr>
                <w:rFonts w:ascii="Verdana" w:hAnsi="Verdana"/>
                <w:sz w:val="20"/>
                <w:szCs w:val="20"/>
              </w:rPr>
            </w:pPr>
          </w:p>
          <w:p w14:paraId="72D73A0D" w14:textId="1A262740" w:rsidR="0076524D" w:rsidRPr="007E7880" w:rsidRDefault="008D0E3E" w:rsidP="008D0E3E">
            <w:pPr>
              <w:rPr>
                <w:rFonts w:ascii="Verdana" w:hAnsi="Verdana"/>
                <w:b/>
                <w:sz w:val="20"/>
                <w:szCs w:val="20"/>
              </w:rPr>
            </w:pPr>
            <w:r w:rsidRPr="007E7880">
              <w:rPr>
                <w:rFonts w:ascii="Verdana" w:hAnsi="Verdana"/>
                <w:b/>
                <w:sz w:val="20"/>
                <w:szCs w:val="20"/>
              </w:rPr>
              <w:t>C</w:t>
            </w:r>
            <w:r w:rsidR="001814EB" w:rsidRPr="007E7880">
              <w:rPr>
                <w:rFonts w:ascii="Verdana" w:hAnsi="Verdana"/>
                <w:b/>
                <w:sz w:val="20"/>
                <w:szCs w:val="20"/>
              </w:rPr>
              <w:t>ross currency swaps</w:t>
            </w:r>
            <w:r w:rsidR="003C2403" w:rsidRPr="007E7880">
              <w:rPr>
                <w:rFonts w:ascii="Verdana" w:hAnsi="Verdana"/>
                <w:b/>
                <w:sz w:val="20"/>
                <w:szCs w:val="20"/>
              </w:rPr>
              <w:t>:</w:t>
            </w:r>
          </w:p>
          <w:p w14:paraId="45DAF08B" w14:textId="77777777" w:rsidR="008D0E3E" w:rsidRPr="007E7880" w:rsidRDefault="008D0E3E" w:rsidP="008D0E3E">
            <w:pPr>
              <w:rPr>
                <w:rFonts w:ascii="Verdana" w:hAnsi="Verdana"/>
                <w:sz w:val="20"/>
                <w:szCs w:val="20"/>
              </w:rPr>
            </w:pPr>
          </w:p>
          <w:p w14:paraId="7D162A4F" w14:textId="3B60277A" w:rsidR="008D0E3E" w:rsidRPr="007E7880" w:rsidRDefault="008D0E3E" w:rsidP="008D0E3E">
            <w:pPr>
              <w:rPr>
                <w:rFonts w:ascii="Verdana" w:hAnsi="Verdana"/>
                <w:sz w:val="20"/>
                <w:szCs w:val="20"/>
              </w:rPr>
            </w:pPr>
          </w:p>
        </w:tc>
      </w:tr>
      <w:tr w:rsidR="00B5460B" w:rsidRPr="007E7880" w14:paraId="7D162A60" w14:textId="77777777" w:rsidTr="003C2403">
        <w:trPr>
          <w:trHeight w:val="146"/>
        </w:trPr>
        <w:tc>
          <w:tcPr>
            <w:tcW w:w="4854" w:type="dxa"/>
          </w:tcPr>
          <w:p w14:paraId="7D162A51" w14:textId="5D5A2503" w:rsidR="00B5460B" w:rsidRPr="007E7880" w:rsidRDefault="00B5460B" w:rsidP="00B5460B">
            <w:pPr>
              <w:rPr>
                <w:rFonts w:ascii="Verdana" w:hAnsi="Verdana"/>
                <w:sz w:val="20"/>
                <w:szCs w:val="20"/>
              </w:rPr>
            </w:pPr>
            <w:r w:rsidRPr="007E7880">
              <w:rPr>
                <w:rFonts w:ascii="Verdana" w:hAnsi="Verdana"/>
                <w:sz w:val="20"/>
                <w:szCs w:val="20"/>
              </w:rPr>
              <w:t>Identify any new debt or debt refinanced, or new derivative financial instruments in the regulatory year.</w:t>
            </w:r>
          </w:p>
          <w:p w14:paraId="7D162A52" w14:textId="77777777" w:rsidR="00B5460B" w:rsidRPr="007E7880" w:rsidRDefault="00B5460B" w:rsidP="00B5460B">
            <w:pPr>
              <w:rPr>
                <w:rFonts w:ascii="Verdana" w:hAnsi="Verdana"/>
                <w:sz w:val="20"/>
                <w:szCs w:val="20"/>
              </w:rPr>
            </w:pPr>
          </w:p>
        </w:tc>
        <w:tc>
          <w:tcPr>
            <w:tcW w:w="5681" w:type="dxa"/>
            <w:shd w:val="clear" w:color="auto" w:fill="FFFF99"/>
          </w:tcPr>
          <w:p w14:paraId="7D162A53" w14:textId="7B4AED05" w:rsidR="001814EB" w:rsidRPr="007E7880" w:rsidRDefault="001814EB" w:rsidP="001814EB">
            <w:pPr>
              <w:rPr>
                <w:rFonts w:ascii="Verdana" w:hAnsi="Verdana"/>
                <w:b/>
                <w:sz w:val="20"/>
                <w:szCs w:val="20"/>
              </w:rPr>
            </w:pPr>
            <w:r w:rsidRPr="007E7880">
              <w:rPr>
                <w:rFonts w:ascii="Verdana" w:hAnsi="Verdana"/>
                <w:b/>
                <w:sz w:val="20"/>
                <w:szCs w:val="20"/>
              </w:rPr>
              <w:t>New debt in the year:</w:t>
            </w:r>
          </w:p>
          <w:p w14:paraId="7D162A5E" w14:textId="0BABEAC4" w:rsidR="001814EB" w:rsidRPr="007E7880" w:rsidRDefault="001814EB" w:rsidP="001814EB">
            <w:pPr>
              <w:rPr>
                <w:rFonts w:ascii="Verdana" w:hAnsi="Verdana"/>
                <w:sz w:val="20"/>
                <w:szCs w:val="20"/>
              </w:rPr>
            </w:pPr>
          </w:p>
          <w:p w14:paraId="7D162A5F" w14:textId="77777777" w:rsidR="00840126" w:rsidRPr="007E7880" w:rsidRDefault="00840126" w:rsidP="002D5859">
            <w:pPr>
              <w:rPr>
                <w:rFonts w:ascii="Verdana" w:hAnsi="Verdana"/>
                <w:sz w:val="20"/>
                <w:szCs w:val="20"/>
              </w:rPr>
            </w:pPr>
          </w:p>
        </w:tc>
      </w:tr>
      <w:tr w:rsidR="00B5460B" w:rsidRPr="007E7880" w14:paraId="7D162A72" w14:textId="77777777" w:rsidTr="003C2403">
        <w:trPr>
          <w:trHeight w:val="746"/>
        </w:trPr>
        <w:tc>
          <w:tcPr>
            <w:tcW w:w="4854" w:type="dxa"/>
          </w:tcPr>
          <w:p w14:paraId="7D162A61" w14:textId="76E89931" w:rsidR="00B5460B" w:rsidRPr="007E7880" w:rsidRDefault="00B5460B" w:rsidP="00B5460B">
            <w:pPr>
              <w:rPr>
                <w:rFonts w:ascii="Verdana" w:hAnsi="Verdana"/>
                <w:sz w:val="20"/>
                <w:szCs w:val="20"/>
              </w:rPr>
            </w:pPr>
            <w:r w:rsidRPr="007E7880">
              <w:rPr>
                <w:rFonts w:ascii="Verdana" w:hAnsi="Verdana"/>
                <w:sz w:val="20"/>
                <w:szCs w:val="20"/>
              </w:rPr>
              <w:t xml:space="preserve">Detail the covenants relating to the top </w:t>
            </w:r>
            <w:r w:rsidR="008D0E3E" w:rsidRPr="007E7880">
              <w:rPr>
                <w:rFonts w:ascii="Verdana" w:hAnsi="Verdana"/>
                <w:sz w:val="20"/>
                <w:szCs w:val="20"/>
              </w:rPr>
              <w:t>five</w:t>
            </w:r>
            <w:r w:rsidRPr="007E7880">
              <w:rPr>
                <w:rFonts w:ascii="Verdana" w:hAnsi="Verdana"/>
                <w:sz w:val="20"/>
                <w:szCs w:val="20"/>
              </w:rPr>
              <w:t xml:space="preserve"> loans by value.</w:t>
            </w:r>
          </w:p>
          <w:p w14:paraId="7D162A62" w14:textId="77777777" w:rsidR="00B5460B" w:rsidRPr="007E7880" w:rsidRDefault="00B5460B" w:rsidP="00B5460B">
            <w:pPr>
              <w:rPr>
                <w:rFonts w:ascii="Verdana" w:hAnsi="Verdana"/>
                <w:sz w:val="20"/>
                <w:szCs w:val="20"/>
              </w:rPr>
            </w:pPr>
          </w:p>
        </w:tc>
        <w:tc>
          <w:tcPr>
            <w:tcW w:w="5681" w:type="dxa"/>
            <w:shd w:val="clear" w:color="auto" w:fill="FFFF99"/>
          </w:tcPr>
          <w:p w14:paraId="7D162A70" w14:textId="77777777" w:rsidR="003C5AE9" w:rsidRPr="007E7880" w:rsidRDefault="003C5AE9" w:rsidP="008802D4">
            <w:pPr>
              <w:rPr>
                <w:rFonts w:ascii="Verdana" w:hAnsi="Verdana"/>
                <w:sz w:val="20"/>
                <w:szCs w:val="20"/>
              </w:rPr>
            </w:pPr>
          </w:p>
          <w:p w14:paraId="7D162A71" w14:textId="77777777" w:rsidR="003C5AE9" w:rsidRPr="007E7880" w:rsidRDefault="003C5AE9" w:rsidP="002D5859">
            <w:pPr>
              <w:rPr>
                <w:rFonts w:ascii="Verdana" w:hAnsi="Verdana"/>
                <w:sz w:val="20"/>
                <w:szCs w:val="20"/>
              </w:rPr>
            </w:pPr>
          </w:p>
        </w:tc>
      </w:tr>
    </w:tbl>
    <w:p w14:paraId="7D162A73" w14:textId="77777777" w:rsidR="00AE1853" w:rsidRPr="007E7880" w:rsidRDefault="00AE1853" w:rsidP="00AE1853"/>
    <w:p w14:paraId="7D162A78" w14:textId="3EDA0CF5" w:rsidR="00AE1853" w:rsidRPr="007E7880" w:rsidRDefault="002A03E6" w:rsidP="003C0836">
      <w:pPr>
        <w:pStyle w:val="Heading1"/>
      </w:pPr>
      <w:bookmarkStart w:id="9" w:name="_Toc256520075"/>
      <w:bookmarkStart w:id="10" w:name="_Toc421884231"/>
      <w:r w:rsidRPr="007E7880">
        <w:t>F</w:t>
      </w:r>
      <w:r w:rsidR="005506FF" w:rsidRPr="007E7880">
        <w:t>3</w:t>
      </w:r>
      <w:r w:rsidR="003D301A" w:rsidRPr="007E7880">
        <w:t xml:space="preserve"> – Financing R</w:t>
      </w:r>
      <w:r w:rsidR="00AE1853" w:rsidRPr="007E7880">
        <w:t>equirements</w:t>
      </w:r>
      <w:bookmarkEnd w:id="9"/>
      <w:bookmarkEnd w:id="10"/>
    </w:p>
    <w:p w14:paraId="7D162A79" w14:textId="77777777" w:rsidR="00AE1853" w:rsidRPr="007E7880" w:rsidRDefault="00AE1853" w:rsidP="002A03E6">
      <w:pPr>
        <w:pStyle w:val="Paragrapgh"/>
        <w:numPr>
          <w:ilvl w:val="0"/>
          <w:numId w:val="0"/>
        </w:numPr>
      </w:pPr>
      <w:r w:rsidRPr="007E7880">
        <w:t xml:space="preserve">A commentary is required to detail any concerns the licensee has </w:t>
      </w:r>
      <w:r w:rsidR="00C03A99" w:rsidRPr="007E7880">
        <w:t>about refinancing</w:t>
      </w:r>
      <w:r w:rsidRPr="007E7880">
        <w:t xml:space="preserve">, except to the extent that such issues have been separately notified to </w:t>
      </w:r>
      <w:proofErr w:type="spellStart"/>
      <w:r w:rsidRPr="007E7880">
        <w:t>Ofgem</w:t>
      </w:r>
      <w:proofErr w:type="spellEnd"/>
      <w:r w:rsidRPr="007E7880">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641"/>
      </w:tblGrid>
      <w:tr w:rsidR="00AE1853" w:rsidRPr="007E7880" w14:paraId="7D162A7B" w14:textId="77777777" w:rsidTr="003C2403">
        <w:trPr>
          <w:trHeight w:val="240"/>
        </w:trPr>
        <w:tc>
          <w:tcPr>
            <w:tcW w:w="10641" w:type="dxa"/>
            <w:tcBorders>
              <w:bottom w:val="single" w:sz="4" w:space="0" w:color="auto"/>
            </w:tcBorders>
            <w:shd w:val="clear" w:color="auto" w:fill="FFFFFF"/>
          </w:tcPr>
          <w:p w14:paraId="7D162A7A" w14:textId="076F77BF" w:rsidR="00AE1853" w:rsidRPr="007E7880" w:rsidRDefault="005506FF" w:rsidP="003D301A">
            <w:pPr>
              <w:keepNext/>
            </w:pPr>
            <w:r w:rsidRPr="007E7880">
              <w:rPr>
                <w:rFonts w:ascii="Verdana" w:hAnsi="Verdana"/>
                <w:b/>
                <w:sz w:val="20"/>
                <w:szCs w:val="20"/>
              </w:rPr>
              <w:t>Comments</w:t>
            </w:r>
          </w:p>
        </w:tc>
      </w:tr>
      <w:tr w:rsidR="00AE1853" w:rsidRPr="007E7880" w14:paraId="7D162A8A" w14:textId="77777777" w:rsidTr="003C2403">
        <w:trPr>
          <w:trHeight w:val="975"/>
        </w:trPr>
        <w:tc>
          <w:tcPr>
            <w:tcW w:w="10641" w:type="dxa"/>
            <w:tcBorders>
              <w:bottom w:val="single" w:sz="4" w:space="0" w:color="auto"/>
            </w:tcBorders>
            <w:shd w:val="clear" w:color="auto" w:fill="FFFF99"/>
          </w:tcPr>
          <w:p w14:paraId="5ECEAE5F" w14:textId="77777777" w:rsidR="00AE1853" w:rsidRPr="007E7880" w:rsidRDefault="00CD03CB" w:rsidP="003C2403">
            <w:pPr>
              <w:rPr>
                <w:rFonts w:ascii="Verdana" w:hAnsi="Verdana"/>
                <w:b/>
                <w:sz w:val="20"/>
                <w:szCs w:val="20"/>
              </w:rPr>
            </w:pPr>
            <w:r w:rsidRPr="007E7880">
              <w:rPr>
                <w:rFonts w:ascii="Verdana" w:hAnsi="Verdana"/>
                <w:b/>
                <w:sz w:val="20"/>
                <w:szCs w:val="20"/>
              </w:rPr>
              <w:t>Cross-reference to the financial factors considered as part of the Availability of Resources certification</w:t>
            </w:r>
          </w:p>
          <w:p w14:paraId="3A0460A8" w14:textId="77777777" w:rsidR="003C2403" w:rsidRPr="007E7880" w:rsidRDefault="003C2403" w:rsidP="003C2403">
            <w:pPr>
              <w:rPr>
                <w:rFonts w:ascii="Verdana" w:hAnsi="Verdana"/>
                <w:b/>
                <w:sz w:val="20"/>
                <w:szCs w:val="20"/>
              </w:rPr>
            </w:pPr>
          </w:p>
          <w:p w14:paraId="4709FB30" w14:textId="77777777" w:rsidR="003C2403" w:rsidRPr="007E7880" w:rsidRDefault="003C2403" w:rsidP="003C2403">
            <w:pPr>
              <w:rPr>
                <w:rFonts w:ascii="Verdana" w:hAnsi="Verdana"/>
                <w:b/>
                <w:sz w:val="20"/>
                <w:szCs w:val="20"/>
              </w:rPr>
            </w:pPr>
          </w:p>
          <w:p w14:paraId="7D162A89" w14:textId="10B8472B" w:rsidR="00AD6B4B" w:rsidRPr="007E7880" w:rsidRDefault="00AD6B4B" w:rsidP="003C2403">
            <w:pPr>
              <w:rPr>
                <w:rFonts w:ascii="Verdana" w:hAnsi="Verdana"/>
                <w:b/>
                <w:sz w:val="20"/>
                <w:szCs w:val="20"/>
              </w:rPr>
            </w:pPr>
          </w:p>
        </w:tc>
      </w:tr>
    </w:tbl>
    <w:p w14:paraId="7D162A8B" w14:textId="77777777" w:rsidR="00AE1853" w:rsidRPr="007E7880" w:rsidRDefault="00AE1853" w:rsidP="00AE1853"/>
    <w:p w14:paraId="26C7A806" w14:textId="43F5FA86" w:rsidR="00CD03CB" w:rsidRPr="007E7880" w:rsidRDefault="003D301A" w:rsidP="003C0836">
      <w:pPr>
        <w:pStyle w:val="Heading1"/>
      </w:pPr>
      <w:bookmarkStart w:id="11" w:name="_Toc421884232"/>
      <w:bookmarkStart w:id="12" w:name="_Toc256520080"/>
      <w:r w:rsidRPr="007E7880">
        <w:t>F4 – Tax C</w:t>
      </w:r>
      <w:r w:rsidR="00CD03CB" w:rsidRPr="007E7880">
        <w:t>omputation</w:t>
      </w:r>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5759"/>
        <w:gridCol w:w="4923"/>
      </w:tblGrid>
      <w:tr w:rsidR="00E31620" w:rsidRPr="007E7880" w14:paraId="27AB522A" w14:textId="5F14935F" w:rsidTr="00E31620">
        <w:tc>
          <w:tcPr>
            <w:tcW w:w="5759" w:type="dxa"/>
            <w:tcBorders>
              <w:bottom w:val="single" w:sz="4" w:space="0" w:color="auto"/>
            </w:tcBorders>
            <w:shd w:val="clear" w:color="auto" w:fill="FFFFFF"/>
          </w:tcPr>
          <w:p w14:paraId="5485AF85" w14:textId="0AE2FBE3" w:rsidR="00E31620" w:rsidRPr="007E7880" w:rsidRDefault="00E31620" w:rsidP="003D301A">
            <w:pPr>
              <w:keepNext/>
            </w:pPr>
          </w:p>
        </w:tc>
        <w:tc>
          <w:tcPr>
            <w:tcW w:w="4923" w:type="dxa"/>
            <w:tcBorders>
              <w:bottom w:val="single" w:sz="4" w:space="0" w:color="auto"/>
            </w:tcBorders>
            <w:shd w:val="clear" w:color="auto" w:fill="FFFFFF"/>
          </w:tcPr>
          <w:p w14:paraId="33669B8C" w14:textId="732CBE64" w:rsidR="00E31620" w:rsidRPr="007E7880" w:rsidRDefault="00E31620" w:rsidP="003D301A">
            <w:pPr>
              <w:keepNext/>
              <w:rPr>
                <w:rFonts w:ascii="Verdana" w:hAnsi="Verdana"/>
                <w:b/>
                <w:sz w:val="20"/>
                <w:szCs w:val="20"/>
              </w:rPr>
            </w:pPr>
            <w:r w:rsidRPr="007E7880">
              <w:rPr>
                <w:rFonts w:ascii="Verdana" w:hAnsi="Verdana"/>
                <w:b/>
                <w:sz w:val="20"/>
                <w:szCs w:val="20"/>
              </w:rPr>
              <w:t>Comment</w:t>
            </w:r>
            <w:r w:rsidR="00081049" w:rsidRPr="007E7880">
              <w:rPr>
                <w:rFonts w:ascii="Verdana" w:hAnsi="Verdana"/>
                <w:b/>
                <w:sz w:val="20"/>
                <w:szCs w:val="20"/>
              </w:rPr>
              <w:t>s</w:t>
            </w:r>
          </w:p>
        </w:tc>
      </w:tr>
      <w:tr w:rsidR="00E31620" w:rsidRPr="007E7880" w14:paraId="71EFAB1F" w14:textId="026A2341" w:rsidTr="00E31620">
        <w:tc>
          <w:tcPr>
            <w:tcW w:w="5759" w:type="dxa"/>
            <w:shd w:val="clear" w:color="auto" w:fill="auto"/>
          </w:tcPr>
          <w:p w14:paraId="17820467" w14:textId="7A87C479" w:rsidR="00E31620" w:rsidRPr="007E7880" w:rsidRDefault="00E31620" w:rsidP="00E31620">
            <w:pPr>
              <w:rPr>
                <w:rFonts w:ascii="Verdana" w:hAnsi="Verdana"/>
                <w:sz w:val="20"/>
                <w:szCs w:val="20"/>
              </w:rPr>
            </w:pPr>
            <w:r w:rsidRPr="007E7880">
              <w:rPr>
                <w:rFonts w:ascii="Verdana" w:hAnsi="Verdana"/>
                <w:sz w:val="20"/>
                <w:szCs w:val="20"/>
              </w:rPr>
              <w:t>Confirm when tax returns have been agreed with HMRC for statutory financial years that are relevant to the regulatory year under report.</w:t>
            </w:r>
          </w:p>
        </w:tc>
        <w:tc>
          <w:tcPr>
            <w:tcW w:w="4923" w:type="dxa"/>
            <w:shd w:val="clear" w:color="auto" w:fill="FFFF99"/>
          </w:tcPr>
          <w:p w14:paraId="3CD71C7A" w14:textId="77777777" w:rsidR="00E31620" w:rsidRPr="007E7880" w:rsidRDefault="00E31620" w:rsidP="00E31620">
            <w:pPr>
              <w:pStyle w:val="ListParagraph"/>
            </w:pPr>
          </w:p>
        </w:tc>
      </w:tr>
      <w:tr w:rsidR="00E31620" w:rsidRPr="007E7880" w14:paraId="579A197D" w14:textId="77777777" w:rsidTr="00E31620">
        <w:tc>
          <w:tcPr>
            <w:tcW w:w="5759" w:type="dxa"/>
            <w:shd w:val="clear" w:color="auto" w:fill="auto"/>
          </w:tcPr>
          <w:p w14:paraId="6738A20C" w14:textId="6A050C95" w:rsidR="003C2403" w:rsidRPr="007E7880" w:rsidRDefault="00E31620" w:rsidP="003C2403">
            <w:pPr>
              <w:rPr>
                <w:rFonts w:ascii="Verdana" w:hAnsi="Verdana"/>
                <w:sz w:val="20"/>
                <w:szCs w:val="20"/>
              </w:rPr>
            </w:pPr>
            <w:r w:rsidRPr="007E7880">
              <w:rPr>
                <w:rFonts w:ascii="Verdana" w:hAnsi="Verdana"/>
                <w:sz w:val="20"/>
                <w:szCs w:val="20"/>
              </w:rPr>
              <w:lastRenderedPageBreak/>
              <w:t>Where there are or have been investigations by HMRC into the licensees in the last two years (to the date of the submission), what the investigation was for and the outcome, specifically any changes to reported taxable profits/losses or revisions of capital allowance pools; and any transfer pricing investigations.</w:t>
            </w:r>
          </w:p>
        </w:tc>
        <w:tc>
          <w:tcPr>
            <w:tcW w:w="4923" w:type="dxa"/>
            <w:shd w:val="clear" w:color="auto" w:fill="FFFF99"/>
          </w:tcPr>
          <w:p w14:paraId="02AD90D6" w14:textId="77777777" w:rsidR="00E31620" w:rsidRPr="007E7880" w:rsidRDefault="00E31620" w:rsidP="00E31620">
            <w:pPr>
              <w:pStyle w:val="ListParagraph"/>
            </w:pPr>
          </w:p>
        </w:tc>
      </w:tr>
      <w:tr w:rsidR="00E31620" w:rsidRPr="007E7880" w14:paraId="36E2F68A" w14:textId="77777777" w:rsidTr="00E31620">
        <w:tc>
          <w:tcPr>
            <w:tcW w:w="5759" w:type="dxa"/>
            <w:shd w:val="clear" w:color="auto" w:fill="auto"/>
          </w:tcPr>
          <w:p w14:paraId="6BB5A9CC" w14:textId="4811B2CC" w:rsidR="00E31620" w:rsidRPr="007E7880" w:rsidRDefault="00E31620" w:rsidP="00E31620">
            <w:pPr>
              <w:rPr>
                <w:rFonts w:ascii="Verdana" w:hAnsi="Verdana"/>
                <w:sz w:val="20"/>
                <w:szCs w:val="20"/>
              </w:rPr>
            </w:pPr>
            <w:r w:rsidRPr="007E7880">
              <w:rPr>
                <w:rFonts w:ascii="Verdana" w:hAnsi="Verdana"/>
                <w:sz w:val="20"/>
                <w:szCs w:val="20"/>
              </w:rPr>
              <w:t>Whether there have been any surrenders or receipt of group loss relief, or consortium relief; and, if so, explain with which entities and the amounts.</w:t>
            </w:r>
            <w:r w:rsidR="00AE032B" w:rsidRPr="007E7880">
              <w:rPr>
                <w:rFonts w:ascii="Verdana" w:hAnsi="Verdana"/>
                <w:sz w:val="20"/>
                <w:szCs w:val="20"/>
              </w:rPr>
              <w:t xml:space="preserve"> </w:t>
            </w:r>
            <w:r w:rsidRPr="007E7880">
              <w:rPr>
                <w:rFonts w:ascii="Verdana" w:hAnsi="Verdana"/>
                <w:sz w:val="20"/>
                <w:szCs w:val="20"/>
              </w:rPr>
              <w:t>Also confirmation that any surrender of losses or use of consortium relief has been paid for in full (at the applicable corporation tax rate for the year, or the rate applied).</w:t>
            </w:r>
          </w:p>
        </w:tc>
        <w:tc>
          <w:tcPr>
            <w:tcW w:w="4923" w:type="dxa"/>
            <w:shd w:val="clear" w:color="auto" w:fill="FFFF99"/>
          </w:tcPr>
          <w:p w14:paraId="333FEFE5" w14:textId="77777777" w:rsidR="00E31620" w:rsidRPr="007E7880" w:rsidRDefault="00E31620" w:rsidP="00E31620">
            <w:pPr>
              <w:pStyle w:val="ListParagraph"/>
            </w:pPr>
          </w:p>
        </w:tc>
      </w:tr>
      <w:tr w:rsidR="00E31620" w:rsidRPr="007E7880" w14:paraId="55EFCDC4" w14:textId="77777777" w:rsidTr="00E31620">
        <w:tc>
          <w:tcPr>
            <w:tcW w:w="5759" w:type="dxa"/>
            <w:tcBorders>
              <w:bottom w:val="single" w:sz="4" w:space="0" w:color="auto"/>
            </w:tcBorders>
            <w:shd w:val="clear" w:color="auto" w:fill="auto"/>
          </w:tcPr>
          <w:p w14:paraId="495BB98C" w14:textId="5A98BFCE" w:rsidR="00E31620" w:rsidRPr="007E7880" w:rsidRDefault="00E31620" w:rsidP="00E31620">
            <w:pPr>
              <w:rPr>
                <w:rFonts w:ascii="Verdana" w:hAnsi="Verdana"/>
                <w:sz w:val="20"/>
                <w:szCs w:val="20"/>
              </w:rPr>
            </w:pPr>
            <w:r w:rsidRPr="007E7880">
              <w:rPr>
                <w:rFonts w:ascii="Verdana" w:hAnsi="Verdana"/>
                <w:sz w:val="20"/>
                <w:szCs w:val="20"/>
              </w:rPr>
              <w:t>An analysis of other add-backs should be disclosed and described separately for individual items over £500,000 where the individual analysis exceeds two.</w:t>
            </w:r>
          </w:p>
        </w:tc>
        <w:tc>
          <w:tcPr>
            <w:tcW w:w="4923" w:type="dxa"/>
            <w:tcBorders>
              <w:bottom w:val="single" w:sz="4" w:space="0" w:color="auto"/>
            </w:tcBorders>
            <w:shd w:val="clear" w:color="auto" w:fill="FFFF99"/>
          </w:tcPr>
          <w:p w14:paraId="5EEA19E2" w14:textId="77777777" w:rsidR="00E31620" w:rsidRPr="007E7880" w:rsidRDefault="00E31620" w:rsidP="00E31620">
            <w:pPr>
              <w:pStyle w:val="ListParagraph"/>
            </w:pPr>
          </w:p>
        </w:tc>
      </w:tr>
    </w:tbl>
    <w:p w14:paraId="5B613AE6" w14:textId="77777777" w:rsidR="00551FC7" w:rsidRPr="007E7880" w:rsidRDefault="00551FC7" w:rsidP="00FD1FEC">
      <w:pPr>
        <w:rPr>
          <w:rFonts w:ascii="Verdana" w:hAnsi="Verdana"/>
          <w:sz w:val="20"/>
          <w:szCs w:val="20"/>
        </w:rPr>
      </w:pPr>
    </w:p>
    <w:p w14:paraId="45A255C1" w14:textId="77777777" w:rsidR="00E31620" w:rsidRPr="007E7880" w:rsidRDefault="00E31620" w:rsidP="00FD1FEC">
      <w:pPr>
        <w:rPr>
          <w:rFonts w:ascii="Verdana" w:hAnsi="Verdana"/>
          <w:sz w:val="20"/>
          <w:szCs w:val="20"/>
        </w:rPr>
      </w:pPr>
    </w:p>
    <w:p w14:paraId="7FC0B26A" w14:textId="429C2306" w:rsidR="00E31620" w:rsidRPr="007E7880" w:rsidRDefault="00FD1FEC" w:rsidP="003C0836">
      <w:pPr>
        <w:pStyle w:val="Heading1"/>
      </w:pPr>
      <w:bookmarkStart w:id="13" w:name="_Toc421884233"/>
      <w:r w:rsidRPr="007E7880">
        <w:t>F</w:t>
      </w:r>
      <w:r w:rsidR="00551FC7" w:rsidRPr="007E7880">
        <w:t>5</w:t>
      </w:r>
      <w:r w:rsidR="003D301A" w:rsidRPr="007E7880">
        <w:t xml:space="preserve"> – Allocation to Tax P</w:t>
      </w:r>
      <w:r w:rsidR="00551FC7" w:rsidRPr="007E7880">
        <w:t>ools</w:t>
      </w:r>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4938"/>
        <w:gridCol w:w="5744"/>
      </w:tblGrid>
      <w:tr w:rsidR="00E31620" w:rsidRPr="007E7880" w14:paraId="7D162C5C" w14:textId="77777777" w:rsidTr="002667F8">
        <w:tc>
          <w:tcPr>
            <w:tcW w:w="4938" w:type="dxa"/>
            <w:tcBorders>
              <w:bottom w:val="single" w:sz="4" w:space="0" w:color="auto"/>
            </w:tcBorders>
            <w:shd w:val="clear" w:color="auto" w:fill="FFFFFF" w:themeFill="background1"/>
          </w:tcPr>
          <w:p w14:paraId="70154512" w14:textId="77777777" w:rsidR="00E31620" w:rsidRPr="007E7880" w:rsidRDefault="00E31620" w:rsidP="003D301A">
            <w:pPr>
              <w:keepNext/>
              <w:rPr>
                <w:rFonts w:ascii="Verdana" w:hAnsi="Verdana"/>
                <w:b/>
                <w:sz w:val="20"/>
                <w:szCs w:val="20"/>
              </w:rPr>
            </w:pPr>
          </w:p>
        </w:tc>
        <w:tc>
          <w:tcPr>
            <w:tcW w:w="5744" w:type="dxa"/>
            <w:tcBorders>
              <w:bottom w:val="single" w:sz="4" w:space="0" w:color="auto"/>
            </w:tcBorders>
            <w:shd w:val="clear" w:color="auto" w:fill="FFFFFF"/>
          </w:tcPr>
          <w:p w14:paraId="7D162C5B" w14:textId="009870D1" w:rsidR="00E31620" w:rsidRPr="007E7880" w:rsidRDefault="00E31620" w:rsidP="003D301A">
            <w:pPr>
              <w:keepNext/>
            </w:pPr>
            <w:r w:rsidRPr="007E7880">
              <w:rPr>
                <w:rFonts w:ascii="Verdana" w:hAnsi="Verdana"/>
                <w:b/>
                <w:sz w:val="20"/>
                <w:szCs w:val="20"/>
              </w:rPr>
              <w:t>Comment</w:t>
            </w:r>
            <w:r w:rsidR="00081049" w:rsidRPr="007E7880">
              <w:rPr>
                <w:rFonts w:ascii="Verdana" w:hAnsi="Verdana"/>
                <w:b/>
                <w:sz w:val="20"/>
                <w:szCs w:val="20"/>
              </w:rPr>
              <w:t>s</w:t>
            </w:r>
          </w:p>
        </w:tc>
      </w:tr>
      <w:tr w:rsidR="00536E89" w:rsidRPr="007E7880" w14:paraId="58C08200" w14:textId="77777777" w:rsidTr="002667F8">
        <w:tc>
          <w:tcPr>
            <w:tcW w:w="4938" w:type="dxa"/>
            <w:shd w:val="clear" w:color="auto" w:fill="FFFFFF" w:themeFill="background1"/>
          </w:tcPr>
          <w:p w14:paraId="09952AE1" w14:textId="6C48157C" w:rsidR="00536E89" w:rsidRPr="007E7880" w:rsidRDefault="00536E89" w:rsidP="00E31620">
            <w:pPr>
              <w:rPr>
                <w:rFonts w:ascii="Verdana" w:hAnsi="Verdana"/>
                <w:sz w:val="20"/>
                <w:szCs w:val="20"/>
              </w:rPr>
            </w:pPr>
            <w:r w:rsidRPr="007E7880">
              <w:rPr>
                <w:rFonts w:ascii="Verdana" w:hAnsi="Verdana"/>
                <w:sz w:val="20"/>
                <w:szCs w:val="20"/>
              </w:rPr>
              <w:t xml:space="preserve">Explain the basis upon which apportionment of actual </w:t>
            </w:r>
            <w:proofErr w:type="spellStart"/>
            <w:r w:rsidRPr="007E7880">
              <w:rPr>
                <w:rFonts w:ascii="Verdana" w:hAnsi="Verdana"/>
                <w:sz w:val="20"/>
                <w:szCs w:val="20"/>
              </w:rPr>
              <w:t>totex</w:t>
            </w:r>
            <w:proofErr w:type="spellEnd"/>
            <w:r w:rsidRPr="007E7880">
              <w:rPr>
                <w:rFonts w:ascii="Verdana" w:hAnsi="Verdana"/>
                <w:sz w:val="20"/>
                <w:szCs w:val="20"/>
              </w:rPr>
              <w:t xml:space="preserve"> to tax pools has been made.</w:t>
            </w:r>
          </w:p>
        </w:tc>
        <w:tc>
          <w:tcPr>
            <w:tcW w:w="5744" w:type="dxa"/>
            <w:shd w:val="clear" w:color="auto" w:fill="FFFF99"/>
          </w:tcPr>
          <w:p w14:paraId="52768CA5" w14:textId="77777777" w:rsidR="00536E89" w:rsidRPr="007E7880" w:rsidRDefault="00536E89" w:rsidP="002667F8"/>
          <w:p w14:paraId="28FE8390" w14:textId="77777777" w:rsidR="00AD6B4B" w:rsidRPr="007E7880" w:rsidRDefault="00AD6B4B" w:rsidP="002667F8"/>
          <w:p w14:paraId="3A9A9E87" w14:textId="77777777" w:rsidR="00AD6B4B" w:rsidRPr="007E7880" w:rsidRDefault="00AD6B4B" w:rsidP="002667F8"/>
        </w:tc>
      </w:tr>
      <w:tr w:rsidR="00E31620" w:rsidRPr="007E7880" w14:paraId="7D162C62" w14:textId="77777777" w:rsidTr="002667F8">
        <w:tc>
          <w:tcPr>
            <w:tcW w:w="4938" w:type="dxa"/>
            <w:shd w:val="clear" w:color="auto" w:fill="FFFFFF" w:themeFill="background1"/>
          </w:tcPr>
          <w:p w14:paraId="081FF9AC" w14:textId="77777777" w:rsidR="00E31620" w:rsidRPr="007E7880" w:rsidRDefault="00E31620" w:rsidP="00E31620">
            <w:pPr>
              <w:rPr>
                <w:rFonts w:ascii="Verdana" w:hAnsi="Verdana"/>
                <w:sz w:val="20"/>
                <w:szCs w:val="20"/>
              </w:rPr>
            </w:pPr>
            <w:r w:rsidRPr="007E7880">
              <w:rPr>
                <w:rFonts w:ascii="Verdana" w:hAnsi="Verdana"/>
                <w:sz w:val="20"/>
                <w:szCs w:val="20"/>
              </w:rPr>
              <w:t>Explain material variances between PCFM allocations and actual allocations in the regulatory year under report.</w:t>
            </w:r>
          </w:p>
          <w:p w14:paraId="747FBB19" w14:textId="77777777" w:rsidR="00E31620" w:rsidRPr="007E7880" w:rsidRDefault="00E31620" w:rsidP="00E31620">
            <w:pPr>
              <w:rPr>
                <w:rFonts w:ascii="Verdana" w:hAnsi="Verdana"/>
                <w:sz w:val="20"/>
                <w:szCs w:val="20"/>
              </w:rPr>
            </w:pPr>
          </w:p>
        </w:tc>
        <w:tc>
          <w:tcPr>
            <w:tcW w:w="5744" w:type="dxa"/>
            <w:shd w:val="clear" w:color="auto" w:fill="FFFF99"/>
          </w:tcPr>
          <w:p w14:paraId="7D162C61" w14:textId="316F2CAA" w:rsidR="00E31620" w:rsidRPr="007E7880" w:rsidRDefault="00E31620" w:rsidP="002667F8"/>
        </w:tc>
      </w:tr>
      <w:tr w:rsidR="002667F8" w:rsidRPr="007E7880" w14:paraId="543C3CDD" w14:textId="77777777" w:rsidTr="002667F8">
        <w:tc>
          <w:tcPr>
            <w:tcW w:w="4938" w:type="dxa"/>
            <w:tcBorders>
              <w:bottom w:val="single" w:sz="4" w:space="0" w:color="auto"/>
            </w:tcBorders>
            <w:shd w:val="clear" w:color="auto" w:fill="FFFFFF" w:themeFill="background1"/>
          </w:tcPr>
          <w:p w14:paraId="1ED43F47" w14:textId="2E2BA5CA" w:rsidR="002667F8" w:rsidRPr="007E7880" w:rsidRDefault="002667F8" w:rsidP="00E31620">
            <w:pPr>
              <w:rPr>
                <w:rFonts w:ascii="Verdana" w:hAnsi="Verdana"/>
                <w:sz w:val="20"/>
                <w:szCs w:val="20"/>
              </w:rPr>
            </w:pPr>
            <w:r w:rsidRPr="007E7880">
              <w:rPr>
                <w:rFonts w:ascii="Verdana" w:hAnsi="Verdana"/>
                <w:sz w:val="20"/>
                <w:szCs w:val="20"/>
              </w:rPr>
              <w:t>Confirm when tax pools have been agreed with HMRC for statutory financial years that are relevant to the regulatory year under report.</w:t>
            </w:r>
          </w:p>
        </w:tc>
        <w:tc>
          <w:tcPr>
            <w:tcW w:w="5744" w:type="dxa"/>
            <w:tcBorders>
              <w:bottom w:val="single" w:sz="4" w:space="0" w:color="auto"/>
            </w:tcBorders>
            <w:shd w:val="clear" w:color="auto" w:fill="FFFF99"/>
          </w:tcPr>
          <w:p w14:paraId="4F8C4B94" w14:textId="77777777" w:rsidR="002667F8" w:rsidRPr="007E7880" w:rsidRDefault="002667F8" w:rsidP="002667F8">
            <w:pPr>
              <w:pStyle w:val="ListParagraph"/>
            </w:pPr>
          </w:p>
        </w:tc>
      </w:tr>
    </w:tbl>
    <w:p w14:paraId="7D162C63" w14:textId="77777777" w:rsidR="00FD1FEC" w:rsidRPr="007E7880" w:rsidRDefault="00FD1FEC" w:rsidP="00FD1FEC">
      <w:pPr>
        <w:rPr>
          <w:rFonts w:ascii="Verdana" w:hAnsi="Verdana"/>
          <w:sz w:val="20"/>
          <w:szCs w:val="20"/>
        </w:rPr>
      </w:pPr>
    </w:p>
    <w:p w14:paraId="7D162D06" w14:textId="36C269DD" w:rsidR="00D271CE" w:rsidRPr="007E7880" w:rsidRDefault="00C03A99" w:rsidP="003C0836">
      <w:pPr>
        <w:pStyle w:val="Heading1"/>
      </w:pPr>
      <w:bookmarkStart w:id="14" w:name="_Toc421884234"/>
      <w:bookmarkEnd w:id="12"/>
      <w:r w:rsidRPr="007E7880">
        <w:t>F</w:t>
      </w:r>
      <w:r w:rsidR="00551FC7" w:rsidRPr="007E7880">
        <w:t>6</w:t>
      </w:r>
      <w:r w:rsidR="003D301A" w:rsidRPr="007E7880">
        <w:t xml:space="preserve"> – </w:t>
      </w:r>
      <w:r w:rsidR="00C86E9B" w:rsidRPr="007E7880">
        <w:t>Tax Clawback Data</w:t>
      </w:r>
      <w:bookmarkEnd w:id="14"/>
    </w:p>
    <w:p w14:paraId="7D162D07" w14:textId="3B563564" w:rsidR="00D271CE" w:rsidRPr="007E7880" w:rsidRDefault="00C03A99" w:rsidP="003C2403">
      <w:pPr>
        <w:pStyle w:val="Paragrapgh"/>
        <w:numPr>
          <w:ilvl w:val="0"/>
          <w:numId w:val="0"/>
        </w:numPr>
        <w:spacing w:after="0"/>
      </w:pPr>
      <w:r w:rsidRPr="007E7880">
        <w:t>Commentary</w:t>
      </w:r>
      <w:r w:rsidR="00285576" w:rsidRPr="007E7880">
        <w:t xml:space="preserve"> should specifically include </w:t>
      </w:r>
      <w:r w:rsidR="00D271CE" w:rsidRPr="007E7880">
        <w:t>explan</w:t>
      </w:r>
      <w:r w:rsidR="00285576" w:rsidRPr="007E7880">
        <w:t>ation of</w:t>
      </w:r>
      <w:r w:rsidR="00D271CE" w:rsidRPr="007E7880">
        <w:t xml:space="preserve"> the reasons for </w:t>
      </w:r>
      <w:r w:rsidR="00285576" w:rsidRPr="007E7880">
        <w:t xml:space="preserve">each </w:t>
      </w:r>
      <w:r w:rsidR="00D271CE" w:rsidRPr="007E7880">
        <w:t>item reported as a borrowing not in accordance with the defined net debt item.</w:t>
      </w:r>
      <w:r w:rsidR="00AE032B" w:rsidRPr="007E7880">
        <w:t xml:space="preserve"> </w:t>
      </w:r>
      <w:r w:rsidR="00D271CE" w:rsidRPr="007E7880">
        <w:t>The commentary should include:</w:t>
      </w:r>
    </w:p>
    <w:p w14:paraId="7D162D08" w14:textId="27DA4733" w:rsidR="00D271CE" w:rsidRPr="007E7880" w:rsidRDefault="00D271CE" w:rsidP="003C2403">
      <w:pPr>
        <w:pStyle w:val="ListParagraph"/>
        <w:numPr>
          <w:ilvl w:val="0"/>
          <w:numId w:val="10"/>
        </w:numPr>
      </w:pPr>
      <w:r w:rsidRPr="007E7880">
        <w:t xml:space="preserve">A description of </w:t>
      </w:r>
      <w:r w:rsidR="00C03A99" w:rsidRPr="007E7880">
        <w:t>the</w:t>
      </w:r>
      <w:r w:rsidRPr="007E7880">
        <w:t xml:space="preserve"> item </w:t>
      </w:r>
    </w:p>
    <w:p w14:paraId="7D162D09" w14:textId="6B960032" w:rsidR="00D271CE" w:rsidRPr="007E7880" w:rsidRDefault="00D271CE" w:rsidP="003C2403">
      <w:pPr>
        <w:pStyle w:val="ListParagraph"/>
        <w:numPr>
          <w:ilvl w:val="0"/>
          <w:numId w:val="10"/>
        </w:numPr>
      </w:pPr>
      <w:r w:rsidRPr="007E7880">
        <w:t>A basic explanation of why the item has arisen</w:t>
      </w:r>
    </w:p>
    <w:p w14:paraId="7D162D0A" w14:textId="37A3DB8E" w:rsidR="00D271CE" w:rsidRPr="007E7880" w:rsidRDefault="00D271CE" w:rsidP="003C2403">
      <w:pPr>
        <w:pStyle w:val="ListParagraph"/>
        <w:numPr>
          <w:ilvl w:val="0"/>
          <w:numId w:val="10"/>
        </w:numPr>
      </w:pPr>
      <w:r w:rsidRPr="007E7880">
        <w:t>An explanation of how the figure has been calculated.</w:t>
      </w:r>
      <w:r w:rsidR="00AE032B" w:rsidRPr="007E7880">
        <w:t xml:space="preserve"> </w:t>
      </w:r>
      <w:r w:rsidRPr="007E7880">
        <w:t xml:space="preserve">This should be sufficient for </w:t>
      </w:r>
      <w:proofErr w:type="spellStart"/>
      <w:r w:rsidRPr="007E7880">
        <w:t>Ofgem</w:t>
      </w:r>
      <w:proofErr w:type="spellEnd"/>
      <w:r w:rsidRPr="007E7880">
        <w:t xml:space="preserve"> to confirm the calculation during the visits if required.</w:t>
      </w:r>
    </w:p>
    <w:p w14:paraId="7D162D0C" w14:textId="77777777" w:rsidR="00285576" w:rsidRPr="007E7880" w:rsidRDefault="00285576" w:rsidP="00D271CE">
      <w:pPr>
        <w:rPr>
          <w:rFonts w:ascii="Verdana" w:hAnsi="Verdana"/>
          <w:sz w:val="20"/>
          <w:szCs w:val="20"/>
        </w:rPr>
      </w:pPr>
      <w:r w:rsidRPr="007E7880">
        <w:rPr>
          <w:rFonts w:ascii="Verdana" w:hAnsi="Verdana"/>
          <w:sz w:val="20"/>
          <w:szCs w:val="20"/>
        </w:rPr>
        <w:t>Where you disagree with or have comments on tax/gearing clawback computation explain those.</w:t>
      </w:r>
    </w:p>
    <w:p w14:paraId="7D162D0D" w14:textId="77777777" w:rsidR="00D271CE" w:rsidRPr="007E7880" w:rsidRDefault="00D271CE" w:rsidP="00D271C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671"/>
      </w:tblGrid>
      <w:tr w:rsidR="00D271CE" w:rsidRPr="007E7880" w14:paraId="7D162D0F" w14:textId="77777777" w:rsidTr="003C2403">
        <w:trPr>
          <w:trHeight w:val="237"/>
        </w:trPr>
        <w:tc>
          <w:tcPr>
            <w:tcW w:w="10671" w:type="dxa"/>
            <w:tcBorders>
              <w:bottom w:val="single" w:sz="4" w:space="0" w:color="auto"/>
            </w:tcBorders>
            <w:shd w:val="clear" w:color="auto" w:fill="FFFFFF"/>
          </w:tcPr>
          <w:p w14:paraId="7D162D0E" w14:textId="37B6E918" w:rsidR="00D271CE" w:rsidRPr="007E7880" w:rsidRDefault="00CA6845" w:rsidP="003D301A">
            <w:pPr>
              <w:keepNext/>
            </w:pPr>
            <w:r w:rsidRPr="007E7880">
              <w:rPr>
                <w:rFonts w:ascii="Verdana" w:hAnsi="Verdana"/>
                <w:b/>
                <w:sz w:val="20"/>
                <w:szCs w:val="20"/>
              </w:rPr>
              <w:t>Comments</w:t>
            </w:r>
          </w:p>
        </w:tc>
      </w:tr>
      <w:tr w:rsidR="00D271CE" w:rsidRPr="007E7880" w14:paraId="7D162D1B" w14:textId="77777777" w:rsidTr="003C2403">
        <w:trPr>
          <w:trHeight w:val="993"/>
        </w:trPr>
        <w:tc>
          <w:tcPr>
            <w:tcW w:w="10671" w:type="dxa"/>
            <w:tcBorders>
              <w:bottom w:val="single" w:sz="4" w:space="0" w:color="auto"/>
            </w:tcBorders>
            <w:shd w:val="clear" w:color="auto" w:fill="FFFF99"/>
          </w:tcPr>
          <w:p w14:paraId="7D162D19" w14:textId="77777777" w:rsidR="0007017C" w:rsidRPr="007E7880" w:rsidRDefault="0007017C" w:rsidP="002A52F8">
            <w:pPr>
              <w:rPr>
                <w:rFonts w:ascii="Verdana" w:hAnsi="Verdana"/>
                <w:sz w:val="20"/>
                <w:szCs w:val="20"/>
              </w:rPr>
            </w:pPr>
          </w:p>
          <w:p w14:paraId="30E8153F" w14:textId="77777777" w:rsidR="003C2403" w:rsidRPr="007E7880" w:rsidRDefault="003C2403" w:rsidP="002A52F8">
            <w:pPr>
              <w:rPr>
                <w:rFonts w:ascii="Verdana" w:hAnsi="Verdana"/>
                <w:sz w:val="20"/>
                <w:szCs w:val="20"/>
              </w:rPr>
            </w:pPr>
          </w:p>
          <w:p w14:paraId="74AE0158" w14:textId="77777777" w:rsidR="00AD6B4B" w:rsidRPr="007E7880" w:rsidRDefault="00AD6B4B" w:rsidP="002A52F8">
            <w:pPr>
              <w:rPr>
                <w:rFonts w:ascii="Verdana" w:hAnsi="Verdana"/>
                <w:sz w:val="20"/>
                <w:szCs w:val="20"/>
              </w:rPr>
            </w:pPr>
          </w:p>
          <w:p w14:paraId="5283E0DC" w14:textId="77777777" w:rsidR="003C2403" w:rsidRPr="007E7880" w:rsidRDefault="003C2403" w:rsidP="002A52F8">
            <w:pPr>
              <w:rPr>
                <w:rFonts w:ascii="Verdana" w:hAnsi="Verdana"/>
                <w:sz w:val="20"/>
                <w:szCs w:val="20"/>
              </w:rPr>
            </w:pPr>
          </w:p>
          <w:p w14:paraId="7D162D1A" w14:textId="77777777" w:rsidR="00D271CE" w:rsidRPr="007E7880" w:rsidRDefault="00D271CE" w:rsidP="005F54D0"/>
        </w:tc>
      </w:tr>
    </w:tbl>
    <w:p w14:paraId="5C9C983C" w14:textId="77777777" w:rsidR="00CA6845" w:rsidRPr="007E7880" w:rsidRDefault="00CA6845" w:rsidP="00CA6845">
      <w:pPr>
        <w:rPr>
          <w:rFonts w:ascii="Verdana" w:hAnsi="Verdana"/>
          <w:b/>
          <w:sz w:val="28"/>
          <w:szCs w:val="28"/>
        </w:rPr>
      </w:pPr>
    </w:p>
    <w:p w14:paraId="0A0627B7" w14:textId="63ABDCF5" w:rsidR="00CA6845" w:rsidRPr="007E7880" w:rsidRDefault="00CA6845" w:rsidP="003C0836">
      <w:pPr>
        <w:pStyle w:val="Heading1"/>
      </w:pPr>
      <w:bookmarkStart w:id="15" w:name="_Toc256520076"/>
      <w:bookmarkStart w:id="16" w:name="_Toc421884235"/>
      <w:r w:rsidRPr="007E7880">
        <w:lastRenderedPageBreak/>
        <w:t>F7</w:t>
      </w:r>
      <w:r w:rsidR="003D301A" w:rsidRPr="007E7880">
        <w:t xml:space="preserve"> – </w:t>
      </w:r>
      <w:r w:rsidRPr="007E7880">
        <w:t>Pensions</w:t>
      </w:r>
      <w:bookmarkEnd w:id="15"/>
      <w:bookmarkEnd w:id="16"/>
    </w:p>
    <w:p w14:paraId="292E5D51" w14:textId="77777777" w:rsidR="00CA6845" w:rsidRPr="007E7880" w:rsidRDefault="00CA6845" w:rsidP="003C2403">
      <w:pPr>
        <w:pStyle w:val="Paragrapgh"/>
        <w:numPr>
          <w:ilvl w:val="0"/>
          <w:numId w:val="0"/>
        </w:numPr>
        <w:spacing w:after="120"/>
      </w:pPr>
      <w:r w:rsidRPr="007E7880">
        <w:t>A commentary is required to detail any other relevant items identified in the completion of this table. In particular it should specifically include explanation of:</w:t>
      </w:r>
    </w:p>
    <w:tbl>
      <w:tblPr>
        <w:tblpPr w:leftFromText="180" w:rightFromText="180" w:vertAnchor="text" w:horzAnchor="margin" w:tblpY="236"/>
        <w:tblW w:w="10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50"/>
        <w:gridCol w:w="5559"/>
      </w:tblGrid>
      <w:tr w:rsidR="00CA6845" w:rsidRPr="007E7880" w14:paraId="3A9BDC10" w14:textId="77777777" w:rsidTr="003C2403">
        <w:trPr>
          <w:trHeight w:val="241"/>
        </w:trPr>
        <w:tc>
          <w:tcPr>
            <w:tcW w:w="4750" w:type="dxa"/>
          </w:tcPr>
          <w:p w14:paraId="72BEAAFD" w14:textId="77777777" w:rsidR="00CA6845" w:rsidRPr="007E7880" w:rsidRDefault="00CA6845" w:rsidP="002772D8">
            <w:pPr>
              <w:keepNext/>
              <w:rPr>
                <w:rFonts w:ascii="Verdana" w:hAnsi="Verdana"/>
                <w:sz w:val="20"/>
                <w:szCs w:val="20"/>
              </w:rPr>
            </w:pPr>
          </w:p>
        </w:tc>
        <w:tc>
          <w:tcPr>
            <w:tcW w:w="5559" w:type="dxa"/>
            <w:shd w:val="clear" w:color="auto" w:fill="FFFFFF" w:themeFill="background1"/>
          </w:tcPr>
          <w:p w14:paraId="17B29F74" w14:textId="493FE77E" w:rsidR="00CA6845" w:rsidRPr="007E7880" w:rsidRDefault="00CA6845" w:rsidP="002772D8">
            <w:pPr>
              <w:keepNext/>
              <w:rPr>
                <w:rFonts w:ascii="Verdana" w:hAnsi="Verdana"/>
                <w:b/>
                <w:sz w:val="20"/>
                <w:szCs w:val="20"/>
              </w:rPr>
            </w:pPr>
            <w:r w:rsidRPr="007E7880">
              <w:rPr>
                <w:rFonts w:ascii="Verdana" w:hAnsi="Verdana"/>
                <w:b/>
                <w:sz w:val="20"/>
                <w:szCs w:val="20"/>
              </w:rPr>
              <w:t>Comments</w:t>
            </w:r>
          </w:p>
        </w:tc>
      </w:tr>
      <w:tr w:rsidR="00CA6845" w:rsidRPr="007E7880" w14:paraId="6E7B8CF9" w14:textId="77777777" w:rsidTr="003C2403">
        <w:trPr>
          <w:trHeight w:val="1957"/>
        </w:trPr>
        <w:tc>
          <w:tcPr>
            <w:tcW w:w="4750" w:type="dxa"/>
          </w:tcPr>
          <w:p w14:paraId="6DA74DE6" w14:textId="046B0FAB" w:rsidR="00CA6845" w:rsidRPr="007E7880" w:rsidRDefault="00CA6845" w:rsidP="00CA6845">
            <w:pPr>
              <w:rPr>
                <w:rFonts w:ascii="Verdana" w:hAnsi="Verdana"/>
                <w:vanish/>
                <w:sz w:val="20"/>
                <w:szCs w:val="20"/>
              </w:rPr>
            </w:pPr>
            <w:r w:rsidRPr="007E7880">
              <w:rPr>
                <w:rFonts w:ascii="Verdana" w:hAnsi="Verdana"/>
                <w:sz w:val="20"/>
                <w:szCs w:val="20"/>
              </w:rPr>
              <w:t>Where the employee contribution rate per the valuation/scheme rules differs from that expressed as a percentage of employee actual contribution and pensionable salary (excluding salary sacrifice) provide an explanation of the difference.</w:t>
            </w:r>
          </w:p>
        </w:tc>
        <w:tc>
          <w:tcPr>
            <w:tcW w:w="5559" w:type="dxa"/>
            <w:shd w:val="clear" w:color="auto" w:fill="FFFF99"/>
          </w:tcPr>
          <w:p w14:paraId="115E6CAB" w14:textId="22F79FE1" w:rsidR="00CA6845" w:rsidRPr="007E7880" w:rsidRDefault="00CA6845" w:rsidP="00CA6845">
            <w:pPr>
              <w:rPr>
                <w:rFonts w:ascii="Verdana" w:hAnsi="Verdana"/>
                <w:sz w:val="20"/>
                <w:szCs w:val="20"/>
              </w:rPr>
            </w:pPr>
          </w:p>
        </w:tc>
      </w:tr>
      <w:tr w:rsidR="00CA6845" w:rsidRPr="007E7880" w14:paraId="27E41196" w14:textId="77777777" w:rsidTr="003C2403">
        <w:trPr>
          <w:trHeight w:val="1460"/>
        </w:trPr>
        <w:tc>
          <w:tcPr>
            <w:tcW w:w="4750" w:type="dxa"/>
          </w:tcPr>
          <w:p w14:paraId="14DC16C9" w14:textId="77777777" w:rsidR="00CA6845" w:rsidRPr="007E7880" w:rsidRDefault="00CA6845" w:rsidP="00CA6845">
            <w:pPr>
              <w:rPr>
                <w:rFonts w:ascii="Verdana" w:hAnsi="Verdana"/>
                <w:sz w:val="20"/>
                <w:szCs w:val="20"/>
              </w:rPr>
            </w:pPr>
            <w:r w:rsidRPr="007E7880">
              <w:rPr>
                <w:rFonts w:ascii="Verdana" w:hAnsi="Verdana"/>
                <w:sz w:val="20"/>
                <w:szCs w:val="20"/>
              </w:rPr>
              <w:t>Where the employer contribution rate per the valuation/scheme rules differs from that expressed as a percentage of employer actual contributions and pensionable salary (excluding salary sacrifice) provide an explanation of the difference.</w:t>
            </w:r>
          </w:p>
        </w:tc>
        <w:tc>
          <w:tcPr>
            <w:tcW w:w="5559" w:type="dxa"/>
            <w:shd w:val="clear" w:color="auto" w:fill="FFFF99"/>
          </w:tcPr>
          <w:p w14:paraId="1A757A5D" w14:textId="030A17B4" w:rsidR="00CA6845" w:rsidRPr="007E7880" w:rsidRDefault="00CA6845" w:rsidP="00CA6845">
            <w:pPr>
              <w:rPr>
                <w:rFonts w:ascii="Verdana" w:hAnsi="Verdana"/>
                <w:sz w:val="20"/>
                <w:szCs w:val="20"/>
              </w:rPr>
            </w:pPr>
          </w:p>
        </w:tc>
      </w:tr>
      <w:tr w:rsidR="00CA6845" w:rsidRPr="007E7880" w14:paraId="447E60C0" w14:textId="77777777" w:rsidTr="003C2403">
        <w:trPr>
          <w:trHeight w:val="144"/>
        </w:trPr>
        <w:tc>
          <w:tcPr>
            <w:tcW w:w="4750" w:type="dxa"/>
          </w:tcPr>
          <w:p w14:paraId="73836C20" w14:textId="77777777" w:rsidR="00CA6845" w:rsidRPr="007E7880" w:rsidRDefault="00CA6845" w:rsidP="00CA6845">
            <w:pPr>
              <w:rPr>
                <w:rFonts w:ascii="Verdana" w:hAnsi="Verdana"/>
                <w:sz w:val="20"/>
                <w:szCs w:val="20"/>
              </w:rPr>
            </w:pPr>
            <w:r w:rsidRPr="007E7880">
              <w:rPr>
                <w:rFonts w:ascii="Verdana" w:hAnsi="Verdana"/>
                <w:sz w:val="20"/>
                <w:szCs w:val="20"/>
              </w:rPr>
              <w:t>Where the actual deficit funding payments vary from that using the regulatory fraction for a year, explain why this so and when the discrepancies will be remedied.</w:t>
            </w:r>
          </w:p>
        </w:tc>
        <w:tc>
          <w:tcPr>
            <w:tcW w:w="5559" w:type="dxa"/>
            <w:shd w:val="clear" w:color="auto" w:fill="FFFF99"/>
          </w:tcPr>
          <w:p w14:paraId="13D7F027" w14:textId="77777777" w:rsidR="00CA6845" w:rsidRPr="007E7880" w:rsidRDefault="00CA6845" w:rsidP="00CA6845">
            <w:pPr>
              <w:rPr>
                <w:rFonts w:ascii="Verdana" w:hAnsi="Verdana"/>
                <w:sz w:val="20"/>
                <w:szCs w:val="20"/>
              </w:rPr>
            </w:pPr>
          </w:p>
          <w:p w14:paraId="5E24CAA1" w14:textId="77777777" w:rsidR="00CA6845" w:rsidRPr="007E7880" w:rsidRDefault="00CA6845" w:rsidP="00CA6845">
            <w:pPr>
              <w:rPr>
                <w:rFonts w:ascii="Verdana" w:hAnsi="Verdana"/>
                <w:sz w:val="20"/>
                <w:szCs w:val="20"/>
              </w:rPr>
            </w:pPr>
          </w:p>
        </w:tc>
      </w:tr>
      <w:tr w:rsidR="00CA6845" w:rsidRPr="007E7880" w14:paraId="56CE8A40" w14:textId="77777777" w:rsidTr="003C2403">
        <w:trPr>
          <w:trHeight w:val="1219"/>
        </w:trPr>
        <w:tc>
          <w:tcPr>
            <w:tcW w:w="4750" w:type="dxa"/>
          </w:tcPr>
          <w:p w14:paraId="581B7660" w14:textId="353C0E50" w:rsidR="00CA6845" w:rsidRPr="007E7880" w:rsidRDefault="00CA6845" w:rsidP="00CA6845">
            <w:pPr>
              <w:rPr>
                <w:rFonts w:ascii="Verdana" w:hAnsi="Verdana"/>
                <w:sz w:val="20"/>
                <w:szCs w:val="20"/>
              </w:rPr>
            </w:pPr>
            <w:r w:rsidRPr="007E7880">
              <w:rPr>
                <w:rFonts w:ascii="Verdana" w:hAnsi="Verdana"/>
                <w:sz w:val="20"/>
                <w:szCs w:val="20"/>
              </w:rPr>
              <w:t>Where the pension scheme encompasses more than one DNO, related party or business activity how the reported amounts have been calculated.</w:t>
            </w:r>
          </w:p>
        </w:tc>
        <w:tc>
          <w:tcPr>
            <w:tcW w:w="5559" w:type="dxa"/>
            <w:shd w:val="clear" w:color="auto" w:fill="FFFF99"/>
          </w:tcPr>
          <w:p w14:paraId="30992535" w14:textId="77777777" w:rsidR="00CA6845" w:rsidRPr="007E7880" w:rsidRDefault="00CA6845" w:rsidP="00CA6845">
            <w:pPr>
              <w:rPr>
                <w:rFonts w:ascii="Verdana" w:hAnsi="Verdana"/>
                <w:sz w:val="20"/>
                <w:szCs w:val="20"/>
              </w:rPr>
            </w:pPr>
          </w:p>
          <w:p w14:paraId="7E351E0B" w14:textId="77777777" w:rsidR="00CA6845" w:rsidRPr="007E7880" w:rsidRDefault="00CA6845" w:rsidP="00CA6845">
            <w:pPr>
              <w:rPr>
                <w:rFonts w:ascii="Verdana" w:hAnsi="Verdana"/>
                <w:sz w:val="20"/>
                <w:szCs w:val="20"/>
              </w:rPr>
            </w:pPr>
          </w:p>
        </w:tc>
      </w:tr>
    </w:tbl>
    <w:p w14:paraId="4C9A95A3" w14:textId="77777777" w:rsidR="00CA6845" w:rsidRPr="007E7880" w:rsidRDefault="00CA6845" w:rsidP="00CA6845">
      <w:pPr>
        <w:rPr>
          <w:rFonts w:ascii="Verdana" w:hAnsi="Verdana"/>
          <w:sz w:val="18"/>
          <w:szCs w:val="20"/>
        </w:rPr>
      </w:pPr>
    </w:p>
    <w:p w14:paraId="60D8624D" w14:textId="616A192E" w:rsidR="00CA6845" w:rsidRPr="007E7880" w:rsidRDefault="00CA6845" w:rsidP="003C0836">
      <w:pPr>
        <w:pStyle w:val="Heading1"/>
      </w:pPr>
      <w:bookmarkStart w:id="17" w:name="_Toc421884236"/>
      <w:bookmarkStart w:id="18" w:name="_Toc256520078"/>
      <w:r w:rsidRPr="007E7880">
        <w:t>P</w:t>
      </w:r>
      <w:r w:rsidR="003D301A" w:rsidRPr="007E7880">
        <w:t>ension Protection Fund (PPF) C</w:t>
      </w:r>
      <w:r w:rsidRPr="007E7880">
        <w:t>osts</w:t>
      </w:r>
      <w:bookmarkEnd w:id="17"/>
    </w:p>
    <w:p w14:paraId="683FFD5C" w14:textId="77777777" w:rsidR="00CA6845" w:rsidRPr="007E7880" w:rsidRDefault="00CA6845" w:rsidP="003C2403">
      <w:pPr>
        <w:pStyle w:val="Paragrapgh"/>
        <w:numPr>
          <w:ilvl w:val="0"/>
          <w:numId w:val="0"/>
        </w:numPr>
        <w:spacing w:after="120"/>
      </w:pPr>
      <w:r w:rsidRPr="007E7880">
        <w:t>Commentary should specifically include explanation of:</w:t>
      </w:r>
    </w:p>
    <w:tbl>
      <w:tblPr>
        <w:tblpPr w:leftFromText="180" w:rightFromText="180" w:vertAnchor="text" w:horzAnchor="margin" w:tblpY="236"/>
        <w:tblW w:w="10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5600"/>
      </w:tblGrid>
      <w:tr w:rsidR="00CA6845" w:rsidRPr="007E7880" w14:paraId="3C5DCF86" w14:textId="77777777" w:rsidTr="003C2403">
        <w:trPr>
          <w:trHeight w:val="226"/>
        </w:trPr>
        <w:tc>
          <w:tcPr>
            <w:tcW w:w="4785" w:type="dxa"/>
          </w:tcPr>
          <w:p w14:paraId="79E7A702" w14:textId="77777777" w:rsidR="00CA6845" w:rsidRPr="007E7880" w:rsidRDefault="00CA6845" w:rsidP="00AD6B4B">
            <w:pPr>
              <w:keepNext/>
              <w:rPr>
                <w:rFonts w:ascii="Verdana" w:hAnsi="Verdana"/>
                <w:sz w:val="20"/>
                <w:szCs w:val="20"/>
              </w:rPr>
            </w:pPr>
          </w:p>
        </w:tc>
        <w:tc>
          <w:tcPr>
            <w:tcW w:w="5600" w:type="dxa"/>
            <w:shd w:val="clear" w:color="auto" w:fill="auto"/>
          </w:tcPr>
          <w:p w14:paraId="46FEE9D8" w14:textId="77777777" w:rsidR="00CA6845" w:rsidRPr="007E7880" w:rsidRDefault="00CA6845" w:rsidP="00AD6B4B">
            <w:pPr>
              <w:keepNext/>
              <w:rPr>
                <w:rFonts w:ascii="Verdana" w:hAnsi="Verdana"/>
                <w:sz w:val="20"/>
                <w:szCs w:val="20"/>
              </w:rPr>
            </w:pPr>
            <w:r w:rsidRPr="007E7880">
              <w:rPr>
                <w:rFonts w:ascii="Verdana" w:hAnsi="Verdana"/>
                <w:b/>
                <w:sz w:val="20"/>
                <w:szCs w:val="20"/>
              </w:rPr>
              <w:t>Comments</w:t>
            </w:r>
          </w:p>
        </w:tc>
      </w:tr>
      <w:tr w:rsidR="00CA6845" w:rsidRPr="007E7880" w14:paraId="162BA0E9" w14:textId="77777777" w:rsidTr="003C2403">
        <w:trPr>
          <w:trHeight w:val="466"/>
        </w:trPr>
        <w:tc>
          <w:tcPr>
            <w:tcW w:w="4785" w:type="dxa"/>
          </w:tcPr>
          <w:p w14:paraId="75EF092A" w14:textId="77777777" w:rsidR="00CA6845" w:rsidRPr="007E7880" w:rsidRDefault="00CA6845" w:rsidP="00CA6845">
            <w:pPr>
              <w:rPr>
                <w:rFonts w:ascii="Verdana" w:hAnsi="Verdana"/>
                <w:sz w:val="20"/>
                <w:szCs w:val="20"/>
              </w:rPr>
            </w:pPr>
            <w:r w:rsidRPr="007E7880">
              <w:rPr>
                <w:rFonts w:ascii="Verdana" w:hAnsi="Verdana"/>
                <w:sz w:val="20"/>
                <w:szCs w:val="20"/>
              </w:rPr>
              <w:t>Explain any material variance in the PPF levy charges compared to prior years.</w:t>
            </w:r>
          </w:p>
        </w:tc>
        <w:tc>
          <w:tcPr>
            <w:tcW w:w="5600" w:type="dxa"/>
            <w:shd w:val="clear" w:color="auto" w:fill="FFFF99"/>
          </w:tcPr>
          <w:p w14:paraId="6E3F8704" w14:textId="77777777" w:rsidR="00CA6845" w:rsidRPr="007E7880" w:rsidRDefault="00CA6845" w:rsidP="00CA6845">
            <w:pPr>
              <w:rPr>
                <w:rFonts w:ascii="Verdana" w:hAnsi="Verdana"/>
                <w:sz w:val="20"/>
                <w:szCs w:val="20"/>
              </w:rPr>
            </w:pPr>
          </w:p>
        </w:tc>
      </w:tr>
    </w:tbl>
    <w:p w14:paraId="22C8D93F" w14:textId="77777777" w:rsidR="00CA6845" w:rsidRPr="007E7880" w:rsidRDefault="00CA6845" w:rsidP="00CA6845">
      <w:pPr>
        <w:rPr>
          <w:rFonts w:ascii="Verdana" w:hAnsi="Verdana"/>
          <w:b/>
          <w:sz w:val="28"/>
          <w:szCs w:val="28"/>
        </w:rPr>
      </w:pPr>
    </w:p>
    <w:p w14:paraId="757F57D5" w14:textId="041CF454" w:rsidR="00CA6845" w:rsidRPr="007E7880" w:rsidRDefault="003D301A" w:rsidP="003C0836">
      <w:pPr>
        <w:pStyle w:val="Heading1"/>
      </w:pPr>
      <w:bookmarkStart w:id="19" w:name="_Toc421884237"/>
      <w:r w:rsidRPr="007E7880">
        <w:t>Pension Scheme Administration C</w:t>
      </w:r>
      <w:r w:rsidR="00CA6845" w:rsidRPr="007E7880">
        <w:t>osts</w:t>
      </w:r>
      <w:bookmarkEnd w:id="19"/>
    </w:p>
    <w:p w14:paraId="31598130" w14:textId="77777777" w:rsidR="00CA6845" w:rsidRPr="007E7880" w:rsidRDefault="00CA6845" w:rsidP="003C2403">
      <w:pPr>
        <w:pStyle w:val="Paragrapgh"/>
        <w:numPr>
          <w:ilvl w:val="0"/>
          <w:numId w:val="0"/>
        </w:numPr>
        <w:spacing w:after="120"/>
      </w:pPr>
      <w:r w:rsidRPr="007E7880">
        <w:t>Commentary should specifically include explanation of:</w:t>
      </w:r>
    </w:p>
    <w:tbl>
      <w:tblPr>
        <w:tblpPr w:leftFromText="180" w:rightFromText="180" w:vertAnchor="text" w:horzAnchor="margin" w:tblpY="236"/>
        <w:tblW w:w="10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1"/>
        <w:gridCol w:w="5608"/>
      </w:tblGrid>
      <w:tr w:rsidR="00CA6845" w:rsidRPr="007E7880" w14:paraId="27B01FCE" w14:textId="77777777" w:rsidTr="003C2403">
        <w:trPr>
          <w:trHeight w:val="233"/>
        </w:trPr>
        <w:tc>
          <w:tcPr>
            <w:tcW w:w="4791" w:type="dxa"/>
          </w:tcPr>
          <w:p w14:paraId="51BDDD30" w14:textId="77777777" w:rsidR="00CA6845" w:rsidRPr="007E7880" w:rsidRDefault="00CA6845" w:rsidP="00AD6B4B">
            <w:pPr>
              <w:keepNext/>
              <w:rPr>
                <w:rFonts w:ascii="Verdana" w:hAnsi="Verdana"/>
                <w:sz w:val="20"/>
                <w:szCs w:val="20"/>
              </w:rPr>
            </w:pPr>
          </w:p>
        </w:tc>
        <w:tc>
          <w:tcPr>
            <w:tcW w:w="5608" w:type="dxa"/>
            <w:shd w:val="clear" w:color="auto" w:fill="auto"/>
          </w:tcPr>
          <w:p w14:paraId="7BDB509A" w14:textId="77777777" w:rsidR="00CA6845" w:rsidRPr="007E7880" w:rsidRDefault="00CA6845" w:rsidP="00AD6B4B">
            <w:pPr>
              <w:keepNext/>
              <w:rPr>
                <w:rFonts w:ascii="Verdana" w:hAnsi="Verdana"/>
                <w:b/>
                <w:sz w:val="20"/>
                <w:szCs w:val="20"/>
              </w:rPr>
            </w:pPr>
            <w:r w:rsidRPr="007E7880">
              <w:rPr>
                <w:rFonts w:ascii="Verdana" w:hAnsi="Verdana"/>
                <w:b/>
                <w:sz w:val="20"/>
                <w:szCs w:val="20"/>
              </w:rPr>
              <w:t>Comments</w:t>
            </w:r>
          </w:p>
        </w:tc>
      </w:tr>
      <w:tr w:rsidR="00CA6845" w:rsidRPr="007E7880" w14:paraId="7B29DE78" w14:textId="77777777" w:rsidTr="003C2403">
        <w:trPr>
          <w:trHeight w:val="713"/>
        </w:trPr>
        <w:tc>
          <w:tcPr>
            <w:tcW w:w="4791" w:type="dxa"/>
          </w:tcPr>
          <w:p w14:paraId="2AC0DF0E" w14:textId="77777777" w:rsidR="00CA6845" w:rsidRPr="007E7880" w:rsidRDefault="00CA6845" w:rsidP="00CA6845">
            <w:pPr>
              <w:rPr>
                <w:rFonts w:ascii="Verdana" w:hAnsi="Verdana"/>
                <w:sz w:val="20"/>
                <w:szCs w:val="20"/>
              </w:rPr>
            </w:pPr>
            <w:r w:rsidRPr="007E7880">
              <w:rPr>
                <w:rFonts w:ascii="Verdana" w:hAnsi="Verdana"/>
                <w:sz w:val="20"/>
                <w:szCs w:val="20"/>
              </w:rPr>
              <w:t>Explain any material variance in the scheme administration charges compared to prior years.</w:t>
            </w:r>
          </w:p>
        </w:tc>
        <w:tc>
          <w:tcPr>
            <w:tcW w:w="5608" w:type="dxa"/>
            <w:shd w:val="clear" w:color="auto" w:fill="FFFF99"/>
          </w:tcPr>
          <w:p w14:paraId="4439DEEC" w14:textId="18B4CBD6" w:rsidR="00CA6845" w:rsidRPr="007E7880" w:rsidRDefault="00CA6845" w:rsidP="00CA6845">
            <w:pPr>
              <w:rPr>
                <w:rFonts w:ascii="Verdana" w:hAnsi="Verdana"/>
                <w:sz w:val="20"/>
                <w:szCs w:val="20"/>
              </w:rPr>
            </w:pPr>
          </w:p>
        </w:tc>
      </w:tr>
      <w:bookmarkEnd w:id="18"/>
    </w:tbl>
    <w:p w14:paraId="0AB521D1" w14:textId="77777777" w:rsidR="003C2403" w:rsidRPr="007E7880" w:rsidRDefault="003C2403" w:rsidP="00CA6845">
      <w:pPr>
        <w:rPr>
          <w:rFonts w:ascii="Verdana" w:hAnsi="Verdana"/>
          <w:b/>
          <w:sz w:val="28"/>
          <w:szCs w:val="28"/>
        </w:rPr>
      </w:pPr>
    </w:p>
    <w:p w14:paraId="377FBEA2" w14:textId="41043592" w:rsidR="00CA6845" w:rsidRPr="007E7880" w:rsidRDefault="00CA6845" w:rsidP="003C0836">
      <w:pPr>
        <w:pStyle w:val="Heading1"/>
      </w:pPr>
      <w:bookmarkStart w:id="20" w:name="_Toc421884238"/>
      <w:r w:rsidRPr="007E7880">
        <w:t>F8</w:t>
      </w:r>
      <w:r w:rsidR="003D301A" w:rsidRPr="007E7880">
        <w:t xml:space="preserve"> – </w:t>
      </w:r>
      <w:r w:rsidRPr="007E7880">
        <w:t>Reconciliation to Regulatory Accounts</w:t>
      </w:r>
      <w:bookmarkEnd w:id="20"/>
      <w:r w:rsidRPr="007E7880">
        <w:t xml:space="preserve"> </w:t>
      </w:r>
    </w:p>
    <w:p w14:paraId="3AC12963" w14:textId="77777777" w:rsidR="00CA6845" w:rsidRPr="007E7880" w:rsidRDefault="00CA6845" w:rsidP="003C2403">
      <w:pPr>
        <w:pStyle w:val="Paragrapgh"/>
        <w:numPr>
          <w:ilvl w:val="0"/>
          <w:numId w:val="0"/>
        </w:numPr>
        <w:spacing w:after="120"/>
      </w:pPr>
      <w:r w:rsidRPr="007E7880">
        <w:t>Commentary should specifically include explanation of the reasons for each reconciling item. The commentary should include:</w:t>
      </w:r>
    </w:p>
    <w:p w14:paraId="4B06F24C" w14:textId="77777777" w:rsidR="00CA6845" w:rsidRPr="007E7880" w:rsidRDefault="00CA6845" w:rsidP="00CA6845">
      <w:pPr>
        <w:pStyle w:val="ListParagraph"/>
        <w:numPr>
          <w:ilvl w:val="0"/>
          <w:numId w:val="10"/>
        </w:numPr>
      </w:pPr>
      <w:r w:rsidRPr="007E7880">
        <w:t>A description of the reconciling item</w:t>
      </w:r>
    </w:p>
    <w:p w14:paraId="34CAC5E7" w14:textId="77777777" w:rsidR="00CA6845" w:rsidRPr="007E7880" w:rsidRDefault="00CA6845" w:rsidP="00CA6845">
      <w:pPr>
        <w:pStyle w:val="ListParagraph"/>
        <w:numPr>
          <w:ilvl w:val="0"/>
          <w:numId w:val="10"/>
        </w:numPr>
      </w:pPr>
      <w:r w:rsidRPr="007E7880">
        <w:t>A basic explanation of why the reconciling item has arisen</w:t>
      </w:r>
    </w:p>
    <w:p w14:paraId="2120D2E7" w14:textId="77777777" w:rsidR="00CA6845" w:rsidRPr="007E7880" w:rsidRDefault="00CA6845" w:rsidP="00CA6845">
      <w:pPr>
        <w:pStyle w:val="ListParagraph"/>
        <w:numPr>
          <w:ilvl w:val="0"/>
          <w:numId w:val="10"/>
        </w:numPr>
      </w:pPr>
      <w:r w:rsidRPr="007E7880">
        <w:lastRenderedPageBreak/>
        <w:t>An explanation of how the figure has been calculated</w:t>
      </w:r>
    </w:p>
    <w:p w14:paraId="4FC8617E" w14:textId="77777777" w:rsidR="00CA6845" w:rsidRPr="007E7880" w:rsidRDefault="00CA6845" w:rsidP="00CA6845">
      <w:pPr>
        <w:pStyle w:val="ListParagraph"/>
        <w:numPr>
          <w:ilvl w:val="0"/>
          <w:numId w:val="10"/>
        </w:numPr>
      </w:pPr>
      <w:r w:rsidRPr="007E7880">
        <w:t xml:space="preserve">Where IFRS has been adopted a statement of that fact listing the principle changes in the Accounts to </w:t>
      </w:r>
      <w:proofErr w:type="spellStart"/>
      <w:r w:rsidRPr="007E7880">
        <w:t>opex</w:t>
      </w:r>
      <w:proofErr w:type="spellEnd"/>
      <w:r w:rsidRPr="007E7880">
        <w:t xml:space="preserve"> and capex is required.</w:t>
      </w:r>
    </w:p>
    <w:p w14:paraId="5B071F36" w14:textId="73B43930" w:rsidR="00CA6845" w:rsidRPr="007E7880" w:rsidRDefault="00CA6845" w:rsidP="00CA6845">
      <w:pPr>
        <w:pStyle w:val="ListParagraph"/>
        <w:numPr>
          <w:ilvl w:val="0"/>
          <w:numId w:val="10"/>
        </w:numPr>
      </w:pPr>
      <w:r w:rsidRPr="007E7880">
        <w:t xml:space="preserve">Where costs are incurred by an </w:t>
      </w:r>
      <w:r w:rsidR="003C0836" w:rsidRPr="007E7880">
        <w:t>affiliate</w:t>
      </w:r>
      <w:r w:rsidRPr="007E7880">
        <w:t xml:space="preserve"> and not recharged to the licensee, state name of affiliate, amount and reasons why not recharged and justification for allowing such costs as efficient and why they should be allowed in computing RAV additions. </w:t>
      </w:r>
    </w:p>
    <w:p w14:paraId="5E367CD9" w14:textId="216465EE" w:rsidR="00CA6845" w:rsidRPr="007E7880" w:rsidRDefault="00CA6845" w:rsidP="00CA6845">
      <w:pPr>
        <w:pStyle w:val="ListParagraph"/>
        <w:numPr>
          <w:ilvl w:val="0"/>
          <w:numId w:val="10"/>
        </w:numPr>
      </w:pPr>
      <w:r w:rsidRPr="007E7880">
        <w:t xml:space="preserve">Where any pension costs (ongoing employer contributions, deficit funding payments, PPF levies or pension scheme administration costs are incurred by an </w:t>
      </w:r>
      <w:r w:rsidR="003C0836" w:rsidRPr="007E7880">
        <w:t>affiliate</w:t>
      </w:r>
      <w:r w:rsidRPr="007E7880">
        <w:t xml:space="preserve"> and not recharged to the licensee, state name of affiliate, amount and reasons why not recharged and justification for allowing such costs as efficient and why they should be allowed as distribution costs of the licensee.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151"/>
      </w:tblGrid>
      <w:tr w:rsidR="00CA6845" w:rsidRPr="007E7880" w14:paraId="6F89BBE4" w14:textId="77777777" w:rsidTr="00AD6B4B">
        <w:trPr>
          <w:trHeight w:val="238"/>
        </w:trPr>
        <w:tc>
          <w:tcPr>
            <w:tcW w:w="10151" w:type="dxa"/>
            <w:tcBorders>
              <w:bottom w:val="single" w:sz="4" w:space="0" w:color="auto"/>
            </w:tcBorders>
            <w:shd w:val="clear" w:color="auto" w:fill="FFFFFF"/>
          </w:tcPr>
          <w:p w14:paraId="6B607C34" w14:textId="738B2CF8" w:rsidR="00CA6845" w:rsidRPr="007E7880" w:rsidRDefault="00CA6845" w:rsidP="00AD6B4B">
            <w:pPr>
              <w:keepNext/>
            </w:pPr>
            <w:r w:rsidRPr="007E7880">
              <w:rPr>
                <w:rFonts w:ascii="Verdana" w:hAnsi="Verdana"/>
                <w:b/>
                <w:sz w:val="20"/>
                <w:szCs w:val="20"/>
              </w:rPr>
              <w:t>Comments</w:t>
            </w:r>
          </w:p>
        </w:tc>
      </w:tr>
      <w:tr w:rsidR="00CA6845" w:rsidRPr="007E7880" w14:paraId="6F7E5555" w14:textId="77777777" w:rsidTr="00AD6B4B">
        <w:trPr>
          <w:trHeight w:val="526"/>
        </w:trPr>
        <w:tc>
          <w:tcPr>
            <w:tcW w:w="10151" w:type="dxa"/>
            <w:tcBorders>
              <w:bottom w:val="single" w:sz="4" w:space="0" w:color="auto"/>
            </w:tcBorders>
            <w:shd w:val="clear" w:color="auto" w:fill="FFFF99"/>
          </w:tcPr>
          <w:p w14:paraId="11FA1457" w14:textId="77777777" w:rsidR="00CA6845" w:rsidRPr="007E7880" w:rsidRDefault="00CA6845" w:rsidP="00CA6845">
            <w:pPr>
              <w:rPr>
                <w:rFonts w:ascii="Verdana" w:hAnsi="Verdana" w:cs="Angsana New"/>
                <w:sz w:val="20"/>
                <w:szCs w:val="20"/>
              </w:rPr>
            </w:pPr>
          </w:p>
          <w:p w14:paraId="08FF618D" w14:textId="77777777" w:rsidR="00CA6845" w:rsidRPr="007E7880" w:rsidRDefault="00CA6845" w:rsidP="00CA6845"/>
          <w:p w14:paraId="484E08A2" w14:textId="77777777" w:rsidR="00AD6B4B" w:rsidRPr="007E7880" w:rsidRDefault="00AD6B4B" w:rsidP="00CA6845"/>
          <w:p w14:paraId="41EB007B" w14:textId="77777777" w:rsidR="00AD6B4B" w:rsidRPr="007E7880" w:rsidRDefault="00AD6B4B" w:rsidP="00CA6845"/>
        </w:tc>
      </w:tr>
    </w:tbl>
    <w:p w14:paraId="1F088F92" w14:textId="77777777" w:rsidR="006B67B6" w:rsidRPr="007E7880" w:rsidRDefault="006B67B6" w:rsidP="008B2D9A"/>
    <w:sectPr w:rsidR="006B67B6" w:rsidRPr="007E7880" w:rsidSect="003C0836">
      <w:footerReference w:type="default" r:id="rId21"/>
      <w:pgSz w:w="11906" w:h="16838"/>
      <w:pgMar w:top="720" w:right="720" w:bottom="720" w:left="72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162D20" w14:textId="77777777" w:rsidR="002772D8" w:rsidRDefault="002772D8">
      <w:r>
        <w:separator/>
      </w:r>
    </w:p>
  </w:endnote>
  <w:endnote w:type="continuationSeparator" w:id="0">
    <w:p w14:paraId="7D162D21" w14:textId="77777777" w:rsidR="002772D8" w:rsidRDefault="00277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liss 2 Light">
    <w:altName w:val="Bliss 2 Light"/>
    <w:panose1 w:val="00000000000000000000"/>
    <w:charset w:val="00"/>
    <w:family w:val="swiss"/>
    <w:notTrueType/>
    <w:pitch w:val="default"/>
    <w:sig w:usb0="00000003" w:usb1="00000000"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95ED1B" w14:textId="77777777" w:rsidR="008D2679" w:rsidRDefault="008D267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62D22" w14:textId="77777777" w:rsidR="002772D8" w:rsidRDefault="002772D8">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775493" w14:textId="77777777" w:rsidR="008D2679" w:rsidRDefault="008D267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223309"/>
      <w:docPartObj>
        <w:docPartGallery w:val="Page Numbers (Bottom of Page)"/>
        <w:docPartUnique/>
      </w:docPartObj>
    </w:sdtPr>
    <w:sdtEndPr>
      <w:rPr>
        <w:rFonts w:ascii="Verdana" w:hAnsi="Verdana"/>
        <w:noProof/>
        <w:sz w:val="18"/>
      </w:rPr>
    </w:sdtEndPr>
    <w:sdtContent>
      <w:p w14:paraId="313C424A" w14:textId="082FD508" w:rsidR="003C0836" w:rsidRPr="003C0836" w:rsidRDefault="003C0836">
        <w:pPr>
          <w:pStyle w:val="Footer"/>
          <w:jc w:val="right"/>
          <w:rPr>
            <w:rFonts w:ascii="Verdana" w:hAnsi="Verdana"/>
            <w:sz w:val="18"/>
          </w:rPr>
        </w:pPr>
        <w:r w:rsidRPr="003C0836">
          <w:rPr>
            <w:rFonts w:ascii="Verdana" w:hAnsi="Verdana"/>
            <w:sz w:val="18"/>
          </w:rPr>
          <w:t xml:space="preserve">Financial Issues Commentary                                                                                                                        </w:t>
        </w:r>
        <w:r w:rsidRPr="003C0836">
          <w:rPr>
            <w:rFonts w:ascii="Verdana" w:hAnsi="Verdana"/>
            <w:sz w:val="18"/>
          </w:rPr>
          <w:fldChar w:fldCharType="begin"/>
        </w:r>
        <w:r w:rsidRPr="003C0836">
          <w:rPr>
            <w:rFonts w:ascii="Verdana" w:hAnsi="Verdana"/>
            <w:sz w:val="18"/>
          </w:rPr>
          <w:instrText xml:space="preserve"> PAGE   \* MERGEFORMAT </w:instrText>
        </w:r>
        <w:r w:rsidRPr="003C0836">
          <w:rPr>
            <w:rFonts w:ascii="Verdana" w:hAnsi="Verdana"/>
            <w:sz w:val="18"/>
          </w:rPr>
          <w:fldChar w:fldCharType="separate"/>
        </w:r>
        <w:r w:rsidR="00D7495E">
          <w:rPr>
            <w:rFonts w:ascii="Verdana" w:hAnsi="Verdana"/>
            <w:noProof/>
            <w:sz w:val="18"/>
          </w:rPr>
          <w:t>5</w:t>
        </w:r>
        <w:r w:rsidRPr="003C0836">
          <w:rPr>
            <w:rFonts w:ascii="Verdana" w:hAnsi="Verdana"/>
            <w:noProof/>
            <w:sz w:val="18"/>
          </w:rPr>
          <w:fldChar w:fldCharType="end"/>
        </w:r>
      </w:p>
    </w:sdtContent>
  </w:sdt>
  <w:p w14:paraId="7FE7A66B" w14:textId="144EE1E1" w:rsidR="003C0836" w:rsidRPr="003C0836" w:rsidRDefault="003C0836" w:rsidP="003C0836">
    <w:pPr>
      <w:pStyle w:val="Footer"/>
      <w:rPr>
        <w:rFonts w:ascii="Verdana" w:hAnsi="Verdana"/>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162D1E" w14:textId="77777777" w:rsidR="002772D8" w:rsidRDefault="002772D8">
      <w:r>
        <w:separator/>
      </w:r>
    </w:p>
  </w:footnote>
  <w:footnote w:type="continuationSeparator" w:id="0">
    <w:p w14:paraId="7D162D1F" w14:textId="77777777" w:rsidR="002772D8" w:rsidRDefault="002772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170783" w14:textId="77777777" w:rsidR="008D2679" w:rsidRDefault="008D267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4543D7" w14:textId="77777777" w:rsidR="008D2679" w:rsidRDefault="008D267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44D700" w14:textId="77777777" w:rsidR="008D2679" w:rsidRDefault="008D26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E2A71"/>
    <w:multiLevelType w:val="hybridMultilevel"/>
    <w:tmpl w:val="07BE77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907777E"/>
    <w:multiLevelType w:val="hybridMultilevel"/>
    <w:tmpl w:val="B832D844"/>
    <w:lvl w:ilvl="0" w:tplc="E7AC65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EDE7A87"/>
    <w:multiLevelType w:val="hybridMultilevel"/>
    <w:tmpl w:val="D180A7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nsid w:val="2C3A6B62"/>
    <w:multiLevelType w:val="multilevel"/>
    <w:tmpl w:val="1E7C03D4"/>
    <w:lvl w:ilvl="0">
      <w:start w:val="1"/>
      <w:numFmt w:val="decimal"/>
      <w:pStyle w:val="ChapterHeading"/>
      <w:suff w:val="space"/>
      <w:lvlText w:val="%1."/>
      <w:lvlJc w:val="left"/>
      <w:pPr>
        <w:ind w:left="360" w:hanging="360"/>
      </w:pPr>
      <w:rPr>
        <w:rFonts w:hint="default"/>
      </w:rPr>
    </w:lvl>
    <w:lvl w:ilvl="1">
      <w:start w:val="1"/>
      <w:numFmt w:val="decimal"/>
      <w:pStyle w:val="Paragrapgh"/>
      <w:suff w:val="space"/>
      <w:lvlText w:val="%1.%2."/>
      <w:lvlJc w:val="left"/>
      <w:pPr>
        <w:ind w:left="851"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30FF64E7"/>
    <w:multiLevelType w:val="hybridMultilevel"/>
    <w:tmpl w:val="B866CC50"/>
    <w:lvl w:ilvl="0" w:tplc="E7AC656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1B059C2"/>
    <w:multiLevelType w:val="hybridMultilevel"/>
    <w:tmpl w:val="6060A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EE6070A"/>
    <w:multiLevelType w:val="hybridMultilevel"/>
    <w:tmpl w:val="B832D844"/>
    <w:lvl w:ilvl="0" w:tplc="E7AC65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5D6543D8"/>
    <w:multiLevelType w:val="hybridMultilevel"/>
    <w:tmpl w:val="D8E66C74"/>
    <w:lvl w:ilvl="0" w:tplc="E494AD2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70693782"/>
    <w:multiLevelType w:val="hybridMultilevel"/>
    <w:tmpl w:val="B832D844"/>
    <w:lvl w:ilvl="0" w:tplc="E7AC65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7F400522"/>
    <w:multiLevelType w:val="hybridMultilevel"/>
    <w:tmpl w:val="427ABB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9"/>
  </w:num>
  <w:num w:numId="4">
    <w:abstractNumId w:val="0"/>
  </w:num>
  <w:num w:numId="5">
    <w:abstractNumId w:val="2"/>
  </w:num>
  <w:num w:numId="6">
    <w:abstractNumId w:val="1"/>
  </w:num>
  <w:num w:numId="7">
    <w:abstractNumId w:val="4"/>
  </w:num>
  <w:num w:numId="8">
    <w:abstractNumId w:val="8"/>
  </w:num>
  <w:num w:numId="9">
    <w:abstractNumId w:val="6"/>
  </w:num>
  <w:num w:numId="10">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EA0"/>
    <w:rsid w:val="000101F9"/>
    <w:rsid w:val="00010AD5"/>
    <w:rsid w:val="0001203C"/>
    <w:rsid w:val="00017F2F"/>
    <w:rsid w:val="000203CD"/>
    <w:rsid w:val="00020C44"/>
    <w:rsid w:val="000223C1"/>
    <w:rsid w:val="0002487D"/>
    <w:rsid w:val="0002685C"/>
    <w:rsid w:val="00027AC5"/>
    <w:rsid w:val="00031512"/>
    <w:rsid w:val="00033AE5"/>
    <w:rsid w:val="0003481F"/>
    <w:rsid w:val="00036ABD"/>
    <w:rsid w:val="00036E4D"/>
    <w:rsid w:val="00037B88"/>
    <w:rsid w:val="00037F5E"/>
    <w:rsid w:val="00040083"/>
    <w:rsid w:val="00046B87"/>
    <w:rsid w:val="0004735E"/>
    <w:rsid w:val="00052401"/>
    <w:rsid w:val="000529B3"/>
    <w:rsid w:val="00061502"/>
    <w:rsid w:val="000667D5"/>
    <w:rsid w:val="0007017C"/>
    <w:rsid w:val="00071431"/>
    <w:rsid w:val="0007199B"/>
    <w:rsid w:val="00081049"/>
    <w:rsid w:val="00081FA6"/>
    <w:rsid w:val="00082D59"/>
    <w:rsid w:val="0008391C"/>
    <w:rsid w:val="00085825"/>
    <w:rsid w:val="00093135"/>
    <w:rsid w:val="00097D5A"/>
    <w:rsid w:val="000A020E"/>
    <w:rsid w:val="000A13D0"/>
    <w:rsid w:val="000A1B1C"/>
    <w:rsid w:val="000B33EE"/>
    <w:rsid w:val="000B492B"/>
    <w:rsid w:val="000C03B0"/>
    <w:rsid w:val="000C157A"/>
    <w:rsid w:val="000C1FC2"/>
    <w:rsid w:val="000C404F"/>
    <w:rsid w:val="000C5041"/>
    <w:rsid w:val="000D0B6B"/>
    <w:rsid w:val="000D59AC"/>
    <w:rsid w:val="000D5BDE"/>
    <w:rsid w:val="000E09C2"/>
    <w:rsid w:val="000E1A58"/>
    <w:rsid w:val="000E2416"/>
    <w:rsid w:val="000E3946"/>
    <w:rsid w:val="000E544F"/>
    <w:rsid w:val="000E65AD"/>
    <w:rsid w:val="000E67D5"/>
    <w:rsid w:val="000F01BA"/>
    <w:rsid w:val="000F0357"/>
    <w:rsid w:val="000F14D9"/>
    <w:rsid w:val="000F2E45"/>
    <w:rsid w:val="000F4563"/>
    <w:rsid w:val="000F5FC5"/>
    <w:rsid w:val="001013C2"/>
    <w:rsid w:val="00104044"/>
    <w:rsid w:val="00105DA0"/>
    <w:rsid w:val="00105E02"/>
    <w:rsid w:val="00105ED1"/>
    <w:rsid w:val="0010722F"/>
    <w:rsid w:val="00117573"/>
    <w:rsid w:val="0012322A"/>
    <w:rsid w:val="001264DE"/>
    <w:rsid w:val="00131269"/>
    <w:rsid w:val="00132C74"/>
    <w:rsid w:val="00133B54"/>
    <w:rsid w:val="00134891"/>
    <w:rsid w:val="00135336"/>
    <w:rsid w:val="001357F0"/>
    <w:rsid w:val="00137146"/>
    <w:rsid w:val="00137C96"/>
    <w:rsid w:val="00144BF6"/>
    <w:rsid w:val="001453D7"/>
    <w:rsid w:val="001468BF"/>
    <w:rsid w:val="00153636"/>
    <w:rsid w:val="0015440C"/>
    <w:rsid w:val="0015498F"/>
    <w:rsid w:val="001619CF"/>
    <w:rsid w:val="00180ACC"/>
    <w:rsid w:val="001814EB"/>
    <w:rsid w:val="001820CB"/>
    <w:rsid w:val="001867A9"/>
    <w:rsid w:val="00187D24"/>
    <w:rsid w:val="00193448"/>
    <w:rsid w:val="00193468"/>
    <w:rsid w:val="00193A8A"/>
    <w:rsid w:val="00194F11"/>
    <w:rsid w:val="00196A6D"/>
    <w:rsid w:val="001A4235"/>
    <w:rsid w:val="001A6B4E"/>
    <w:rsid w:val="001B363F"/>
    <w:rsid w:val="001B3E76"/>
    <w:rsid w:val="001C0D6F"/>
    <w:rsid w:val="001C4A1F"/>
    <w:rsid w:val="001D0129"/>
    <w:rsid w:val="001D48ED"/>
    <w:rsid w:val="001D4C6C"/>
    <w:rsid w:val="001D6ABE"/>
    <w:rsid w:val="001E315F"/>
    <w:rsid w:val="001E3C0A"/>
    <w:rsid w:val="001E6401"/>
    <w:rsid w:val="001F60BF"/>
    <w:rsid w:val="00201C10"/>
    <w:rsid w:val="00201C62"/>
    <w:rsid w:val="00202766"/>
    <w:rsid w:val="002070CF"/>
    <w:rsid w:val="00207190"/>
    <w:rsid w:val="002104A7"/>
    <w:rsid w:val="00210BA0"/>
    <w:rsid w:val="002223C7"/>
    <w:rsid w:val="002227DB"/>
    <w:rsid w:val="00222966"/>
    <w:rsid w:val="00223709"/>
    <w:rsid w:val="0022464A"/>
    <w:rsid w:val="002275F3"/>
    <w:rsid w:val="002310E9"/>
    <w:rsid w:val="00231254"/>
    <w:rsid w:val="0023492D"/>
    <w:rsid w:val="002353C0"/>
    <w:rsid w:val="00242BD3"/>
    <w:rsid w:val="00247F8F"/>
    <w:rsid w:val="002574C4"/>
    <w:rsid w:val="00260F24"/>
    <w:rsid w:val="002654D6"/>
    <w:rsid w:val="00266035"/>
    <w:rsid w:val="002667F8"/>
    <w:rsid w:val="00266CA1"/>
    <w:rsid w:val="00271303"/>
    <w:rsid w:val="00273726"/>
    <w:rsid w:val="00274113"/>
    <w:rsid w:val="002757B0"/>
    <w:rsid w:val="002772D8"/>
    <w:rsid w:val="00285576"/>
    <w:rsid w:val="00285FF2"/>
    <w:rsid w:val="002905E9"/>
    <w:rsid w:val="002944D9"/>
    <w:rsid w:val="0029793E"/>
    <w:rsid w:val="002A03E6"/>
    <w:rsid w:val="002A0D77"/>
    <w:rsid w:val="002A194A"/>
    <w:rsid w:val="002A52F8"/>
    <w:rsid w:val="002B10CF"/>
    <w:rsid w:val="002B21C8"/>
    <w:rsid w:val="002C3D54"/>
    <w:rsid w:val="002C6366"/>
    <w:rsid w:val="002D5859"/>
    <w:rsid w:val="002D682B"/>
    <w:rsid w:val="002E3514"/>
    <w:rsid w:val="002F07D4"/>
    <w:rsid w:val="002F1DF8"/>
    <w:rsid w:val="002F3EB5"/>
    <w:rsid w:val="002F70BF"/>
    <w:rsid w:val="00304329"/>
    <w:rsid w:val="00305FB6"/>
    <w:rsid w:val="00311F84"/>
    <w:rsid w:val="00313936"/>
    <w:rsid w:val="00314F7D"/>
    <w:rsid w:val="00331046"/>
    <w:rsid w:val="00334D4F"/>
    <w:rsid w:val="00336D4F"/>
    <w:rsid w:val="00341C14"/>
    <w:rsid w:val="00342D85"/>
    <w:rsid w:val="003452F4"/>
    <w:rsid w:val="0034594B"/>
    <w:rsid w:val="00351A38"/>
    <w:rsid w:val="003563A3"/>
    <w:rsid w:val="00356B21"/>
    <w:rsid w:val="003575F0"/>
    <w:rsid w:val="0036296B"/>
    <w:rsid w:val="00363ED4"/>
    <w:rsid w:val="00365B73"/>
    <w:rsid w:val="00367050"/>
    <w:rsid w:val="00371A18"/>
    <w:rsid w:val="00373332"/>
    <w:rsid w:val="003742DC"/>
    <w:rsid w:val="00375C06"/>
    <w:rsid w:val="003800AE"/>
    <w:rsid w:val="00380194"/>
    <w:rsid w:val="00380564"/>
    <w:rsid w:val="00380867"/>
    <w:rsid w:val="003815FD"/>
    <w:rsid w:val="0038224B"/>
    <w:rsid w:val="003923AD"/>
    <w:rsid w:val="0039269E"/>
    <w:rsid w:val="00397260"/>
    <w:rsid w:val="003A1A9F"/>
    <w:rsid w:val="003A1E69"/>
    <w:rsid w:val="003B3FE4"/>
    <w:rsid w:val="003C0836"/>
    <w:rsid w:val="003C2132"/>
    <w:rsid w:val="003C2403"/>
    <w:rsid w:val="003C296D"/>
    <w:rsid w:val="003C2C5D"/>
    <w:rsid w:val="003C3E7D"/>
    <w:rsid w:val="003C3E81"/>
    <w:rsid w:val="003C5AE9"/>
    <w:rsid w:val="003C647E"/>
    <w:rsid w:val="003C6D58"/>
    <w:rsid w:val="003D301A"/>
    <w:rsid w:val="003D50E4"/>
    <w:rsid w:val="003D6B46"/>
    <w:rsid w:val="003F3227"/>
    <w:rsid w:val="003F737D"/>
    <w:rsid w:val="00405E43"/>
    <w:rsid w:val="00410D04"/>
    <w:rsid w:val="0041495A"/>
    <w:rsid w:val="00417BF2"/>
    <w:rsid w:val="0042115B"/>
    <w:rsid w:val="0042600E"/>
    <w:rsid w:val="00426C60"/>
    <w:rsid w:val="00430140"/>
    <w:rsid w:val="0043015F"/>
    <w:rsid w:val="0043430C"/>
    <w:rsid w:val="00440EEE"/>
    <w:rsid w:val="004410AB"/>
    <w:rsid w:val="0044266C"/>
    <w:rsid w:val="00446C8A"/>
    <w:rsid w:val="00452975"/>
    <w:rsid w:val="00457011"/>
    <w:rsid w:val="00460747"/>
    <w:rsid w:val="00461041"/>
    <w:rsid w:val="00463FF7"/>
    <w:rsid w:val="00475BC9"/>
    <w:rsid w:val="00476402"/>
    <w:rsid w:val="004850CB"/>
    <w:rsid w:val="00486711"/>
    <w:rsid w:val="00490E64"/>
    <w:rsid w:val="004920C3"/>
    <w:rsid w:val="004961E4"/>
    <w:rsid w:val="004A4751"/>
    <w:rsid w:val="004A5B1F"/>
    <w:rsid w:val="004A7003"/>
    <w:rsid w:val="004B0AF8"/>
    <w:rsid w:val="004B21A5"/>
    <w:rsid w:val="004D3ADA"/>
    <w:rsid w:val="004D4A93"/>
    <w:rsid w:val="004E3D69"/>
    <w:rsid w:val="004E67A4"/>
    <w:rsid w:val="004E7785"/>
    <w:rsid w:val="004F061D"/>
    <w:rsid w:val="004F1729"/>
    <w:rsid w:val="004F2A3C"/>
    <w:rsid w:val="004F58AF"/>
    <w:rsid w:val="004F5B0C"/>
    <w:rsid w:val="004F7902"/>
    <w:rsid w:val="004F7B62"/>
    <w:rsid w:val="0050055A"/>
    <w:rsid w:val="00501C3B"/>
    <w:rsid w:val="00504BE0"/>
    <w:rsid w:val="005073F1"/>
    <w:rsid w:val="00513C1E"/>
    <w:rsid w:val="00513DFC"/>
    <w:rsid w:val="00517418"/>
    <w:rsid w:val="00520D00"/>
    <w:rsid w:val="00521C11"/>
    <w:rsid w:val="00532766"/>
    <w:rsid w:val="00536E89"/>
    <w:rsid w:val="00537775"/>
    <w:rsid w:val="00541A1D"/>
    <w:rsid w:val="00542340"/>
    <w:rsid w:val="00544C4D"/>
    <w:rsid w:val="005506FF"/>
    <w:rsid w:val="00551FC7"/>
    <w:rsid w:val="0055284F"/>
    <w:rsid w:val="00553863"/>
    <w:rsid w:val="005650CB"/>
    <w:rsid w:val="0056658A"/>
    <w:rsid w:val="00573838"/>
    <w:rsid w:val="00581922"/>
    <w:rsid w:val="00581C69"/>
    <w:rsid w:val="0058660D"/>
    <w:rsid w:val="005877C2"/>
    <w:rsid w:val="00587A8D"/>
    <w:rsid w:val="0059298B"/>
    <w:rsid w:val="005929E8"/>
    <w:rsid w:val="00593069"/>
    <w:rsid w:val="005A27C1"/>
    <w:rsid w:val="005A402D"/>
    <w:rsid w:val="005A61E8"/>
    <w:rsid w:val="005B0AFE"/>
    <w:rsid w:val="005B1D91"/>
    <w:rsid w:val="005B246F"/>
    <w:rsid w:val="005B4013"/>
    <w:rsid w:val="005B4892"/>
    <w:rsid w:val="005B5E92"/>
    <w:rsid w:val="005C0336"/>
    <w:rsid w:val="005C3A4C"/>
    <w:rsid w:val="005D3296"/>
    <w:rsid w:val="005D5288"/>
    <w:rsid w:val="005E1CE8"/>
    <w:rsid w:val="005E6D12"/>
    <w:rsid w:val="005F19AA"/>
    <w:rsid w:val="005F54D0"/>
    <w:rsid w:val="005F7825"/>
    <w:rsid w:val="00601646"/>
    <w:rsid w:val="00603FE0"/>
    <w:rsid w:val="00604BA1"/>
    <w:rsid w:val="00610AAF"/>
    <w:rsid w:val="00613AFF"/>
    <w:rsid w:val="00621C18"/>
    <w:rsid w:val="00623F9E"/>
    <w:rsid w:val="00626DCC"/>
    <w:rsid w:val="00630755"/>
    <w:rsid w:val="0063141B"/>
    <w:rsid w:val="00631B3A"/>
    <w:rsid w:val="00634E62"/>
    <w:rsid w:val="00636CBA"/>
    <w:rsid w:val="00640358"/>
    <w:rsid w:val="00641665"/>
    <w:rsid w:val="006456E8"/>
    <w:rsid w:val="0066144B"/>
    <w:rsid w:val="00661EA0"/>
    <w:rsid w:val="006662C9"/>
    <w:rsid w:val="00666B36"/>
    <w:rsid w:val="006776AB"/>
    <w:rsid w:val="006800F3"/>
    <w:rsid w:val="006804BE"/>
    <w:rsid w:val="00683422"/>
    <w:rsid w:val="00686125"/>
    <w:rsid w:val="00691007"/>
    <w:rsid w:val="00692ADD"/>
    <w:rsid w:val="006931AD"/>
    <w:rsid w:val="006A204F"/>
    <w:rsid w:val="006A2165"/>
    <w:rsid w:val="006A2E69"/>
    <w:rsid w:val="006A68A0"/>
    <w:rsid w:val="006B67B6"/>
    <w:rsid w:val="006D14D0"/>
    <w:rsid w:val="006D207C"/>
    <w:rsid w:val="006D4B52"/>
    <w:rsid w:val="006D54D1"/>
    <w:rsid w:val="006E6E98"/>
    <w:rsid w:val="006E7890"/>
    <w:rsid w:val="006F1665"/>
    <w:rsid w:val="006F3EA1"/>
    <w:rsid w:val="00700352"/>
    <w:rsid w:val="007016D0"/>
    <w:rsid w:val="00702332"/>
    <w:rsid w:val="00703F56"/>
    <w:rsid w:val="00704CF9"/>
    <w:rsid w:val="00713B39"/>
    <w:rsid w:val="007145FF"/>
    <w:rsid w:val="00714669"/>
    <w:rsid w:val="007149A3"/>
    <w:rsid w:val="00715901"/>
    <w:rsid w:val="00726F59"/>
    <w:rsid w:val="007270AD"/>
    <w:rsid w:val="00731B8D"/>
    <w:rsid w:val="00733CA0"/>
    <w:rsid w:val="00733CD5"/>
    <w:rsid w:val="007344E7"/>
    <w:rsid w:val="007353D1"/>
    <w:rsid w:val="00735967"/>
    <w:rsid w:val="00736A3A"/>
    <w:rsid w:val="007404B0"/>
    <w:rsid w:val="00740D5E"/>
    <w:rsid w:val="00741EC5"/>
    <w:rsid w:val="00741F04"/>
    <w:rsid w:val="0074342A"/>
    <w:rsid w:val="0074474A"/>
    <w:rsid w:val="00744D6C"/>
    <w:rsid w:val="00744F39"/>
    <w:rsid w:val="00745DDE"/>
    <w:rsid w:val="0075776B"/>
    <w:rsid w:val="007624C7"/>
    <w:rsid w:val="00763DAC"/>
    <w:rsid w:val="007643CF"/>
    <w:rsid w:val="00764AD1"/>
    <w:rsid w:val="0076524D"/>
    <w:rsid w:val="00765701"/>
    <w:rsid w:val="0077095A"/>
    <w:rsid w:val="00774ED6"/>
    <w:rsid w:val="00775B40"/>
    <w:rsid w:val="00775BF8"/>
    <w:rsid w:val="00780B2C"/>
    <w:rsid w:val="00784C17"/>
    <w:rsid w:val="007854A8"/>
    <w:rsid w:val="007866AF"/>
    <w:rsid w:val="007870BF"/>
    <w:rsid w:val="007908F4"/>
    <w:rsid w:val="00793356"/>
    <w:rsid w:val="00796932"/>
    <w:rsid w:val="00797F93"/>
    <w:rsid w:val="007A27AE"/>
    <w:rsid w:val="007A79C5"/>
    <w:rsid w:val="007A7AD5"/>
    <w:rsid w:val="007B2C71"/>
    <w:rsid w:val="007B6C9B"/>
    <w:rsid w:val="007C307C"/>
    <w:rsid w:val="007D09C6"/>
    <w:rsid w:val="007D456A"/>
    <w:rsid w:val="007D5677"/>
    <w:rsid w:val="007D6109"/>
    <w:rsid w:val="007D6780"/>
    <w:rsid w:val="007D6B73"/>
    <w:rsid w:val="007E00E0"/>
    <w:rsid w:val="007E650E"/>
    <w:rsid w:val="007E7880"/>
    <w:rsid w:val="007F022D"/>
    <w:rsid w:val="008013BB"/>
    <w:rsid w:val="00801650"/>
    <w:rsid w:val="00803434"/>
    <w:rsid w:val="00803568"/>
    <w:rsid w:val="00806640"/>
    <w:rsid w:val="00807C22"/>
    <w:rsid w:val="0081127F"/>
    <w:rsid w:val="00813505"/>
    <w:rsid w:val="00813A86"/>
    <w:rsid w:val="0082084D"/>
    <w:rsid w:val="008212F0"/>
    <w:rsid w:val="008264F6"/>
    <w:rsid w:val="00832021"/>
    <w:rsid w:val="00832E92"/>
    <w:rsid w:val="0083330D"/>
    <w:rsid w:val="0083537E"/>
    <w:rsid w:val="00836D11"/>
    <w:rsid w:val="00837765"/>
    <w:rsid w:val="00840126"/>
    <w:rsid w:val="008418F0"/>
    <w:rsid w:val="008419D4"/>
    <w:rsid w:val="0084499A"/>
    <w:rsid w:val="008529C5"/>
    <w:rsid w:val="00862F6C"/>
    <w:rsid w:val="00864595"/>
    <w:rsid w:val="008655E3"/>
    <w:rsid w:val="0087021C"/>
    <w:rsid w:val="00871C45"/>
    <w:rsid w:val="00873466"/>
    <w:rsid w:val="008802D4"/>
    <w:rsid w:val="00880E20"/>
    <w:rsid w:val="0089238F"/>
    <w:rsid w:val="00892A73"/>
    <w:rsid w:val="0089655A"/>
    <w:rsid w:val="008A16C8"/>
    <w:rsid w:val="008A5880"/>
    <w:rsid w:val="008A609B"/>
    <w:rsid w:val="008A79D8"/>
    <w:rsid w:val="008B1DE9"/>
    <w:rsid w:val="008B2D9A"/>
    <w:rsid w:val="008C1136"/>
    <w:rsid w:val="008C1AAC"/>
    <w:rsid w:val="008C2E2E"/>
    <w:rsid w:val="008C48DA"/>
    <w:rsid w:val="008C4B34"/>
    <w:rsid w:val="008C6DD1"/>
    <w:rsid w:val="008D0E3E"/>
    <w:rsid w:val="008D2679"/>
    <w:rsid w:val="008D48DF"/>
    <w:rsid w:val="008E2137"/>
    <w:rsid w:val="008E3683"/>
    <w:rsid w:val="008E5BD1"/>
    <w:rsid w:val="008E64E1"/>
    <w:rsid w:val="008E7CFB"/>
    <w:rsid w:val="008F7BCA"/>
    <w:rsid w:val="0090135B"/>
    <w:rsid w:val="00901913"/>
    <w:rsid w:val="00904FE2"/>
    <w:rsid w:val="00913CDE"/>
    <w:rsid w:val="009156E6"/>
    <w:rsid w:val="00922473"/>
    <w:rsid w:val="00924260"/>
    <w:rsid w:val="009331E1"/>
    <w:rsid w:val="00934F9F"/>
    <w:rsid w:val="009409C2"/>
    <w:rsid w:val="009414EA"/>
    <w:rsid w:val="0094468A"/>
    <w:rsid w:val="00950347"/>
    <w:rsid w:val="00951507"/>
    <w:rsid w:val="009535E4"/>
    <w:rsid w:val="00954415"/>
    <w:rsid w:val="00964E26"/>
    <w:rsid w:val="0096706B"/>
    <w:rsid w:val="00970E66"/>
    <w:rsid w:val="009803F5"/>
    <w:rsid w:val="00982D64"/>
    <w:rsid w:val="00984D97"/>
    <w:rsid w:val="00993001"/>
    <w:rsid w:val="009932F6"/>
    <w:rsid w:val="00993A35"/>
    <w:rsid w:val="00995C2D"/>
    <w:rsid w:val="00995E6F"/>
    <w:rsid w:val="009974E5"/>
    <w:rsid w:val="00997616"/>
    <w:rsid w:val="009A1CC0"/>
    <w:rsid w:val="009A309C"/>
    <w:rsid w:val="009A6709"/>
    <w:rsid w:val="009B078F"/>
    <w:rsid w:val="009B0C53"/>
    <w:rsid w:val="009B13C4"/>
    <w:rsid w:val="009B5EAA"/>
    <w:rsid w:val="009B600B"/>
    <w:rsid w:val="009C03A3"/>
    <w:rsid w:val="009D23A9"/>
    <w:rsid w:val="009E6BDA"/>
    <w:rsid w:val="009F0E30"/>
    <w:rsid w:val="009F1116"/>
    <w:rsid w:val="009F788F"/>
    <w:rsid w:val="00A0172A"/>
    <w:rsid w:val="00A049A1"/>
    <w:rsid w:val="00A05F44"/>
    <w:rsid w:val="00A0727D"/>
    <w:rsid w:val="00A101E0"/>
    <w:rsid w:val="00A112C1"/>
    <w:rsid w:val="00A11D6C"/>
    <w:rsid w:val="00A2063E"/>
    <w:rsid w:val="00A21C29"/>
    <w:rsid w:val="00A22F9C"/>
    <w:rsid w:val="00A25F9A"/>
    <w:rsid w:val="00A26B8F"/>
    <w:rsid w:val="00A33A53"/>
    <w:rsid w:val="00A4560B"/>
    <w:rsid w:val="00A46421"/>
    <w:rsid w:val="00A52D20"/>
    <w:rsid w:val="00A568D1"/>
    <w:rsid w:val="00A57447"/>
    <w:rsid w:val="00A60588"/>
    <w:rsid w:val="00A6438D"/>
    <w:rsid w:val="00A729B0"/>
    <w:rsid w:val="00A7468F"/>
    <w:rsid w:val="00A87AF0"/>
    <w:rsid w:val="00A90563"/>
    <w:rsid w:val="00A916DB"/>
    <w:rsid w:val="00A96411"/>
    <w:rsid w:val="00A969AA"/>
    <w:rsid w:val="00A96A2D"/>
    <w:rsid w:val="00A97984"/>
    <w:rsid w:val="00AA242D"/>
    <w:rsid w:val="00AB1096"/>
    <w:rsid w:val="00AB2490"/>
    <w:rsid w:val="00AB2A19"/>
    <w:rsid w:val="00AB49F2"/>
    <w:rsid w:val="00AB4DEE"/>
    <w:rsid w:val="00AC1E2F"/>
    <w:rsid w:val="00AD6B4B"/>
    <w:rsid w:val="00AD7687"/>
    <w:rsid w:val="00AE01F1"/>
    <w:rsid w:val="00AE032B"/>
    <w:rsid w:val="00AE177E"/>
    <w:rsid w:val="00AE1853"/>
    <w:rsid w:val="00AE2634"/>
    <w:rsid w:val="00AF1940"/>
    <w:rsid w:val="00AF1C36"/>
    <w:rsid w:val="00AF4F74"/>
    <w:rsid w:val="00AF61D7"/>
    <w:rsid w:val="00B01BE3"/>
    <w:rsid w:val="00B031CA"/>
    <w:rsid w:val="00B0418D"/>
    <w:rsid w:val="00B10437"/>
    <w:rsid w:val="00B1197A"/>
    <w:rsid w:val="00B13E1D"/>
    <w:rsid w:val="00B14414"/>
    <w:rsid w:val="00B147FD"/>
    <w:rsid w:val="00B16268"/>
    <w:rsid w:val="00B20B78"/>
    <w:rsid w:val="00B26516"/>
    <w:rsid w:val="00B2673C"/>
    <w:rsid w:val="00B30A10"/>
    <w:rsid w:val="00B314FB"/>
    <w:rsid w:val="00B31788"/>
    <w:rsid w:val="00B32D9D"/>
    <w:rsid w:val="00B35E10"/>
    <w:rsid w:val="00B422DC"/>
    <w:rsid w:val="00B42CD9"/>
    <w:rsid w:val="00B45601"/>
    <w:rsid w:val="00B502DD"/>
    <w:rsid w:val="00B526A5"/>
    <w:rsid w:val="00B5460B"/>
    <w:rsid w:val="00B5485A"/>
    <w:rsid w:val="00B62385"/>
    <w:rsid w:val="00B62958"/>
    <w:rsid w:val="00B71766"/>
    <w:rsid w:val="00B82762"/>
    <w:rsid w:val="00B82C51"/>
    <w:rsid w:val="00B90343"/>
    <w:rsid w:val="00B9034B"/>
    <w:rsid w:val="00B92C6B"/>
    <w:rsid w:val="00B93541"/>
    <w:rsid w:val="00B97225"/>
    <w:rsid w:val="00B97D59"/>
    <w:rsid w:val="00BA01F1"/>
    <w:rsid w:val="00BA0BD8"/>
    <w:rsid w:val="00BB1FB5"/>
    <w:rsid w:val="00BB64E8"/>
    <w:rsid w:val="00BC099E"/>
    <w:rsid w:val="00BC48E7"/>
    <w:rsid w:val="00BD02B7"/>
    <w:rsid w:val="00BD153C"/>
    <w:rsid w:val="00BD1BCC"/>
    <w:rsid w:val="00BD47BD"/>
    <w:rsid w:val="00BD4E79"/>
    <w:rsid w:val="00BE6AAF"/>
    <w:rsid w:val="00BF58D1"/>
    <w:rsid w:val="00C0061A"/>
    <w:rsid w:val="00C03A99"/>
    <w:rsid w:val="00C060FE"/>
    <w:rsid w:val="00C1235A"/>
    <w:rsid w:val="00C12D45"/>
    <w:rsid w:val="00C157E1"/>
    <w:rsid w:val="00C219F9"/>
    <w:rsid w:val="00C30168"/>
    <w:rsid w:val="00C3305A"/>
    <w:rsid w:val="00C45663"/>
    <w:rsid w:val="00C53BC8"/>
    <w:rsid w:val="00C53EF0"/>
    <w:rsid w:val="00C54701"/>
    <w:rsid w:val="00C55EDC"/>
    <w:rsid w:val="00C5724A"/>
    <w:rsid w:val="00C629CD"/>
    <w:rsid w:val="00C66403"/>
    <w:rsid w:val="00C70522"/>
    <w:rsid w:val="00C752C5"/>
    <w:rsid w:val="00C81061"/>
    <w:rsid w:val="00C81755"/>
    <w:rsid w:val="00C83707"/>
    <w:rsid w:val="00C858A3"/>
    <w:rsid w:val="00C85A75"/>
    <w:rsid w:val="00C86E9B"/>
    <w:rsid w:val="00C91AD8"/>
    <w:rsid w:val="00C93415"/>
    <w:rsid w:val="00CA6845"/>
    <w:rsid w:val="00CA7417"/>
    <w:rsid w:val="00CB70AE"/>
    <w:rsid w:val="00CC2650"/>
    <w:rsid w:val="00CC644F"/>
    <w:rsid w:val="00CC68D0"/>
    <w:rsid w:val="00CD03CB"/>
    <w:rsid w:val="00CD11CC"/>
    <w:rsid w:val="00CD1750"/>
    <w:rsid w:val="00CD1B61"/>
    <w:rsid w:val="00CE52C6"/>
    <w:rsid w:val="00CF3939"/>
    <w:rsid w:val="00D012DF"/>
    <w:rsid w:val="00D02DCE"/>
    <w:rsid w:val="00D048A4"/>
    <w:rsid w:val="00D06A57"/>
    <w:rsid w:val="00D24311"/>
    <w:rsid w:val="00D2585B"/>
    <w:rsid w:val="00D26160"/>
    <w:rsid w:val="00D2689C"/>
    <w:rsid w:val="00D271CE"/>
    <w:rsid w:val="00D33402"/>
    <w:rsid w:val="00D34AE5"/>
    <w:rsid w:val="00D36A40"/>
    <w:rsid w:val="00D40848"/>
    <w:rsid w:val="00D47DCB"/>
    <w:rsid w:val="00D530CA"/>
    <w:rsid w:val="00D55F41"/>
    <w:rsid w:val="00D56620"/>
    <w:rsid w:val="00D567B2"/>
    <w:rsid w:val="00D65870"/>
    <w:rsid w:val="00D664F8"/>
    <w:rsid w:val="00D72A2A"/>
    <w:rsid w:val="00D7495E"/>
    <w:rsid w:val="00D76AB6"/>
    <w:rsid w:val="00D80400"/>
    <w:rsid w:val="00D816BD"/>
    <w:rsid w:val="00D82074"/>
    <w:rsid w:val="00D86358"/>
    <w:rsid w:val="00D87462"/>
    <w:rsid w:val="00D90BD9"/>
    <w:rsid w:val="00D92043"/>
    <w:rsid w:val="00D9445D"/>
    <w:rsid w:val="00DA081B"/>
    <w:rsid w:val="00DA26D3"/>
    <w:rsid w:val="00DA409A"/>
    <w:rsid w:val="00DA5CB5"/>
    <w:rsid w:val="00DA6031"/>
    <w:rsid w:val="00DB0281"/>
    <w:rsid w:val="00DB6C2D"/>
    <w:rsid w:val="00DB781C"/>
    <w:rsid w:val="00DB7F0D"/>
    <w:rsid w:val="00DC72B7"/>
    <w:rsid w:val="00DD466B"/>
    <w:rsid w:val="00DD6ED0"/>
    <w:rsid w:val="00DD7F6B"/>
    <w:rsid w:val="00DE0A30"/>
    <w:rsid w:val="00DE25EF"/>
    <w:rsid w:val="00DE2702"/>
    <w:rsid w:val="00DF3B5A"/>
    <w:rsid w:val="00E0038E"/>
    <w:rsid w:val="00E01DCD"/>
    <w:rsid w:val="00E04408"/>
    <w:rsid w:val="00E044D2"/>
    <w:rsid w:val="00E0640C"/>
    <w:rsid w:val="00E072D9"/>
    <w:rsid w:val="00E11D13"/>
    <w:rsid w:val="00E120DF"/>
    <w:rsid w:val="00E12AB9"/>
    <w:rsid w:val="00E12FDB"/>
    <w:rsid w:val="00E14479"/>
    <w:rsid w:val="00E17552"/>
    <w:rsid w:val="00E17BA9"/>
    <w:rsid w:val="00E17C08"/>
    <w:rsid w:val="00E217CE"/>
    <w:rsid w:val="00E2398C"/>
    <w:rsid w:val="00E27973"/>
    <w:rsid w:val="00E31620"/>
    <w:rsid w:val="00E33778"/>
    <w:rsid w:val="00E346BD"/>
    <w:rsid w:val="00E40C84"/>
    <w:rsid w:val="00E41665"/>
    <w:rsid w:val="00E425B1"/>
    <w:rsid w:val="00E456A2"/>
    <w:rsid w:val="00E4747A"/>
    <w:rsid w:val="00E53089"/>
    <w:rsid w:val="00E545AB"/>
    <w:rsid w:val="00E654F0"/>
    <w:rsid w:val="00E71533"/>
    <w:rsid w:val="00E726F3"/>
    <w:rsid w:val="00E72F15"/>
    <w:rsid w:val="00E760D1"/>
    <w:rsid w:val="00E77357"/>
    <w:rsid w:val="00E81CFA"/>
    <w:rsid w:val="00E86958"/>
    <w:rsid w:val="00E91683"/>
    <w:rsid w:val="00E95993"/>
    <w:rsid w:val="00E97BB8"/>
    <w:rsid w:val="00EA61BD"/>
    <w:rsid w:val="00EA7B2B"/>
    <w:rsid w:val="00EB4A36"/>
    <w:rsid w:val="00EB50AA"/>
    <w:rsid w:val="00EB61F9"/>
    <w:rsid w:val="00EC1C38"/>
    <w:rsid w:val="00EC38C4"/>
    <w:rsid w:val="00EC3AD0"/>
    <w:rsid w:val="00EC3CC6"/>
    <w:rsid w:val="00EC6A6B"/>
    <w:rsid w:val="00ED303A"/>
    <w:rsid w:val="00ED74B7"/>
    <w:rsid w:val="00EE1BD6"/>
    <w:rsid w:val="00EE1D22"/>
    <w:rsid w:val="00EF2107"/>
    <w:rsid w:val="00EF507F"/>
    <w:rsid w:val="00EF78FF"/>
    <w:rsid w:val="00F01438"/>
    <w:rsid w:val="00F01946"/>
    <w:rsid w:val="00F06E6F"/>
    <w:rsid w:val="00F11041"/>
    <w:rsid w:val="00F154B5"/>
    <w:rsid w:val="00F20397"/>
    <w:rsid w:val="00F21E70"/>
    <w:rsid w:val="00F25282"/>
    <w:rsid w:val="00F2650A"/>
    <w:rsid w:val="00F30739"/>
    <w:rsid w:val="00F31E50"/>
    <w:rsid w:val="00F32B1D"/>
    <w:rsid w:val="00F338AE"/>
    <w:rsid w:val="00F36BB6"/>
    <w:rsid w:val="00F4237F"/>
    <w:rsid w:val="00F4275B"/>
    <w:rsid w:val="00F428EF"/>
    <w:rsid w:val="00F44815"/>
    <w:rsid w:val="00F62447"/>
    <w:rsid w:val="00F66FFF"/>
    <w:rsid w:val="00F670F3"/>
    <w:rsid w:val="00F67911"/>
    <w:rsid w:val="00F729AD"/>
    <w:rsid w:val="00F75C83"/>
    <w:rsid w:val="00F76270"/>
    <w:rsid w:val="00F80915"/>
    <w:rsid w:val="00F81CD1"/>
    <w:rsid w:val="00F83E1B"/>
    <w:rsid w:val="00F92DB0"/>
    <w:rsid w:val="00F94760"/>
    <w:rsid w:val="00F9488D"/>
    <w:rsid w:val="00F96FE0"/>
    <w:rsid w:val="00F97000"/>
    <w:rsid w:val="00FA0FF6"/>
    <w:rsid w:val="00FA109E"/>
    <w:rsid w:val="00FA2CA8"/>
    <w:rsid w:val="00FA2D57"/>
    <w:rsid w:val="00FA34FD"/>
    <w:rsid w:val="00FA4683"/>
    <w:rsid w:val="00FA63C9"/>
    <w:rsid w:val="00FB1BEC"/>
    <w:rsid w:val="00FB1BFD"/>
    <w:rsid w:val="00FB3FFE"/>
    <w:rsid w:val="00FB5420"/>
    <w:rsid w:val="00FB5EDB"/>
    <w:rsid w:val="00FB67B7"/>
    <w:rsid w:val="00FD1FEC"/>
    <w:rsid w:val="00FD5B61"/>
    <w:rsid w:val="00FD6F65"/>
    <w:rsid w:val="00FE001F"/>
    <w:rsid w:val="00FE49E5"/>
    <w:rsid w:val="00FE7C76"/>
    <w:rsid w:val="00FF030E"/>
    <w:rsid w:val="00FF6F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D162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487D"/>
    <w:rPr>
      <w:sz w:val="24"/>
      <w:szCs w:val="24"/>
    </w:rPr>
  </w:style>
  <w:style w:type="paragraph" w:styleId="Heading1">
    <w:name w:val="heading 1"/>
    <w:aliases w:val="Main Heading - Color"/>
    <w:basedOn w:val="Normal"/>
    <w:next w:val="Normal"/>
    <w:link w:val="Heading1Char"/>
    <w:qFormat/>
    <w:rsid w:val="00AE1853"/>
    <w:pPr>
      <w:keepNext/>
      <w:spacing w:before="120" w:after="360"/>
      <w:outlineLvl w:val="0"/>
    </w:pPr>
    <w:rPr>
      <w:rFonts w:ascii="Verdana" w:hAnsi="Verdana" w:cs="Arial"/>
      <w:b/>
      <w:bCs/>
      <w:color w:val="333399"/>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D5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FE7C76"/>
    <w:pPr>
      <w:tabs>
        <w:tab w:val="center" w:pos="4153"/>
        <w:tab w:val="right" w:pos="8306"/>
      </w:tabs>
    </w:pPr>
  </w:style>
  <w:style w:type="paragraph" w:styleId="Footer">
    <w:name w:val="footer"/>
    <w:basedOn w:val="Normal"/>
    <w:link w:val="FooterChar"/>
    <w:uiPriority w:val="99"/>
    <w:rsid w:val="00FE7C76"/>
    <w:pPr>
      <w:tabs>
        <w:tab w:val="center" w:pos="4153"/>
        <w:tab w:val="right" w:pos="8306"/>
      </w:tabs>
    </w:pPr>
  </w:style>
  <w:style w:type="character" w:styleId="PageNumber">
    <w:name w:val="page number"/>
    <w:basedOn w:val="DefaultParagraphFont"/>
    <w:rsid w:val="00FE7C76"/>
  </w:style>
  <w:style w:type="paragraph" w:styleId="BalloonText">
    <w:name w:val="Balloon Text"/>
    <w:basedOn w:val="Normal"/>
    <w:semiHidden/>
    <w:rsid w:val="000F5FC5"/>
    <w:rPr>
      <w:rFonts w:ascii="Tahoma" w:hAnsi="Tahoma" w:cs="Tahoma"/>
      <w:sz w:val="16"/>
      <w:szCs w:val="16"/>
    </w:rPr>
  </w:style>
  <w:style w:type="paragraph" w:styleId="ListParagraph">
    <w:name w:val="List Paragraph"/>
    <w:basedOn w:val="Normal"/>
    <w:uiPriority w:val="34"/>
    <w:qFormat/>
    <w:rsid w:val="00862F6C"/>
    <w:pPr>
      <w:spacing w:after="200" w:line="276" w:lineRule="auto"/>
      <w:ind w:left="720"/>
    </w:pPr>
    <w:rPr>
      <w:rFonts w:ascii="Verdana" w:eastAsia="Calibri" w:hAnsi="Verdana"/>
      <w:sz w:val="20"/>
      <w:szCs w:val="20"/>
      <w:lang w:eastAsia="en-US"/>
    </w:rPr>
  </w:style>
  <w:style w:type="paragraph" w:customStyle="1" w:styleId="msolistparagraph0">
    <w:name w:val="msolistparagraph"/>
    <w:basedOn w:val="Normal"/>
    <w:rsid w:val="00774ED6"/>
    <w:pPr>
      <w:ind w:left="720"/>
    </w:pPr>
    <w:rPr>
      <w:rFonts w:ascii="Verdana" w:hAnsi="Verdana"/>
      <w:sz w:val="20"/>
      <w:szCs w:val="20"/>
    </w:rPr>
  </w:style>
  <w:style w:type="character" w:customStyle="1" w:styleId="Heading1Char">
    <w:name w:val="Heading 1 Char"/>
    <w:aliases w:val="Main Heading - Color Char"/>
    <w:basedOn w:val="DefaultParagraphFont"/>
    <w:link w:val="Heading1"/>
    <w:rsid w:val="00AE1853"/>
    <w:rPr>
      <w:rFonts w:ascii="Verdana" w:hAnsi="Verdana" w:cs="Arial"/>
      <w:b/>
      <w:bCs/>
      <w:color w:val="333399"/>
      <w:sz w:val="24"/>
      <w:szCs w:val="24"/>
      <w:lang w:eastAsia="en-US"/>
    </w:rPr>
  </w:style>
  <w:style w:type="paragraph" w:customStyle="1" w:styleId="ChapterHeading">
    <w:name w:val="Chapter Heading"/>
    <w:basedOn w:val="Normal"/>
    <w:rsid w:val="00AE1853"/>
    <w:pPr>
      <w:pageBreakBefore/>
      <w:numPr>
        <w:numId w:val="1"/>
      </w:numPr>
      <w:pBdr>
        <w:top w:val="single" w:sz="4" w:space="0" w:color="FFCC99"/>
        <w:left w:val="single" w:sz="4" w:space="4" w:color="FFCC99"/>
        <w:bottom w:val="single" w:sz="4" w:space="1" w:color="FFCC99"/>
        <w:right w:val="single" w:sz="4" w:space="4" w:color="FFCC99"/>
      </w:pBdr>
      <w:shd w:val="clear" w:color="auto" w:fill="B3E2FF"/>
    </w:pPr>
    <w:rPr>
      <w:rFonts w:ascii="Verdana" w:hAnsi="Verdana"/>
      <w:bCs/>
      <w:sz w:val="28"/>
      <w:szCs w:val="20"/>
      <w:lang w:eastAsia="en-US"/>
    </w:rPr>
  </w:style>
  <w:style w:type="paragraph" w:customStyle="1" w:styleId="Paragrapgh">
    <w:name w:val="Paragrapgh"/>
    <w:basedOn w:val="Normal"/>
    <w:qFormat/>
    <w:rsid w:val="00AE1853"/>
    <w:pPr>
      <w:numPr>
        <w:ilvl w:val="1"/>
        <w:numId w:val="1"/>
      </w:numPr>
      <w:spacing w:before="360" w:after="360"/>
    </w:pPr>
    <w:rPr>
      <w:rFonts w:ascii="Verdana" w:hAnsi="Verdana"/>
      <w:sz w:val="20"/>
      <w:szCs w:val="20"/>
      <w:lang w:eastAsia="en-US"/>
    </w:rPr>
  </w:style>
  <w:style w:type="character" w:styleId="Hyperlink">
    <w:name w:val="Hyperlink"/>
    <w:basedOn w:val="DefaultParagraphFont"/>
    <w:uiPriority w:val="99"/>
    <w:unhideWhenUsed/>
    <w:rsid w:val="00266035"/>
    <w:rPr>
      <w:color w:val="0000FF"/>
      <w:u w:val="single"/>
    </w:rPr>
  </w:style>
  <w:style w:type="character" w:customStyle="1" w:styleId="FooterChar">
    <w:name w:val="Footer Char"/>
    <w:basedOn w:val="DefaultParagraphFont"/>
    <w:link w:val="Footer"/>
    <w:uiPriority w:val="99"/>
    <w:rsid w:val="00F01946"/>
    <w:rPr>
      <w:sz w:val="24"/>
      <w:szCs w:val="24"/>
    </w:rPr>
  </w:style>
  <w:style w:type="character" w:styleId="CommentReference">
    <w:name w:val="annotation reference"/>
    <w:basedOn w:val="DefaultParagraphFont"/>
    <w:rsid w:val="00446C8A"/>
    <w:rPr>
      <w:sz w:val="16"/>
      <w:szCs w:val="16"/>
    </w:rPr>
  </w:style>
  <w:style w:type="paragraph" w:styleId="CommentText">
    <w:name w:val="annotation text"/>
    <w:basedOn w:val="Normal"/>
    <w:link w:val="CommentTextChar"/>
    <w:rsid w:val="00446C8A"/>
    <w:rPr>
      <w:sz w:val="20"/>
      <w:szCs w:val="20"/>
    </w:rPr>
  </w:style>
  <w:style w:type="character" w:customStyle="1" w:styleId="CommentTextChar">
    <w:name w:val="Comment Text Char"/>
    <w:basedOn w:val="DefaultParagraphFont"/>
    <w:link w:val="CommentText"/>
    <w:rsid w:val="00446C8A"/>
  </w:style>
  <w:style w:type="paragraph" w:styleId="CommentSubject">
    <w:name w:val="annotation subject"/>
    <w:basedOn w:val="CommentText"/>
    <w:next w:val="CommentText"/>
    <w:link w:val="CommentSubjectChar"/>
    <w:rsid w:val="00446C8A"/>
    <w:rPr>
      <w:b/>
      <w:bCs/>
    </w:rPr>
  </w:style>
  <w:style w:type="character" w:customStyle="1" w:styleId="CommentSubjectChar">
    <w:name w:val="Comment Subject Char"/>
    <w:basedOn w:val="CommentTextChar"/>
    <w:link w:val="CommentSubject"/>
    <w:rsid w:val="00446C8A"/>
    <w:rPr>
      <w:b/>
      <w:bCs/>
    </w:rPr>
  </w:style>
  <w:style w:type="paragraph" w:styleId="Revision">
    <w:name w:val="Revision"/>
    <w:hidden/>
    <w:uiPriority w:val="99"/>
    <w:semiHidden/>
    <w:rsid w:val="008802D4"/>
    <w:rPr>
      <w:sz w:val="24"/>
      <w:szCs w:val="24"/>
    </w:rPr>
  </w:style>
  <w:style w:type="paragraph" w:customStyle="1" w:styleId="Default">
    <w:name w:val="Default"/>
    <w:rsid w:val="000E09C2"/>
    <w:pPr>
      <w:autoSpaceDE w:val="0"/>
      <w:autoSpaceDN w:val="0"/>
      <w:adjustRightInd w:val="0"/>
    </w:pPr>
    <w:rPr>
      <w:rFonts w:ascii="Calibri" w:hAnsi="Calibri" w:cs="Calibri"/>
      <w:color w:val="000000"/>
      <w:sz w:val="24"/>
      <w:szCs w:val="24"/>
    </w:rPr>
  </w:style>
  <w:style w:type="paragraph" w:customStyle="1" w:styleId="Pa12">
    <w:name w:val="Pa12"/>
    <w:basedOn w:val="Default"/>
    <w:next w:val="Default"/>
    <w:uiPriority w:val="99"/>
    <w:rsid w:val="00A22F9C"/>
    <w:pPr>
      <w:spacing w:line="201" w:lineRule="atLeast"/>
    </w:pPr>
    <w:rPr>
      <w:rFonts w:ascii="Bliss 2 Light" w:hAnsi="Bliss 2 Light" w:cs="Times New Roman"/>
      <w:color w:val="auto"/>
    </w:rPr>
  </w:style>
  <w:style w:type="paragraph" w:styleId="TOC1">
    <w:name w:val="toc 1"/>
    <w:basedOn w:val="Normal"/>
    <w:next w:val="Normal"/>
    <w:autoRedefine/>
    <w:uiPriority w:val="39"/>
    <w:rsid w:val="003C0836"/>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487D"/>
    <w:rPr>
      <w:sz w:val="24"/>
      <w:szCs w:val="24"/>
    </w:rPr>
  </w:style>
  <w:style w:type="paragraph" w:styleId="Heading1">
    <w:name w:val="heading 1"/>
    <w:aliases w:val="Main Heading - Color"/>
    <w:basedOn w:val="Normal"/>
    <w:next w:val="Normal"/>
    <w:link w:val="Heading1Char"/>
    <w:qFormat/>
    <w:rsid w:val="00AE1853"/>
    <w:pPr>
      <w:keepNext/>
      <w:spacing w:before="120" w:after="360"/>
      <w:outlineLvl w:val="0"/>
    </w:pPr>
    <w:rPr>
      <w:rFonts w:ascii="Verdana" w:hAnsi="Verdana" w:cs="Arial"/>
      <w:b/>
      <w:bCs/>
      <w:color w:val="333399"/>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D5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FE7C76"/>
    <w:pPr>
      <w:tabs>
        <w:tab w:val="center" w:pos="4153"/>
        <w:tab w:val="right" w:pos="8306"/>
      </w:tabs>
    </w:pPr>
  </w:style>
  <w:style w:type="paragraph" w:styleId="Footer">
    <w:name w:val="footer"/>
    <w:basedOn w:val="Normal"/>
    <w:link w:val="FooterChar"/>
    <w:uiPriority w:val="99"/>
    <w:rsid w:val="00FE7C76"/>
    <w:pPr>
      <w:tabs>
        <w:tab w:val="center" w:pos="4153"/>
        <w:tab w:val="right" w:pos="8306"/>
      </w:tabs>
    </w:pPr>
  </w:style>
  <w:style w:type="character" w:styleId="PageNumber">
    <w:name w:val="page number"/>
    <w:basedOn w:val="DefaultParagraphFont"/>
    <w:rsid w:val="00FE7C76"/>
  </w:style>
  <w:style w:type="paragraph" w:styleId="BalloonText">
    <w:name w:val="Balloon Text"/>
    <w:basedOn w:val="Normal"/>
    <w:semiHidden/>
    <w:rsid w:val="000F5FC5"/>
    <w:rPr>
      <w:rFonts w:ascii="Tahoma" w:hAnsi="Tahoma" w:cs="Tahoma"/>
      <w:sz w:val="16"/>
      <w:szCs w:val="16"/>
    </w:rPr>
  </w:style>
  <w:style w:type="paragraph" w:styleId="ListParagraph">
    <w:name w:val="List Paragraph"/>
    <w:basedOn w:val="Normal"/>
    <w:uiPriority w:val="34"/>
    <w:qFormat/>
    <w:rsid w:val="00862F6C"/>
    <w:pPr>
      <w:spacing w:after="200" w:line="276" w:lineRule="auto"/>
      <w:ind w:left="720"/>
    </w:pPr>
    <w:rPr>
      <w:rFonts w:ascii="Verdana" w:eastAsia="Calibri" w:hAnsi="Verdana"/>
      <w:sz w:val="20"/>
      <w:szCs w:val="20"/>
      <w:lang w:eastAsia="en-US"/>
    </w:rPr>
  </w:style>
  <w:style w:type="paragraph" w:customStyle="1" w:styleId="msolistparagraph0">
    <w:name w:val="msolistparagraph"/>
    <w:basedOn w:val="Normal"/>
    <w:rsid w:val="00774ED6"/>
    <w:pPr>
      <w:ind w:left="720"/>
    </w:pPr>
    <w:rPr>
      <w:rFonts w:ascii="Verdana" w:hAnsi="Verdana"/>
      <w:sz w:val="20"/>
      <w:szCs w:val="20"/>
    </w:rPr>
  </w:style>
  <w:style w:type="character" w:customStyle="1" w:styleId="Heading1Char">
    <w:name w:val="Heading 1 Char"/>
    <w:aliases w:val="Main Heading - Color Char"/>
    <w:basedOn w:val="DefaultParagraphFont"/>
    <w:link w:val="Heading1"/>
    <w:rsid w:val="00AE1853"/>
    <w:rPr>
      <w:rFonts w:ascii="Verdana" w:hAnsi="Verdana" w:cs="Arial"/>
      <w:b/>
      <w:bCs/>
      <w:color w:val="333399"/>
      <w:sz w:val="24"/>
      <w:szCs w:val="24"/>
      <w:lang w:eastAsia="en-US"/>
    </w:rPr>
  </w:style>
  <w:style w:type="paragraph" w:customStyle="1" w:styleId="ChapterHeading">
    <w:name w:val="Chapter Heading"/>
    <w:basedOn w:val="Normal"/>
    <w:rsid w:val="00AE1853"/>
    <w:pPr>
      <w:pageBreakBefore/>
      <w:numPr>
        <w:numId w:val="1"/>
      </w:numPr>
      <w:pBdr>
        <w:top w:val="single" w:sz="4" w:space="0" w:color="FFCC99"/>
        <w:left w:val="single" w:sz="4" w:space="4" w:color="FFCC99"/>
        <w:bottom w:val="single" w:sz="4" w:space="1" w:color="FFCC99"/>
        <w:right w:val="single" w:sz="4" w:space="4" w:color="FFCC99"/>
      </w:pBdr>
      <w:shd w:val="clear" w:color="auto" w:fill="B3E2FF"/>
    </w:pPr>
    <w:rPr>
      <w:rFonts w:ascii="Verdana" w:hAnsi="Verdana"/>
      <w:bCs/>
      <w:sz w:val="28"/>
      <w:szCs w:val="20"/>
      <w:lang w:eastAsia="en-US"/>
    </w:rPr>
  </w:style>
  <w:style w:type="paragraph" w:customStyle="1" w:styleId="Paragrapgh">
    <w:name w:val="Paragrapgh"/>
    <w:basedOn w:val="Normal"/>
    <w:qFormat/>
    <w:rsid w:val="00AE1853"/>
    <w:pPr>
      <w:numPr>
        <w:ilvl w:val="1"/>
        <w:numId w:val="1"/>
      </w:numPr>
      <w:spacing w:before="360" w:after="360"/>
    </w:pPr>
    <w:rPr>
      <w:rFonts w:ascii="Verdana" w:hAnsi="Verdana"/>
      <w:sz w:val="20"/>
      <w:szCs w:val="20"/>
      <w:lang w:eastAsia="en-US"/>
    </w:rPr>
  </w:style>
  <w:style w:type="character" w:styleId="Hyperlink">
    <w:name w:val="Hyperlink"/>
    <w:basedOn w:val="DefaultParagraphFont"/>
    <w:uiPriority w:val="99"/>
    <w:unhideWhenUsed/>
    <w:rsid w:val="00266035"/>
    <w:rPr>
      <w:color w:val="0000FF"/>
      <w:u w:val="single"/>
    </w:rPr>
  </w:style>
  <w:style w:type="character" w:customStyle="1" w:styleId="FooterChar">
    <w:name w:val="Footer Char"/>
    <w:basedOn w:val="DefaultParagraphFont"/>
    <w:link w:val="Footer"/>
    <w:uiPriority w:val="99"/>
    <w:rsid w:val="00F01946"/>
    <w:rPr>
      <w:sz w:val="24"/>
      <w:szCs w:val="24"/>
    </w:rPr>
  </w:style>
  <w:style w:type="character" w:styleId="CommentReference">
    <w:name w:val="annotation reference"/>
    <w:basedOn w:val="DefaultParagraphFont"/>
    <w:rsid w:val="00446C8A"/>
    <w:rPr>
      <w:sz w:val="16"/>
      <w:szCs w:val="16"/>
    </w:rPr>
  </w:style>
  <w:style w:type="paragraph" w:styleId="CommentText">
    <w:name w:val="annotation text"/>
    <w:basedOn w:val="Normal"/>
    <w:link w:val="CommentTextChar"/>
    <w:rsid w:val="00446C8A"/>
    <w:rPr>
      <w:sz w:val="20"/>
      <w:szCs w:val="20"/>
    </w:rPr>
  </w:style>
  <w:style w:type="character" w:customStyle="1" w:styleId="CommentTextChar">
    <w:name w:val="Comment Text Char"/>
    <w:basedOn w:val="DefaultParagraphFont"/>
    <w:link w:val="CommentText"/>
    <w:rsid w:val="00446C8A"/>
  </w:style>
  <w:style w:type="paragraph" w:styleId="CommentSubject">
    <w:name w:val="annotation subject"/>
    <w:basedOn w:val="CommentText"/>
    <w:next w:val="CommentText"/>
    <w:link w:val="CommentSubjectChar"/>
    <w:rsid w:val="00446C8A"/>
    <w:rPr>
      <w:b/>
      <w:bCs/>
    </w:rPr>
  </w:style>
  <w:style w:type="character" w:customStyle="1" w:styleId="CommentSubjectChar">
    <w:name w:val="Comment Subject Char"/>
    <w:basedOn w:val="CommentTextChar"/>
    <w:link w:val="CommentSubject"/>
    <w:rsid w:val="00446C8A"/>
    <w:rPr>
      <w:b/>
      <w:bCs/>
    </w:rPr>
  </w:style>
  <w:style w:type="paragraph" w:styleId="Revision">
    <w:name w:val="Revision"/>
    <w:hidden/>
    <w:uiPriority w:val="99"/>
    <w:semiHidden/>
    <w:rsid w:val="008802D4"/>
    <w:rPr>
      <w:sz w:val="24"/>
      <w:szCs w:val="24"/>
    </w:rPr>
  </w:style>
  <w:style w:type="paragraph" w:customStyle="1" w:styleId="Default">
    <w:name w:val="Default"/>
    <w:rsid w:val="000E09C2"/>
    <w:pPr>
      <w:autoSpaceDE w:val="0"/>
      <w:autoSpaceDN w:val="0"/>
      <w:adjustRightInd w:val="0"/>
    </w:pPr>
    <w:rPr>
      <w:rFonts w:ascii="Calibri" w:hAnsi="Calibri" w:cs="Calibri"/>
      <w:color w:val="000000"/>
      <w:sz w:val="24"/>
      <w:szCs w:val="24"/>
    </w:rPr>
  </w:style>
  <w:style w:type="paragraph" w:customStyle="1" w:styleId="Pa12">
    <w:name w:val="Pa12"/>
    <w:basedOn w:val="Default"/>
    <w:next w:val="Default"/>
    <w:uiPriority w:val="99"/>
    <w:rsid w:val="00A22F9C"/>
    <w:pPr>
      <w:spacing w:line="201" w:lineRule="atLeast"/>
    </w:pPr>
    <w:rPr>
      <w:rFonts w:ascii="Bliss 2 Light" w:hAnsi="Bliss 2 Light" w:cs="Times New Roman"/>
      <w:color w:val="auto"/>
    </w:rPr>
  </w:style>
  <w:style w:type="paragraph" w:styleId="TOC1">
    <w:name w:val="toc 1"/>
    <w:basedOn w:val="Normal"/>
    <w:next w:val="Normal"/>
    <w:autoRedefine/>
    <w:uiPriority w:val="39"/>
    <w:rsid w:val="003C0836"/>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458120">
      <w:bodyDiv w:val="1"/>
      <w:marLeft w:val="0"/>
      <w:marRight w:val="0"/>
      <w:marTop w:val="0"/>
      <w:marBottom w:val="0"/>
      <w:divBdr>
        <w:top w:val="none" w:sz="0" w:space="0" w:color="auto"/>
        <w:left w:val="none" w:sz="0" w:space="0" w:color="auto"/>
        <w:bottom w:val="none" w:sz="0" w:space="0" w:color="auto"/>
        <w:right w:val="none" w:sz="0" w:space="0" w:color="auto"/>
      </w:divBdr>
    </w:div>
    <w:div w:id="258414820">
      <w:bodyDiv w:val="1"/>
      <w:marLeft w:val="0"/>
      <w:marRight w:val="0"/>
      <w:marTop w:val="0"/>
      <w:marBottom w:val="0"/>
      <w:divBdr>
        <w:top w:val="none" w:sz="0" w:space="0" w:color="auto"/>
        <w:left w:val="none" w:sz="0" w:space="0" w:color="auto"/>
        <w:bottom w:val="none" w:sz="0" w:space="0" w:color="auto"/>
        <w:right w:val="none" w:sz="0" w:space="0" w:color="auto"/>
      </w:divBdr>
    </w:div>
    <w:div w:id="273680911">
      <w:bodyDiv w:val="1"/>
      <w:marLeft w:val="0"/>
      <w:marRight w:val="0"/>
      <w:marTop w:val="0"/>
      <w:marBottom w:val="0"/>
      <w:divBdr>
        <w:top w:val="none" w:sz="0" w:space="0" w:color="auto"/>
        <w:left w:val="none" w:sz="0" w:space="0" w:color="auto"/>
        <w:bottom w:val="none" w:sz="0" w:space="0" w:color="auto"/>
        <w:right w:val="none" w:sz="0" w:space="0" w:color="auto"/>
      </w:divBdr>
    </w:div>
    <w:div w:id="298458758">
      <w:bodyDiv w:val="1"/>
      <w:marLeft w:val="0"/>
      <w:marRight w:val="0"/>
      <w:marTop w:val="0"/>
      <w:marBottom w:val="0"/>
      <w:divBdr>
        <w:top w:val="none" w:sz="0" w:space="0" w:color="auto"/>
        <w:left w:val="none" w:sz="0" w:space="0" w:color="auto"/>
        <w:bottom w:val="none" w:sz="0" w:space="0" w:color="auto"/>
        <w:right w:val="none" w:sz="0" w:space="0" w:color="auto"/>
      </w:divBdr>
    </w:div>
    <w:div w:id="304897373">
      <w:bodyDiv w:val="1"/>
      <w:marLeft w:val="0"/>
      <w:marRight w:val="0"/>
      <w:marTop w:val="0"/>
      <w:marBottom w:val="0"/>
      <w:divBdr>
        <w:top w:val="none" w:sz="0" w:space="0" w:color="auto"/>
        <w:left w:val="none" w:sz="0" w:space="0" w:color="auto"/>
        <w:bottom w:val="none" w:sz="0" w:space="0" w:color="auto"/>
        <w:right w:val="none" w:sz="0" w:space="0" w:color="auto"/>
      </w:divBdr>
    </w:div>
    <w:div w:id="395670318">
      <w:bodyDiv w:val="1"/>
      <w:marLeft w:val="0"/>
      <w:marRight w:val="0"/>
      <w:marTop w:val="0"/>
      <w:marBottom w:val="0"/>
      <w:divBdr>
        <w:top w:val="none" w:sz="0" w:space="0" w:color="auto"/>
        <w:left w:val="none" w:sz="0" w:space="0" w:color="auto"/>
        <w:bottom w:val="none" w:sz="0" w:space="0" w:color="auto"/>
        <w:right w:val="none" w:sz="0" w:space="0" w:color="auto"/>
      </w:divBdr>
    </w:div>
    <w:div w:id="535973682">
      <w:bodyDiv w:val="1"/>
      <w:marLeft w:val="0"/>
      <w:marRight w:val="0"/>
      <w:marTop w:val="0"/>
      <w:marBottom w:val="0"/>
      <w:divBdr>
        <w:top w:val="none" w:sz="0" w:space="0" w:color="auto"/>
        <w:left w:val="none" w:sz="0" w:space="0" w:color="auto"/>
        <w:bottom w:val="none" w:sz="0" w:space="0" w:color="auto"/>
        <w:right w:val="none" w:sz="0" w:space="0" w:color="auto"/>
      </w:divBdr>
    </w:div>
    <w:div w:id="585463162">
      <w:bodyDiv w:val="1"/>
      <w:marLeft w:val="0"/>
      <w:marRight w:val="0"/>
      <w:marTop w:val="0"/>
      <w:marBottom w:val="0"/>
      <w:divBdr>
        <w:top w:val="none" w:sz="0" w:space="0" w:color="auto"/>
        <w:left w:val="none" w:sz="0" w:space="0" w:color="auto"/>
        <w:bottom w:val="none" w:sz="0" w:space="0" w:color="auto"/>
        <w:right w:val="none" w:sz="0" w:space="0" w:color="auto"/>
      </w:divBdr>
    </w:div>
    <w:div w:id="701243075">
      <w:bodyDiv w:val="1"/>
      <w:marLeft w:val="0"/>
      <w:marRight w:val="0"/>
      <w:marTop w:val="0"/>
      <w:marBottom w:val="0"/>
      <w:divBdr>
        <w:top w:val="none" w:sz="0" w:space="0" w:color="auto"/>
        <w:left w:val="none" w:sz="0" w:space="0" w:color="auto"/>
        <w:bottom w:val="none" w:sz="0" w:space="0" w:color="auto"/>
        <w:right w:val="none" w:sz="0" w:space="0" w:color="auto"/>
      </w:divBdr>
    </w:div>
    <w:div w:id="745613118">
      <w:bodyDiv w:val="1"/>
      <w:marLeft w:val="0"/>
      <w:marRight w:val="0"/>
      <w:marTop w:val="0"/>
      <w:marBottom w:val="0"/>
      <w:divBdr>
        <w:top w:val="none" w:sz="0" w:space="0" w:color="auto"/>
        <w:left w:val="none" w:sz="0" w:space="0" w:color="auto"/>
        <w:bottom w:val="none" w:sz="0" w:space="0" w:color="auto"/>
        <w:right w:val="none" w:sz="0" w:space="0" w:color="auto"/>
      </w:divBdr>
    </w:div>
    <w:div w:id="857696425">
      <w:bodyDiv w:val="1"/>
      <w:marLeft w:val="0"/>
      <w:marRight w:val="0"/>
      <w:marTop w:val="0"/>
      <w:marBottom w:val="0"/>
      <w:divBdr>
        <w:top w:val="none" w:sz="0" w:space="0" w:color="auto"/>
        <w:left w:val="none" w:sz="0" w:space="0" w:color="auto"/>
        <w:bottom w:val="none" w:sz="0" w:space="0" w:color="auto"/>
        <w:right w:val="none" w:sz="0" w:space="0" w:color="auto"/>
      </w:divBdr>
    </w:div>
    <w:div w:id="922493102">
      <w:bodyDiv w:val="1"/>
      <w:marLeft w:val="0"/>
      <w:marRight w:val="0"/>
      <w:marTop w:val="0"/>
      <w:marBottom w:val="0"/>
      <w:divBdr>
        <w:top w:val="none" w:sz="0" w:space="0" w:color="auto"/>
        <w:left w:val="none" w:sz="0" w:space="0" w:color="auto"/>
        <w:bottom w:val="none" w:sz="0" w:space="0" w:color="auto"/>
        <w:right w:val="none" w:sz="0" w:space="0" w:color="auto"/>
      </w:divBdr>
    </w:div>
    <w:div w:id="1032878618">
      <w:bodyDiv w:val="1"/>
      <w:marLeft w:val="0"/>
      <w:marRight w:val="0"/>
      <w:marTop w:val="0"/>
      <w:marBottom w:val="0"/>
      <w:divBdr>
        <w:top w:val="none" w:sz="0" w:space="0" w:color="auto"/>
        <w:left w:val="none" w:sz="0" w:space="0" w:color="auto"/>
        <w:bottom w:val="none" w:sz="0" w:space="0" w:color="auto"/>
        <w:right w:val="none" w:sz="0" w:space="0" w:color="auto"/>
      </w:divBdr>
    </w:div>
    <w:div w:id="1183932230">
      <w:bodyDiv w:val="1"/>
      <w:marLeft w:val="0"/>
      <w:marRight w:val="0"/>
      <w:marTop w:val="0"/>
      <w:marBottom w:val="0"/>
      <w:divBdr>
        <w:top w:val="none" w:sz="0" w:space="0" w:color="auto"/>
        <w:left w:val="none" w:sz="0" w:space="0" w:color="auto"/>
        <w:bottom w:val="none" w:sz="0" w:space="0" w:color="auto"/>
        <w:right w:val="none" w:sz="0" w:space="0" w:color="auto"/>
      </w:divBdr>
    </w:div>
    <w:div w:id="1225797100">
      <w:bodyDiv w:val="1"/>
      <w:marLeft w:val="0"/>
      <w:marRight w:val="0"/>
      <w:marTop w:val="0"/>
      <w:marBottom w:val="0"/>
      <w:divBdr>
        <w:top w:val="none" w:sz="0" w:space="0" w:color="auto"/>
        <w:left w:val="none" w:sz="0" w:space="0" w:color="auto"/>
        <w:bottom w:val="none" w:sz="0" w:space="0" w:color="auto"/>
        <w:right w:val="none" w:sz="0" w:space="0" w:color="auto"/>
      </w:divBdr>
    </w:div>
    <w:div w:id="1263302974">
      <w:bodyDiv w:val="1"/>
      <w:marLeft w:val="0"/>
      <w:marRight w:val="0"/>
      <w:marTop w:val="0"/>
      <w:marBottom w:val="0"/>
      <w:divBdr>
        <w:top w:val="none" w:sz="0" w:space="0" w:color="auto"/>
        <w:left w:val="none" w:sz="0" w:space="0" w:color="auto"/>
        <w:bottom w:val="none" w:sz="0" w:space="0" w:color="auto"/>
        <w:right w:val="none" w:sz="0" w:space="0" w:color="auto"/>
      </w:divBdr>
    </w:div>
    <w:div w:id="1444497521">
      <w:bodyDiv w:val="1"/>
      <w:marLeft w:val="0"/>
      <w:marRight w:val="0"/>
      <w:marTop w:val="0"/>
      <w:marBottom w:val="0"/>
      <w:divBdr>
        <w:top w:val="none" w:sz="0" w:space="0" w:color="auto"/>
        <w:left w:val="none" w:sz="0" w:space="0" w:color="auto"/>
        <w:bottom w:val="none" w:sz="0" w:space="0" w:color="auto"/>
        <w:right w:val="none" w:sz="0" w:space="0" w:color="auto"/>
      </w:divBdr>
    </w:div>
    <w:div w:id="1543664208">
      <w:bodyDiv w:val="1"/>
      <w:marLeft w:val="0"/>
      <w:marRight w:val="0"/>
      <w:marTop w:val="0"/>
      <w:marBottom w:val="0"/>
      <w:divBdr>
        <w:top w:val="none" w:sz="0" w:space="0" w:color="auto"/>
        <w:left w:val="none" w:sz="0" w:space="0" w:color="auto"/>
        <w:bottom w:val="none" w:sz="0" w:space="0" w:color="auto"/>
        <w:right w:val="none" w:sz="0" w:space="0" w:color="auto"/>
      </w:divBdr>
    </w:div>
    <w:div w:id="1558904852">
      <w:bodyDiv w:val="1"/>
      <w:marLeft w:val="0"/>
      <w:marRight w:val="0"/>
      <w:marTop w:val="0"/>
      <w:marBottom w:val="0"/>
      <w:divBdr>
        <w:top w:val="none" w:sz="0" w:space="0" w:color="auto"/>
        <w:left w:val="none" w:sz="0" w:space="0" w:color="auto"/>
        <w:bottom w:val="none" w:sz="0" w:space="0" w:color="auto"/>
        <w:right w:val="none" w:sz="0" w:space="0" w:color="auto"/>
      </w:divBdr>
    </w:div>
    <w:div w:id="1610352560">
      <w:bodyDiv w:val="1"/>
      <w:marLeft w:val="0"/>
      <w:marRight w:val="0"/>
      <w:marTop w:val="0"/>
      <w:marBottom w:val="0"/>
      <w:divBdr>
        <w:top w:val="none" w:sz="0" w:space="0" w:color="auto"/>
        <w:left w:val="none" w:sz="0" w:space="0" w:color="auto"/>
        <w:bottom w:val="none" w:sz="0" w:space="0" w:color="auto"/>
        <w:right w:val="none" w:sz="0" w:space="0" w:color="auto"/>
      </w:divBdr>
    </w:div>
    <w:div w:id="1691375116">
      <w:bodyDiv w:val="1"/>
      <w:marLeft w:val="0"/>
      <w:marRight w:val="0"/>
      <w:marTop w:val="0"/>
      <w:marBottom w:val="0"/>
      <w:divBdr>
        <w:top w:val="none" w:sz="0" w:space="0" w:color="auto"/>
        <w:left w:val="none" w:sz="0" w:space="0" w:color="auto"/>
        <w:bottom w:val="none" w:sz="0" w:space="0" w:color="auto"/>
        <w:right w:val="none" w:sz="0" w:space="0" w:color="auto"/>
      </w:divBdr>
    </w:div>
    <w:div w:id="1694725698">
      <w:bodyDiv w:val="1"/>
      <w:marLeft w:val="0"/>
      <w:marRight w:val="0"/>
      <w:marTop w:val="0"/>
      <w:marBottom w:val="0"/>
      <w:divBdr>
        <w:top w:val="none" w:sz="0" w:space="0" w:color="auto"/>
        <w:left w:val="none" w:sz="0" w:space="0" w:color="auto"/>
        <w:bottom w:val="none" w:sz="0" w:space="0" w:color="auto"/>
        <w:right w:val="none" w:sz="0" w:space="0" w:color="auto"/>
      </w:divBdr>
    </w:div>
    <w:div w:id="1819112073">
      <w:bodyDiv w:val="1"/>
      <w:marLeft w:val="0"/>
      <w:marRight w:val="0"/>
      <w:marTop w:val="0"/>
      <w:marBottom w:val="0"/>
      <w:divBdr>
        <w:top w:val="none" w:sz="0" w:space="0" w:color="auto"/>
        <w:left w:val="none" w:sz="0" w:space="0" w:color="auto"/>
        <w:bottom w:val="none" w:sz="0" w:space="0" w:color="auto"/>
        <w:right w:val="none" w:sz="0" w:space="0" w:color="auto"/>
      </w:divBdr>
    </w:div>
    <w:div w:id="1952977253">
      <w:bodyDiv w:val="1"/>
      <w:marLeft w:val="0"/>
      <w:marRight w:val="0"/>
      <w:marTop w:val="0"/>
      <w:marBottom w:val="0"/>
      <w:divBdr>
        <w:top w:val="none" w:sz="0" w:space="0" w:color="auto"/>
        <w:left w:val="none" w:sz="0" w:space="0" w:color="auto"/>
        <w:bottom w:val="none" w:sz="0" w:space="0" w:color="auto"/>
        <w:right w:val="none" w:sz="0" w:space="0" w:color="auto"/>
      </w:divBdr>
    </w:div>
    <w:div w:id="1954749304">
      <w:bodyDiv w:val="1"/>
      <w:marLeft w:val="0"/>
      <w:marRight w:val="0"/>
      <w:marTop w:val="0"/>
      <w:marBottom w:val="0"/>
      <w:divBdr>
        <w:top w:val="none" w:sz="0" w:space="0" w:color="auto"/>
        <w:left w:val="none" w:sz="0" w:space="0" w:color="auto"/>
        <w:bottom w:val="none" w:sz="0" w:space="0" w:color="auto"/>
        <w:right w:val="none" w:sz="0" w:space="0" w:color="auto"/>
      </w:divBdr>
    </w:div>
    <w:div w:id="1970940604">
      <w:bodyDiv w:val="1"/>
      <w:marLeft w:val="0"/>
      <w:marRight w:val="0"/>
      <w:marTop w:val="0"/>
      <w:marBottom w:val="0"/>
      <w:divBdr>
        <w:top w:val="none" w:sz="0" w:space="0" w:color="auto"/>
        <w:left w:val="none" w:sz="0" w:space="0" w:color="auto"/>
        <w:bottom w:val="none" w:sz="0" w:space="0" w:color="auto"/>
        <w:right w:val="none" w:sz="0" w:space="0" w:color="auto"/>
      </w:divBdr>
    </w:div>
    <w:div w:id="1972787622">
      <w:bodyDiv w:val="1"/>
      <w:marLeft w:val="0"/>
      <w:marRight w:val="0"/>
      <w:marTop w:val="0"/>
      <w:marBottom w:val="0"/>
      <w:divBdr>
        <w:top w:val="none" w:sz="0" w:space="0" w:color="auto"/>
        <w:left w:val="none" w:sz="0" w:space="0" w:color="auto"/>
        <w:bottom w:val="none" w:sz="0" w:space="0" w:color="auto"/>
        <w:right w:val="none" w:sz="0" w:space="0" w:color="auto"/>
      </w:divBdr>
    </w:div>
    <w:div w:id="1986621605">
      <w:bodyDiv w:val="1"/>
      <w:marLeft w:val="0"/>
      <w:marRight w:val="0"/>
      <w:marTop w:val="0"/>
      <w:marBottom w:val="0"/>
      <w:divBdr>
        <w:top w:val="none" w:sz="0" w:space="0" w:color="auto"/>
        <w:left w:val="none" w:sz="0" w:space="0" w:color="auto"/>
        <w:bottom w:val="none" w:sz="0" w:space="0" w:color="auto"/>
        <w:right w:val="none" w:sz="0" w:space="0" w:color="auto"/>
      </w:divBdr>
    </w:div>
    <w:div w:id="2063362703">
      <w:bodyDiv w:val="1"/>
      <w:marLeft w:val="0"/>
      <w:marRight w:val="0"/>
      <w:marTop w:val="0"/>
      <w:marBottom w:val="0"/>
      <w:divBdr>
        <w:top w:val="none" w:sz="0" w:space="0" w:color="auto"/>
        <w:left w:val="none" w:sz="0" w:space="0" w:color="auto"/>
        <w:bottom w:val="none" w:sz="0" w:space="0" w:color="auto"/>
        <w:right w:val="none" w:sz="0" w:space="0" w:color="auto"/>
      </w:divBdr>
    </w:div>
    <w:div w:id="2064675966">
      <w:bodyDiv w:val="1"/>
      <w:marLeft w:val="0"/>
      <w:marRight w:val="0"/>
      <w:marTop w:val="0"/>
      <w:marBottom w:val="0"/>
      <w:divBdr>
        <w:top w:val="none" w:sz="0" w:space="0" w:color="auto"/>
        <w:left w:val="none" w:sz="0" w:space="0" w:color="auto"/>
        <w:bottom w:val="none" w:sz="0" w:space="0" w:color="auto"/>
        <w:right w:val="none" w:sz="0" w:space="0" w:color="auto"/>
      </w:divBdr>
    </w:div>
    <w:div w:id="2106798682">
      <w:bodyDiv w:val="1"/>
      <w:marLeft w:val="0"/>
      <w:marRight w:val="0"/>
      <w:marTop w:val="0"/>
      <w:marBottom w:val="0"/>
      <w:divBdr>
        <w:top w:val="none" w:sz="0" w:space="0" w:color="auto"/>
        <w:left w:val="none" w:sz="0" w:space="0" w:color="auto"/>
        <w:bottom w:val="none" w:sz="0" w:space="0" w:color="auto"/>
        <w:right w:val="none" w:sz="0" w:space="0" w:color="auto"/>
      </w:divBdr>
    </w:div>
    <w:div w:id="21321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microsoft.com/office/2007/relationships/stylesWithEffects" Target="stylesWithEffect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documentManagement>
    <_Status xmlns="http://schemas.microsoft.com/sharepoint/v3/fields">Draft</_Status>
    <Classification xmlns="631298fc-6a88-4548-b7d9-3b164918c4a3">Unclassified</Classification>
    <Descriptor xmlns="631298fc-6a88-4548-b7d9-3b164918c4a3">Commercial</Descriptor>
    <Recipient xmlns="631298fc-6a88-4548-b7d9-3b164918c4a3" xsi:nil="true"/>
    <Ref_x0020_No xmlns="631298fc-6a88-4548-b7d9-3b164918c4a3" xsi:nil="true"/>
    <_x003a_ xmlns="631298fc-6a88-4548-b7d9-3b164918c4a3" xsi:nil="true"/>
    <_x003a__x003a_ xmlns="631298fc-6a88-4548-b7d9-3b164918c4a3">-Main Document</_x003a__x003a_>
    <Publication_x0020_Date_x003a_ xmlns="631298fc-6a88-4548-b7d9-3b164918c4a3">2015-11-04T10:47:22+00:00</Publication_x0020_Date_x003a_>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69773578-b348-4185-91b0-0c3a7eda8d2a" ContentTypeId="0x01010062488AB1AA15E14D84DFA7E22D330EDE" PreviousValue="false"/>
</file>

<file path=customXml/item5.xml><?xml version="1.0" encoding="utf-8"?>
<ct:contentTypeSchema xmlns:ct="http://schemas.microsoft.com/office/2006/metadata/contentType" xmlns:ma="http://schemas.microsoft.com/office/2006/metadata/properties/metaAttributes" ct:_="" ma:_="" ma:contentTypeName="OfgemExternalPublication" ma:contentTypeID="0x01010062488AB1AA15E14D84DFA7E22D330EDE00A10DDC8B10A8BB419D1F7A795026A071" ma:contentTypeVersion="4" ma:contentTypeDescription="Documents published externally eg Consultation" ma:contentTypeScope="" ma:versionID="428479e9b5fab85c82a628630dbedadf">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2c7365f9bfad669809a12b91756adaa5" ns2:_="" ns3:_="">
    <xsd:import namespace="631298fc-6a88-4548-b7d9-3b164918c4a3"/>
    <xsd:import namespace="http://schemas.microsoft.com/sharepoint/v3/fields"/>
    <xsd:element name="properties">
      <xsd:complexType>
        <xsd:sequence>
          <xsd:element name="documentManagement">
            <xsd:complexType>
              <xsd:all>
                <xsd:element ref="ns2:_x003a_" minOccurs="0"/>
                <xsd:element ref="ns2:_x003a__x003a_" minOccurs="0"/>
                <xsd:element ref="ns2:Ref_x0020_No" minOccurs="0"/>
                <xsd:element ref="ns2:Recipient" minOccurs="0"/>
                <xsd:element ref="ns2:Classification" minOccurs="0"/>
                <xsd:element ref="ns2:Descriptor" minOccurs="0"/>
                <xsd:element ref="ns3:_Status" minOccurs="0"/>
                <xsd:element ref="ns2:Publication_x0020_Date_x003a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_x003a_" ma:index="8"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9"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Ref_x0020_No" ma:index="10" nillable="true" ma:displayName="Ref No" ma:description="Generally the Ofgem Reference Number assigned by Comms for external publication" ma:internalName="Ref_x0020_No">
      <xsd:simpleType>
        <xsd:restriction base="dms:Text">
          <xsd:maxLength value="255"/>
        </xsd:restriction>
      </xsd:simpleType>
    </xsd:element>
    <xsd:element name="Recipient" ma:index="11" nillable="true" ma:displayName="Recipient" ma:description="Internal or external person(s) or group (eg Exec, SMT or Authority).  For Legal Advice put recipient of advice." ma:internalName="Recipient">
      <xsd:simpleType>
        <xsd:restriction base="dms:Text">
          <xsd:maxLength value="255"/>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element name="Publication_x0020_Date_x003a_" ma:index="15" nillable="true" ma:displayName="Publication Date:" ma:default="[today]" ma:description="The Publication Date" ma:format="DateOnly" ma:internalName="Publication_x0020_Date_x003A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4"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sisl xmlns:xsi="http://www.w3.org/2001/XMLSchema-instance" xmlns:xsd="http://www.w3.org/2001/XMLSchema" xmlns="http://www.boldonjames.com/2008/01/sie/internal/label" sislVersion="0" policy="973096ae-7329-4b3b-9368-47aeba6959e1"/>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5E0C1-3C9A-4F28-B81A-AD864FCFF334}"/>
</file>

<file path=customXml/itemProps2.xml><?xml version="1.0" encoding="utf-8"?>
<ds:datastoreItem xmlns:ds="http://schemas.openxmlformats.org/officeDocument/2006/customXml" ds:itemID="{14FCC9A8-F196-4863-8627-8BC5418ED818}"/>
</file>

<file path=customXml/itemProps3.xml><?xml version="1.0" encoding="utf-8"?>
<ds:datastoreItem xmlns:ds="http://schemas.openxmlformats.org/officeDocument/2006/customXml" ds:itemID="{AA765449-064B-4268-A62F-732B0CCBBC23}"/>
</file>

<file path=customXml/itemProps4.xml><?xml version="1.0" encoding="utf-8"?>
<ds:datastoreItem xmlns:ds="http://schemas.openxmlformats.org/officeDocument/2006/customXml" ds:itemID="{39E4C5BC-8950-444C-AB9E-46937150813A}"/>
</file>

<file path=customXml/itemProps5.xml><?xml version="1.0" encoding="utf-8"?>
<ds:datastoreItem xmlns:ds="http://schemas.openxmlformats.org/officeDocument/2006/customXml" ds:itemID="{EB5112B8-2C97-44E4-8E3D-E02029D44E25}"/>
</file>

<file path=customXml/itemProps6.xml><?xml version="1.0" encoding="utf-8"?>
<ds:datastoreItem xmlns:ds="http://schemas.openxmlformats.org/officeDocument/2006/customXml" ds:itemID="{148BD56E-1E05-410B-9032-7B10E79F4D2E}"/>
</file>

<file path=customXml/itemProps7.xml><?xml version="1.0" encoding="utf-8"?>
<ds:datastoreItem xmlns:ds="http://schemas.openxmlformats.org/officeDocument/2006/customXml" ds:itemID="{D8B3B1AE-20F4-4FB8-B784-1D6006064357}"/>
</file>

<file path=docProps/app.xml><?xml version="1.0" encoding="utf-8"?>
<Properties xmlns="http://schemas.openxmlformats.org/officeDocument/2006/extended-properties" xmlns:vt="http://schemas.openxmlformats.org/officeDocument/2006/docPropsVTypes">
  <Template>Normal</Template>
  <TotalTime>19</TotalTime>
  <Pages>7</Pages>
  <Words>1223</Words>
  <Characters>7685</Characters>
  <Application>Microsoft Office Word</Application>
  <DocSecurity>0</DocSecurity>
  <Lines>320</Lines>
  <Paragraphs>122</Paragraphs>
  <ScaleCrop>false</ScaleCrop>
  <HeadingPairs>
    <vt:vector size="2" baseType="variant">
      <vt:variant>
        <vt:lpstr>Title</vt:lpstr>
      </vt:variant>
      <vt:variant>
        <vt:i4>1</vt:i4>
      </vt:variant>
    </vt:vector>
  </HeadingPairs>
  <TitlesOfParts>
    <vt:vector size="1" baseType="lpstr">
      <vt:lpstr/>
    </vt:vector>
  </TitlesOfParts>
  <Company>OFGEM</Company>
  <LinksUpToDate>false</LinksUpToDate>
  <CharactersWithSpaces>8786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Hogan</dc:creator>
  <cp:lastModifiedBy>Tessa Quinton</cp:lastModifiedBy>
  <cp:revision>7</cp:revision>
  <cp:lastPrinted>2015-02-25T17:35:00Z</cp:lastPrinted>
  <dcterms:created xsi:type="dcterms:W3CDTF">2015-04-22T09:06:00Z</dcterms:created>
  <dcterms:modified xsi:type="dcterms:W3CDTF">2016-03-25T17:14:00Z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0x01010062488AB1AA15E14D84DFA7E22D330EDE00A10DDC8B10A8BB419D1F7A795026A071</vt:lpwstr>
  </property>
  <property fmtid="{D5CDD505-2E9C-101B-9397-08002B2CF9AE}" pid="3" name="ContentType">
    <vt:lpwstr>Information</vt:lpwstr>
  </property>
  <property fmtid="{D5CDD505-2E9C-101B-9397-08002B2CF9AE}" pid="4" name="Order">
    <vt:r8>2054300</vt:r8>
  </property>
  <property fmtid="{D5CDD505-2E9C-101B-9397-08002B2CF9AE}" pid="5" name="::">
    <vt:lpwstr>-Main Document</vt:lpwstr>
  </property>
  <property fmtid="{D5CDD505-2E9C-101B-9397-08002B2CF9AE}" pid="6" name="Organisation">
    <vt:lpwstr>Elec DNO</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11" name="docIndexRef">
    <vt:lpwstr>a83dcf8e-0d1a-4cd8-a323-45250330cac7</vt:lpwstr>
  </property>
  <property fmtid="{D5CDD505-2E9C-101B-9397-08002B2CF9AE}" pid="12" name="bjSaver">
    <vt:lpwstr>bmhr3xLztmk6DQfcAhbjz8OIXSgTuyrs</vt:lpwstr>
  </property>
  <property fmtid="{D5CDD505-2E9C-101B-9397-08002B2CF9AE}" pid="13" name="bjDocumentSecurityLabel">
    <vt:lpwstr>This item has no classification</vt:lpwstr>
  </property>
</Properties>
</file>