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ED" w:rsidRPr="00D16AED" w:rsidRDefault="00D16AED" w:rsidP="00D16AED">
      <w:pPr>
        <w:autoSpaceDE w:val="0"/>
        <w:autoSpaceDN w:val="0"/>
        <w:adjustRightInd w:val="0"/>
        <w:rPr>
          <w:rStyle w:val="Text-Bold"/>
          <w:rFonts w:cs="Verdana"/>
          <w:color w:val="FF0000"/>
          <w:sz w:val="28"/>
          <w:szCs w:val="28"/>
        </w:rPr>
      </w:pPr>
      <w:r>
        <w:rPr>
          <w:rStyle w:val="Text-Bold"/>
        </w:rPr>
        <w:t xml:space="preserve">To: </w:t>
      </w:r>
      <w:r>
        <w:rPr>
          <w:rFonts w:cs="Verdana"/>
          <w:b/>
          <w:bCs/>
          <w:color w:val="000000"/>
          <w:sz w:val="19"/>
          <w:szCs w:val="19"/>
        </w:rPr>
        <w:t xml:space="preserve">National Grid Electricity Transmission plc </w:t>
      </w:r>
    </w:p>
    <w:p w:rsidR="00D16AED" w:rsidRDefault="00D16AED" w:rsidP="00E91336">
      <w:pPr>
        <w:pStyle w:val="Text-Centered"/>
        <w:rPr>
          <w:rStyle w:val="Text-Bold"/>
        </w:rPr>
      </w:pPr>
    </w:p>
    <w:p w:rsidR="00E91336" w:rsidRPr="004112B0" w:rsidRDefault="00E91336" w:rsidP="00E91336">
      <w:pPr>
        <w:pStyle w:val="Text-Centered"/>
        <w:rPr>
          <w:rStyle w:val="Text-Bold"/>
        </w:rPr>
      </w:pPr>
      <w:r w:rsidRPr="004112B0">
        <w:rPr>
          <w:rStyle w:val="Text-Bold"/>
        </w:rPr>
        <w:t>NOTICE UNDER SECTION 11A(</w:t>
      </w:r>
      <w:r>
        <w:rPr>
          <w:rStyle w:val="Text-Bold"/>
        </w:rPr>
        <w:t>2</w:t>
      </w:r>
      <w:r w:rsidRPr="004112B0">
        <w:rPr>
          <w:rStyle w:val="Text-Bold"/>
        </w:rPr>
        <w:t>) OF THE ELECTRICITY ACT 1989</w:t>
      </w:r>
    </w:p>
    <w:p w:rsidR="00E91336" w:rsidRPr="004112B0" w:rsidRDefault="00E91336" w:rsidP="00E91336">
      <w:pPr>
        <w:pStyle w:val="BodyText"/>
      </w:pPr>
    </w:p>
    <w:p w:rsidR="00E91336" w:rsidRPr="004112B0" w:rsidRDefault="00E91336" w:rsidP="00E91336">
      <w:pPr>
        <w:pStyle w:val="Text-LeftAilgned"/>
      </w:pPr>
      <w:r w:rsidRPr="004112B0">
        <w:t>The Gas and Electricity Markets Authority (“the Authority”) hereby gives notice pursuant to section 11A(</w:t>
      </w:r>
      <w:r>
        <w:t>2</w:t>
      </w:r>
      <w:r w:rsidRPr="004112B0">
        <w:t>) of the Electricity Act 1989 (“the Act”) as follows:</w:t>
      </w:r>
    </w:p>
    <w:p w:rsidR="00E91336" w:rsidRPr="004112B0" w:rsidRDefault="00E91336" w:rsidP="00E91336">
      <w:pPr>
        <w:pStyle w:val="Text-LeftAilgned"/>
      </w:pPr>
    </w:p>
    <w:p w:rsidR="00E91336" w:rsidRDefault="007A1D9A" w:rsidP="00E91336">
      <w:pPr>
        <w:pStyle w:val="Text-Numbered"/>
        <w:numPr>
          <w:ilvl w:val="0"/>
          <w:numId w:val="2"/>
        </w:numPr>
      </w:pPr>
      <w:r w:rsidRPr="00B15E13">
        <w:rPr>
          <w:szCs w:val="20"/>
        </w:rPr>
        <w:t xml:space="preserve">The Authority proposes to modify the electricity transmission licence </w:t>
      </w:r>
      <w:r w:rsidR="00721EEF">
        <w:rPr>
          <w:szCs w:val="20"/>
        </w:rPr>
        <w:t xml:space="preserve">(“the Licence)” </w:t>
      </w:r>
      <w:r w:rsidRPr="00B15E13">
        <w:rPr>
          <w:szCs w:val="20"/>
        </w:rPr>
        <w:t xml:space="preserve">held by </w:t>
      </w:r>
      <w:r>
        <w:rPr>
          <w:szCs w:val="20"/>
        </w:rPr>
        <w:t>National Grid Electricity Transmission</w:t>
      </w:r>
      <w:r w:rsidRPr="00B15E13">
        <w:rPr>
          <w:szCs w:val="20"/>
        </w:rPr>
        <w:t xml:space="preserve"> plc (</w:t>
      </w:r>
      <w:r>
        <w:rPr>
          <w:szCs w:val="20"/>
        </w:rPr>
        <w:t>NGET</w:t>
      </w:r>
      <w:r w:rsidRPr="00B15E13">
        <w:rPr>
          <w:szCs w:val="20"/>
        </w:rPr>
        <w:t>) granted or treated as granted under section 6(1)(b) of the Act by amending</w:t>
      </w:r>
      <w:r>
        <w:rPr>
          <w:szCs w:val="20"/>
        </w:rPr>
        <w:t xml:space="preserve"> </w:t>
      </w:r>
      <w:r w:rsidRPr="0020061A">
        <w:rPr>
          <w:rFonts w:cs="Verdana"/>
          <w:szCs w:val="20"/>
        </w:rPr>
        <w:t>certain existing Special Conditions</w:t>
      </w:r>
      <w:r>
        <w:rPr>
          <w:rFonts w:cs="Verdana"/>
          <w:szCs w:val="20"/>
        </w:rPr>
        <w:t xml:space="preserve"> </w:t>
      </w:r>
      <w:r w:rsidRPr="0020061A">
        <w:rPr>
          <w:rFonts w:cs="Verdana"/>
          <w:szCs w:val="20"/>
        </w:rPr>
        <w:t xml:space="preserve">as </w:t>
      </w:r>
      <w:r>
        <w:rPr>
          <w:rFonts w:cs="Verdana"/>
          <w:szCs w:val="20"/>
        </w:rPr>
        <w:t>set out</w:t>
      </w:r>
      <w:r w:rsidRPr="0020061A">
        <w:rPr>
          <w:rFonts w:cs="Verdana"/>
          <w:szCs w:val="20"/>
        </w:rPr>
        <w:t xml:space="preserve"> in </w:t>
      </w:r>
      <w:r>
        <w:rPr>
          <w:rFonts w:cs="Verdana"/>
          <w:szCs w:val="20"/>
        </w:rPr>
        <w:t>the Schedules to this</w:t>
      </w:r>
      <w:r w:rsidRPr="0020061A">
        <w:rPr>
          <w:rFonts w:cs="Verdana"/>
          <w:szCs w:val="20"/>
        </w:rPr>
        <w:t xml:space="preserve"> </w:t>
      </w:r>
      <w:r>
        <w:rPr>
          <w:rFonts w:cs="Verdana"/>
          <w:szCs w:val="20"/>
        </w:rPr>
        <w:t>N</w:t>
      </w:r>
      <w:r w:rsidRPr="0020061A">
        <w:rPr>
          <w:rFonts w:cs="Verdana"/>
          <w:szCs w:val="20"/>
        </w:rPr>
        <w:t>otice</w:t>
      </w:r>
      <w:r w:rsidR="00E91336" w:rsidRPr="00596A82">
        <w:t>.</w:t>
      </w:r>
    </w:p>
    <w:p w:rsidR="00E91336" w:rsidRPr="004112B0" w:rsidRDefault="00E91336" w:rsidP="00E91336">
      <w:pPr>
        <w:pStyle w:val="Text-LeftAilgned"/>
      </w:pPr>
    </w:p>
    <w:p w:rsidR="007A1D9A" w:rsidRDefault="007A1D9A" w:rsidP="007A1D9A">
      <w:pPr>
        <w:pStyle w:val="Text-Numbered"/>
      </w:pPr>
      <w:r>
        <w:t>The modifications in the Schedules relate to the following matters:</w:t>
      </w:r>
    </w:p>
    <w:p w:rsidR="007A1D9A" w:rsidRPr="0026191F" w:rsidRDefault="007A1D9A" w:rsidP="007A1D9A">
      <w:pPr>
        <w:pStyle w:val="ListParagraph"/>
        <w:rPr>
          <w:rFonts w:cs="Verdana"/>
          <w:color w:val="000000"/>
          <w:szCs w:val="20"/>
        </w:rPr>
      </w:pPr>
    </w:p>
    <w:p w:rsidR="007A1D9A" w:rsidRDefault="007A1D9A" w:rsidP="007A1D9A">
      <w:pPr>
        <w:pStyle w:val="ListParagraph"/>
        <w:numPr>
          <w:ilvl w:val="1"/>
          <w:numId w:val="1"/>
        </w:numPr>
        <w:autoSpaceDE w:val="0"/>
        <w:autoSpaceDN w:val="0"/>
        <w:adjustRightInd w:val="0"/>
        <w:spacing w:after="0" w:line="240" w:lineRule="auto"/>
        <w:rPr>
          <w:rFonts w:cs="Verdana"/>
          <w:color w:val="000000"/>
          <w:szCs w:val="20"/>
        </w:rPr>
      </w:pPr>
      <w:r>
        <w:rPr>
          <w:rFonts w:cs="Verdana"/>
          <w:color w:val="000000"/>
          <w:szCs w:val="20"/>
        </w:rPr>
        <w:t>the clarification of certain parts of the Licence that were modified as part of the RIIO-</w:t>
      </w:r>
      <w:r w:rsidR="00DB115B">
        <w:rPr>
          <w:rFonts w:cs="Verdana"/>
          <w:color w:val="000000"/>
          <w:szCs w:val="20"/>
        </w:rPr>
        <w:t>E</w:t>
      </w:r>
      <w:r>
        <w:rPr>
          <w:rFonts w:cs="Verdana"/>
          <w:color w:val="000000"/>
          <w:szCs w:val="20"/>
        </w:rPr>
        <w:t>T1 price control which came into effect on 1 April 2013 (Schedule 1) and</w:t>
      </w:r>
    </w:p>
    <w:p w:rsidR="007A1D9A" w:rsidRPr="00D14517" w:rsidRDefault="007A1D9A" w:rsidP="007A1D9A">
      <w:pPr>
        <w:pStyle w:val="ListParagraph"/>
        <w:rPr>
          <w:rFonts w:cs="Verdana"/>
          <w:color w:val="000000"/>
          <w:szCs w:val="20"/>
        </w:rPr>
      </w:pPr>
    </w:p>
    <w:p w:rsidR="007A1D9A" w:rsidRPr="00B961E5" w:rsidRDefault="00C55395" w:rsidP="007A1D9A">
      <w:pPr>
        <w:pStyle w:val="ListParagraph"/>
        <w:numPr>
          <w:ilvl w:val="1"/>
          <w:numId w:val="1"/>
        </w:numPr>
        <w:autoSpaceDE w:val="0"/>
        <w:autoSpaceDN w:val="0"/>
        <w:adjustRightInd w:val="0"/>
        <w:spacing w:after="0" w:line="240" w:lineRule="auto"/>
        <w:rPr>
          <w:rFonts w:cs="Verdana"/>
          <w:szCs w:val="20"/>
        </w:rPr>
      </w:pPr>
      <w:r>
        <w:rPr>
          <w:rFonts w:cs="Verdana"/>
          <w:szCs w:val="20"/>
        </w:rPr>
        <w:t>the</w:t>
      </w:r>
      <w:r w:rsidR="00FA19D1">
        <w:rPr>
          <w:rFonts w:cs="Verdana"/>
          <w:szCs w:val="20"/>
        </w:rPr>
        <w:t xml:space="preserve"> update</w:t>
      </w:r>
      <w:r w:rsidR="007A1D9A" w:rsidRPr="00B961E5">
        <w:rPr>
          <w:rFonts w:cs="Verdana"/>
          <w:szCs w:val="20"/>
        </w:rPr>
        <w:t xml:space="preserve"> </w:t>
      </w:r>
      <w:r>
        <w:rPr>
          <w:rFonts w:cs="Verdana"/>
          <w:szCs w:val="20"/>
        </w:rPr>
        <w:t xml:space="preserve">of </w:t>
      </w:r>
      <w:r w:rsidR="007A1D9A" w:rsidRPr="00B961E5">
        <w:rPr>
          <w:rFonts w:cs="Verdana"/>
          <w:szCs w:val="20"/>
        </w:rPr>
        <w:t xml:space="preserve">certain parts of the Licence </w:t>
      </w:r>
      <w:r w:rsidR="007A1D9A">
        <w:rPr>
          <w:rFonts w:cs="Verdana"/>
          <w:szCs w:val="20"/>
        </w:rPr>
        <w:t>f</w:t>
      </w:r>
      <w:r w:rsidR="00973E4C">
        <w:rPr>
          <w:rFonts w:cs="Verdana"/>
          <w:szCs w:val="20"/>
        </w:rPr>
        <w:t>or changes</w:t>
      </w:r>
      <w:r w:rsidR="00FA19D1">
        <w:rPr>
          <w:rFonts w:cs="Verdana"/>
          <w:szCs w:val="20"/>
        </w:rPr>
        <w:t xml:space="preserve"> in the Connection and Use of System Code </w:t>
      </w:r>
      <w:r w:rsidR="00C37007">
        <w:rPr>
          <w:rFonts w:cs="Verdana"/>
          <w:szCs w:val="20"/>
        </w:rPr>
        <w:t xml:space="preserve">(CUSC) </w:t>
      </w:r>
      <w:r w:rsidR="00FA19D1">
        <w:rPr>
          <w:rFonts w:cs="Verdana"/>
          <w:szCs w:val="20"/>
        </w:rPr>
        <w:t xml:space="preserve">arrangements </w:t>
      </w:r>
      <w:r w:rsidR="007A1D9A" w:rsidRPr="00B961E5">
        <w:rPr>
          <w:rFonts w:cs="Verdana"/>
          <w:szCs w:val="20"/>
        </w:rPr>
        <w:t xml:space="preserve">that came into effect on </w:t>
      </w:r>
      <w:r>
        <w:rPr>
          <w:rFonts w:cs="Verdana"/>
          <w:szCs w:val="20"/>
        </w:rPr>
        <w:t xml:space="preserve">1 April  2013 </w:t>
      </w:r>
      <w:r w:rsidR="007A1D9A" w:rsidRPr="00B961E5">
        <w:rPr>
          <w:rFonts w:cs="Verdana"/>
          <w:szCs w:val="20"/>
        </w:rPr>
        <w:t xml:space="preserve">(Schedule </w:t>
      </w:r>
      <w:r w:rsidR="00FA19D1">
        <w:rPr>
          <w:rFonts w:cs="Verdana"/>
          <w:szCs w:val="20"/>
        </w:rPr>
        <w:t>2</w:t>
      </w:r>
      <w:r w:rsidR="007A1D9A" w:rsidRPr="00B961E5">
        <w:rPr>
          <w:rFonts w:cs="Verdana"/>
          <w:szCs w:val="20"/>
        </w:rPr>
        <w:t>).</w:t>
      </w:r>
    </w:p>
    <w:p w:rsidR="007A1D9A" w:rsidRDefault="007A1D9A" w:rsidP="007A1D9A">
      <w:pPr>
        <w:autoSpaceDE w:val="0"/>
        <w:autoSpaceDN w:val="0"/>
        <w:adjustRightInd w:val="0"/>
        <w:rPr>
          <w:rFonts w:cs="Verdana"/>
          <w:color w:val="000000"/>
          <w:szCs w:val="20"/>
        </w:rPr>
      </w:pPr>
    </w:p>
    <w:p w:rsidR="007A1D9A" w:rsidRDefault="007A1D9A" w:rsidP="007A1D9A">
      <w:pPr>
        <w:pStyle w:val="Text-Numbered"/>
      </w:pPr>
      <w:r>
        <w:t xml:space="preserve">The reason why the Authority proposes to make the licence modifications in Schedule </w:t>
      </w:r>
      <w:r w:rsidR="00FA19D1">
        <w:t>1</w:t>
      </w:r>
      <w:r>
        <w:t xml:space="preserve"> is to clarify certain parts of the Licence that were implemented as part of the RIIO-</w:t>
      </w:r>
      <w:r w:rsidR="00DB115B">
        <w:t>E</w:t>
      </w:r>
      <w:r>
        <w:t xml:space="preserve">T1 price control which were made through a </w:t>
      </w:r>
      <w:r w:rsidR="00DB115B">
        <w:t>m</w:t>
      </w:r>
      <w:r>
        <w:t>odification issued by the Authority on 1 February 2013 and came into effect on 1 April 2013. These modifications reflect the policy intent of the Authority’s decision regarding the RIIO-</w:t>
      </w:r>
      <w:r w:rsidR="00DB115B">
        <w:t>E</w:t>
      </w:r>
      <w:r>
        <w:t>T1 price control more accurately</w:t>
      </w:r>
      <w:r w:rsidR="00DB115B">
        <w:t>,</w:t>
      </w:r>
      <w:r>
        <w:t xml:space="preserve"> </w:t>
      </w:r>
      <w:r w:rsidRPr="00B961E5">
        <w:t xml:space="preserve">together with a number of changes which </w:t>
      </w:r>
      <w:r>
        <w:t>correct typographical inaccuracies (or similar changes).</w:t>
      </w:r>
    </w:p>
    <w:p w:rsidR="00FA19D1" w:rsidRDefault="00FA19D1" w:rsidP="00FA19D1">
      <w:pPr>
        <w:pStyle w:val="Text-Numbered"/>
        <w:numPr>
          <w:ilvl w:val="0"/>
          <w:numId w:val="0"/>
        </w:numPr>
        <w:ind w:left="360"/>
      </w:pPr>
    </w:p>
    <w:p w:rsidR="00FA19D1" w:rsidRDefault="007A1D9A" w:rsidP="00FA19D1">
      <w:pPr>
        <w:pStyle w:val="Text-Numbered"/>
      </w:pPr>
      <w:r>
        <w:t xml:space="preserve">The effect of the proposed modification in Schedule </w:t>
      </w:r>
      <w:r w:rsidR="00FA19D1">
        <w:t>1</w:t>
      </w:r>
      <w:r>
        <w:t xml:space="preserve"> is to provide more accurate and comprehensible licence conditions that better reflect the Authority’s decision in the RIIO-</w:t>
      </w:r>
      <w:r w:rsidR="00DB115B">
        <w:t>E</w:t>
      </w:r>
      <w:r>
        <w:t>T1 price control.</w:t>
      </w:r>
    </w:p>
    <w:p w:rsidR="00FA19D1" w:rsidRDefault="00FA19D1" w:rsidP="00FA19D1"/>
    <w:p w:rsidR="00FA19D1" w:rsidRDefault="00FA19D1" w:rsidP="00FA19D1">
      <w:pPr>
        <w:pStyle w:val="Text-Numbered"/>
      </w:pPr>
      <w:r>
        <w:t xml:space="preserve">The reason why the Authority proposes to make the licence modifications in Schedule 2 is to update certain parts of the Licence for changes in the </w:t>
      </w:r>
      <w:r w:rsidR="00C37007">
        <w:t>CUSC</w:t>
      </w:r>
      <w:r>
        <w:t xml:space="preserve"> </w:t>
      </w:r>
      <w:r w:rsidR="00C55395">
        <w:t xml:space="preserve">arrangements </w:t>
      </w:r>
      <w:r>
        <w:t xml:space="preserve">that were implemented after </w:t>
      </w:r>
      <w:r w:rsidR="00016724">
        <w:t>CUSC</w:t>
      </w:r>
      <w:r w:rsidR="00C55395">
        <w:t xml:space="preserve"> Modification Proposal 192 was approved by the Authority</w:t>
      </w:r>
      <w:r>
        <w:t xml:space="preserve">. </w:t>
      </w:r>
      <w:r w:rsidR="00C55395">
        <w:t xml:space="preserve">The changes are needed so that the licence better </w:t>
      </w:r>
      <w:r w:rsidR="00C55395" w:rsidRPr="00C55395">
        <w:t>reflect</w:t>
      </w:r>
      <w:r w:rsidR="004B0292">
        <w:t>s</w:t>
      </w:r>
      <w:r w:rsidR="00016724">
        <w:t xml:space="preserve"> </w:t>
      </w:r>
      <w:r w:rsidR="000573ED">
        <w:t xml:space="preserve">the Authority’s decision </w:t>
      </w:r>
      <w:r w:rsidR="00016724">
        <w:t>on the</w:t>
      </w:r>
      <w:r w:rsidR="00C55395" w:rsidRPr="00C55395">
        <w:t xml:space="preserve"> </w:t>
      </w:r>
      <w:r w:rsidR="00C55395">
        <w:t>CUSC arrangements</w:t>
      </w:r>
      <w:r w:rsidR="004B0292">
        <w:t>.</w:t>
      </w:r>
    </w:p>
    <w:p w:rsidR="00662CB6" w:rsidRDefault="00662CB6" w:rsidP="00662CB6"/>
    <w:p w:rsidR="00E91336" w:rsidRDefault="00662CB6" w:rsidP="00E91336">
      <w:pPr>
        <w:pStyle w:val="Text-Numbered"/>
      </w:pPr>
      <w:r>
        <w:t>The effect of the proposed modification</w:t>
      </w:r>
      <w:r w:rsidR="00C55395">
        <w:t>s</w:t>
      </w:r>
      <w:r>
        <w:t xml:space="preserve"> in </w:t>
      </w:r>
      <w:r w:rsidRPr="0009188E">
        <w:t xml:space="preserve">Schedule 2 is </w:t>
      </w:r>
      <w:r w:rsidR="004B0292" w:rsidRPr="0009188E">
        <w:t>to</w:t>
      </w:r>
      <w:r w:rsidR="00C55395" w:rsidRPr="0009188E">
        <w:t xml:space="preserve"> ensure</w:t>
      </w:r>
      <w:r w:rsidR="00C55395" w:rsidRPr="00C55395">
        <w:t xml:space="preserve"> that all revenues are being apportioned</w:t>
      </w:r>
      <w:r w:rsidR="00C55395">
        <w:t xml:space="preserve"> correctly</w:t>
      </w:r>
      <w:r w:rsidR="004B0292">
        <w:t xml:space="preserve">, </w:t>
      </w:r>
      <w:r w:rsidR="004B0292" w:rsidRPr="00C55395">
        <w:t>and the transmission companies can recover their allowed revenue net of any user commitment contributions.</w:t>
      </w:r>
      <w:r w:rsidR="004B0292">
        <w:t xml:space="preserve"> </w:t>
      </w:r>
    </w:p>
    <w:p w:rsidR="004B0292" w:rsidRPr="004112B0" w:rsidRDefault="004B0292" w:rsidP="004B0292">
      <w:pPr>
        <w:pStyle w:val="Text-Numbered"/>
        <w:numPr>
          <w:ilvl w:val="0"/>
          <w:numId w:val="0"/>
        </w:numPr>
      </w:pPr>
    </w:p>
    <w:p w:rsidR="00E91336" w:rsidRPr="004112B0" w:rsidRDefault="00E91336" w:rsidP="00E91336">
      <w:pPr>
        <w:pStyle w:val="Text-Numbered"/>
      </w:pPr>
      <w:r w:rsidRPr="004112B0">
        <w:t xml:space="preserve">A copy of the proposed modification(s) and other documents referred to in this </w:t>
      </w:r>
      <w:r w:rsidR="00DB115B">
        <w:t>N</w:t>
      </w:r>
      <w:r w:rsidRPr="004112B0">
        <w:t>otice are available on the Ofgem website (</w:t>
      </w:r>
      <w:hyperlink r:id="rId12" w:history="1">
        <w:r w:rsidRPr="004112B0">
          <w:rPr>
            <w:rStyle w:val="Hyperlink"/>
          </w:rPr>
          <w:t>www.ofgem.gov.uk)</w:t>
        </w:r>
      </w:hyperlink>
      <w:r w:rsidRPr="004112B0">
        <w:t>.</w:t>
      </w:r>
    </w:p>
    <w:p w:rsidR="00E91336" w:rsidRPr="004112B0" w:rsidRDefault="00E91336" w:rsidP="00E91336">
      <w:pPr>
        <w:pStyle w:val="Text-LeftAilgned"/>
      </w:pPr>
    </w:p>
    <w:p w:rsidR="00E91336" w:rsidRDefault="00E91336" w:rsidP="00E91336">
      <w:pPr>
        <w:pStyle w:val="Text-Numbered"/>
      </w:pPr>
      <w:r w:rsidRPr="004112B0">
        <w:t xml:space="preserve">Any representations </w:t>
      </w:r>
      <w:r>
        <w:t>on</w:t>
      </w:r>
      <w:r w:rsidRPr="004112B0">
        <w:t xml:space="preserve"> the proposed licence modifications m</w:t>
      </w:r>
      <w:r w:rsidR="004F1910">
        <w:t>ust</w:t>
      </w:r>
      <w:r w:rsidRPr="004112B0">
        <w:t xml:space="preserve"> be made on or before </w:t>
      </w:r>
      <w:r w:rsidR="00B273E9">
        <w:t>26</w:t>
      </w:r>
      <w:r w:rsidR="00FA19D1">
        <w:t xml:space="preserve"> March 2015 to: Anna Kulhavy</w:t>
      </w:r>
      <w:r w:rsidRPr="004112B0">
        <w:t xml:space="preserve">, Office of Gas and Electricity Markets, 9 Millbank, London, SW1P 3GE or by email to </w:t>
      </w:r>
      <w:r w:rsidR="00FA19D1">
        <w:t>anna.kulhavy@ofgem.gov.uk</w:t>
      </w:r>
      <w:r>
        <w:t>.</w:t>
      </w:r>
    </w:p>
    <w:p w:rsidR="00E91336" w:rsidRDefault="00E91336" w:rsidP="00E91336">
      <w:pPr>
        <w:pStyle w:val="Text-LeftAilgned"/>
      </w:pPr>
      <w:bookmarkStart w:id="0" w:name="_GoBack"/>
      <w:bookmarkEnd w:id="0"/>
    </w:p>
    <w:p w:rsidR="00E91336" w:rsidRDefault="00E91336" w:rsidP="00E91336">
      <w:pPr>
        <w:pStyle w:val="Text-Numbered"/>
      </w:pPr>
      <w:r w:rsidRPr="00B72F4D">
        <w:t>All responses will normally be published on Ofgem’s website. However, if respondents do not wish their response to be</w:t>
      </w:r>
      <w:r>
        <w:t xml:space="preserve"> </w:t>
      </w:r>
      <w:r w:rsidRPr="00B72F4D">
        <w:t>made public then they should clearly mark their response as not for publication. Ofgem prefers</w:t>
      </w:r>
      <w:r>
        <w:t xml:space="preserve"> </w:t>
      </w:r>
      <w:r w:rsidRPr="00B72F4D">
        <w:t>to receive responses in an electronic form so they can be placed easily on the Ofgem website.</w:t>
      </w:r>
    </w:p>
    <w:p w:rsidR="00E91336" w:rsidRDefault="00E91336" w:rsidP="00E91336">
      <w:pPr>
        <w:pStyle w:val="Text-Numbered"/>
        <w:numPr>
          <w:ilvl w:val="0"/>
          <w:numId w:val="0"/>
        </w:numPr>
        <w:ind w:left="360"/>
      </w:pPr>
    </w:p>
    <w:p w:rsidR="00E91336" w:rsidRPr="005C7F10" w:rsidRDefault="00E91336" w:rsidP="00E91336">
      <w:pPr>
        <w:pStyle w:val="Text-Numbered"/>
      </w:pPr>
      <w:r w:rsidRPr="005C7F10">
        <w:t xml:space="preserve">If </w:t>
      </w:r>
      <w:r>
        <w:t>the Authority</w:t>
      </w:r>
      <w:r w:rsidRPr="005C7F10">
        <w:t xml:space="preserve"> decide</w:t>
      </w:r>
      <w:r>
        <w:t>s</w:t>
      </w:r>
      <w:r w:rsidRPr="005C7F10">
        <w:t xml:space="preserve"> to make the proposed modification</w:t>
      </w:r>
      <w:r>
        <w:t xml:space="preserve"> it </w:t>
      </w:r>
      <w:r w:rsidRPr="005C7F10">
        <w:t xml:space="preserve">will take effect 56 days after </w:t>
      </w:r>
      <w:r>
        <w:t>the decision is published.</w:t>
      </w:r>
    </w:p>
    <w:p w:rsidR="00E91336" w:rsidRPr="004112B0" w:rsidRDefault="00E91336" w:rsidP="00E91336">
      <w:pPr>
        <w:pStyle w:val="Text-LeftAilgned"/>
      </w:pPr>
    </w:p>
    <w:p w:rsidR="00E91336" w:rsidRPr="004112B0" w:rsidRDefault="00E91336" w:rsidP="00E91336">
      <w:pPr>
        <w:pStyle w:val="Text-LeftAilgned"/>
      </w:pPr>
    </w:p>
    <w:p w:rsidR="00E91336" w:rsidRPr="004112B0" w:rsidRDefault="00E91336" w:rsidP="00E91336">
      <w:pPr>
        <w:pStyle w:val="Text-LeftAilgned"/>
        <w:rPr>
          <w:rStyle w:val="Text-Bold"/>
        </w:rPr>
      </w:pPr>
    </w:p>
    <w:p w:rsidR="00E91336" w:rsidRPr="004112B0" w:rsidRDefault="00E91336" w:rsidP="00E91336">
      <w:pPr>
        <w:pStyle w:val="Text-LeftAilgned"/>
        <w:rPr>
          <w:rStyle w:val="Text-Bold"/>
        </w:rPr>
      </w:pPr>
    </w:p>
    <w:p w:rsidR="00E91336" w:rsidRPr="004112B0" w:rsidRDefault="00E91336" w:rsidP="00E91336">
      <w:pPr>
        <w:pStyle w:val="Text-LeftAilgned"/>
        <w:rPr>
          <w:rStyle w:val="Text-Bold"/>
        </w:rPr>
      </w:pPr>
    </w:p>
    <w:p w:rsidR="00E91336" w:rsidRPr="004112B0" w:rsidRDefault="00E91336" w:rsidP="00E91336">
      <w:pPr>
        <w:pStyle w:val="Text-LeftAilgned"/>
        <w:rPr>
          <w:rStyle w:val="Text-Bold"/>
        </w:rPr>
      </w:pPr>
    </w:p>
    <w:p w:rsidR="00E91336" w:rsidRPr="004112B0" w:rsidRDefault="00E91336" w:rsidP="00E91336">
      <w:pPr>
        <w:pStyle w:val="Text-LeftAilgned"/>
        <w:rPr>
          <w:rStyle w:val="Text-Bold"/>
        </w:rPr>
      </w:pPr>
    </w:p>
    <w:p w:rsidR="00E91336" w:rsidRPr="004112B0" w:rsidRDefault="00E91336" w:rsidP="00E91336">
      <w:pPr>
        <w:pStyle w:val="Text-LeftAilgned"/>
        <w:rPr>
          <w:rStyle w:val="Text-Bold"/>
        </w:rPr>
      </w:pPr>
    </w:p>
    <w:p w:rsidR="00E91336" w:rsidRPr="004112B0" w:rsidRDefault="00E91336" w:rsidP="00E91336">
      <w:pPr>
        <w:pStyle w:val="Text-LeftAilgned"/>
        <w:rPr>
          <w:rStyle w:val="Text-Bold"/>
        </w:rPr>
      </w:pPr>
      <w:r w:rsidRPr="004112B0">
        <w:rPr>
          <w:rStyle w:val="Text-Bold"/>
        </w:rPr>
        <w:t>……………………………………………..</w:t>
      </w:r>
    </w:p>
    <w:p w:rsidR="00FA19D1" w:rsidRDefault="00016724" w:rsidP="00E91336">
      <w:pPr>
        <w:pStyle w:val="Text-LeftAilgned"/>
        <w:rPr>
          <w:rStyle w:val="Text-Bold"/>
        </w:rPr>
      </w:pPr>
      <w:r>
        <w:rPr>
          <w:rStyle w:val="Text-Bold"/>
        </w:rPr>
        <w:t>Kersti Berge</w:t>
      </w:r>
      <w:r w:rsidR="00FA19D1">
        <w:rPr>
          <w:rStyle w:val="Text-Bold"/>
        </w:rPr>
        <w:t xml:space="preserve">, </w:t>
      </w:r>
      <w:r w:rsidR="00757E88">
        <w:rPr>
          <w:rStyle w:val="Text-Bold"/>
        </w:rPr>
        <w:t>Partner</w:t>
      </w:r>
    </w:p>
    <w:p w:rsidR="00E91336" w:rsidRPr="004112B0" w:rsidRDefault="00E91336" w:rsidP="00E91336">
      <w:pPr>
        <w:pStyle w:val="Text-LeftAilgned"/>
        <w:rPr>
          <w:rStyle w:val="Text-Bold"/>
        </w:rPr>
      </w:pPr>
      <w:r w:rsidRPr="004112B0">
        <w:rPr>
          <w:rStyle w:val="Text-Bold"/>
        </w:rPr>
        <w:t xml:space="preserve">Duly authorised on behalf of the </w:t>
      </w:r>
    </w:p>
    <w:p w:rsidR="006F3678" w:rsidRDefault="00E91336" w:rsidP="00E91336">
      <w:pPr>
        <w:pStyle w:val="Text-LeftAilgned"/>
        <w:rPr>
          <w:rStyle w:val="Text-Bold"/>
        </w:rPr>
      </w:pPr>
      <w:r w:rsidRPr="004112B0">
        <w:rPr>
          <w:rStyle w:val="Text-Bold"/>
        </w:rPr>
        <w:t>Gas and Ele</w:t>
      </w:r>
      <w:r w:rsidR="00FA19D1">
        <w:rPr>
          <w:rStyle w:val="Text-Bold"/>
        </w:rPr>
        <w:t>ctricity Markets Authority</w:t>
      </w:r>
      <w:r w:rsidR="00FA19D1">
        <w:rPr>
          <w:rStyle w:val="Text-Bold"/>
        </w:rPr>
        <w:tab/>
      </w:r>
      <w:r w:rsidR="00FA19D1">
        <w:rPr>
          <w:rStyle w:val="Text-Bold"/>
        </w:rPr>
        <w:tab/>
      </w:r>
      <w:r w:rsidR="00FA19D1">
        <w:rPr>
          <w:rStyle w:val="Text-Bold"/>
        </w:rPr>
        <w:tab/>
      </w:r>
      <w:r w:rsidR="00FA19D1">
        <w:rPr>
          <w:rStyle w:val="Text-Bold"/>
        </w:rPr>
        <w:tab/>
      </w:r>
      <w:r w:rsidR="005B7501">
        <w:rPr>
          <w:rStyle w:val="Text-Bold"/>
        </w:rPr>
        <w:t>26</w:t>
      </w:r>
      <w:r w:rsidR="00FA19D1">
        <w:rPr>
          <w:rStyle w:val="Text-Bold"/>
        </w:rPr>
        <w:t xml:space="preserve"> February 2015</w:t>
      </w:r>
    </w:p>
    <w:p w:rsidR="006F3678" w:rsidRDefault="006F3678">
      <w:pPr>
        <w:spacing w:after="200" w:line="276" w:lineRule="auto"/>
        <w:rPr>
          <w:rStyle w:val="Text-Bold"/>
        </w:rPr>
      </w:pPr>
      <w:r>
        <w:rPr>
          <w:rStyle w:val="Text-Bold"/>
        </w:rPr>
        <w:br w:type="page"/>
      </w:r>
    </w:p>
    <w:p w:rsidR="006F3678" w:rsidRPr="006F3678" w:rsidRDefault="006F3678" w:rsidP="006F3678">
      <w:pPr>
        <w:autoSpaceDE w:val="0"/>
        <w:autoSpaceDN w:val="0"/>
        <w:adjustRightInd w:val="0"/>
        <w:rPr>
          <w:rFonts w:cs="Verdana"/>
          <w:color w:val="000000"/>
          <w:szCs w:val="20"/>
        </w:rPr>
      </w:pPr>
      <w:r w:rsidRPr="006F3678">
        <w:rPr>
          <w:rFonts w:cs="Verdana"/>
          <w:color w:val="000000"/>
          <w:szCs w:val="20"/>
        </w:rPr>
        <w:lastRenderedPageBreak/>
        <w:t xml:space="preserve">The proposed modifications in Schedule 1 relate to typos and further clarification to certain parts of the Licence that were modified as part of the electricity RIIO-T1 price control which came into effect on 1 April 2013. </w:t>
      </w:r>
    </w:p>
    <w:p w:rsidR="006F3678" w:rsidRPr="004D2DD1" w:rsidRDefault="006F3678" w:rsidP="006F3678">
      <w:pPr>
        <w:autoSpaceDE w:val="0"/>
        <w:autoSpaceDN w:val="0"/>
        <w:adjustRightInd w:val="0"/>
        <w:rPr>
          <w:rFonts w:cs="Verdana"/>
          <w:color w:val="000000"/>
          <w:szCs w:val="20"/>
        </w:rPr>
      </w:pPr>
    </w:p>
    <w:p w:rsidR="006F3678" w:rsidRPr="006F3678" w:rsidRDefault="006F3678" w:rsidP="006F3678">
      <w:pPr>
        <w:jc w:val="center"/>
        <w:rPr>
          <w:b/>
          <w:sz w:val="22"/>
          <w:szCs w:val="22"/>
        </w:rPr>
      </w:pPr>
      <w:r w:rsidRPr="006F3678">
        <w:rPr>
          <w:b/>
          <w:sz w:val="22"/>
          <w:szCs w:val="22"/>
        </w:rPr>
        <w:t>Schedule 1</w:t>
      </w:r>
    </w:p>
    <w:p w:rsidR="006F3678" w:rsidRPr="006F3678" w:rsidRDefault="006F3678" w:rsidP="006F3678">
      <w:pPr>
        <w:jc w:val="center"/>
        <w:rPr>
          <w:b/>
          <w:szCs w:val="20"/>
        </w:rPr>
      </w:pPr>
    </w:p>
    <w:tbl>
      <w:tblPr>
        <w:tblStyle w:val="TableGrid"/>
        <w:tblW w:w="5000" w:type="pct"/>
        <w:tblLayout w:type="fixed"/>
        <w:tblLook w:val="04A0"/>
      </w:tblPr>
      <w:tblGrid>
        <w:gridCol w:w="810"/>
        <w:gridCol w:w="1425"/>
        <w:gridCol w:w="7007"/>
      </w:tblGrid>
      <w:tr w:rsidR="006F3678" w:rsidRPr="0033007E" w:rsidTr="00214D6B">
        <w:trPr>
          <w:tblHeader/>
        </w:trPr>
        <w:tc>
          <w:tcPr>
            <w:tcW w:w="438" w:type="pct"/>
            <w:shd w:val="clear" w:color="auto" w:fill="BFBFBF" w:themeFill="background1" w:themeFillShade="BF"/>
            <w:vAlign w:val="center"/>
          </w:tcPr>
          <w:p w:rsidR="006F3678" w:rsidRPr="0033007E" w:rsidRDefault="006F3678" w:rsidP="00214D6B">
            <w:pPr>
              <w:spacing w:line="276" w:lineRule="auto"/>
              <w:jc w:val="center"/>
              <w:rPr>
                <w:b/>
                <w:sz w:val="18"/>
                <w:szCs w:val="18"/>
              </w:rPr>
            </w:pPr>
            <w:proofErr w:type="spellStart"/>
            <w:r w:rsidRPr="0033007E">
              <w:rPr>
                <w:b/>
                <w:sz w:val="18"/>
                <w:szCs w:val="18"/>
              </w:rPr>
              <w:t>IssueNo</w:t>
            </w:r>
            <w:proofErr w:type="spellEnd"/>
            <w:r w:rsidRPr="0033007E">
              <w:rPr>
                <w:b/>
                <w:sz w:val="18"/>
                <w:szCs w:val="18"/>
              </w:rPr>
              <w:t>.</w:t>
            </w:r>
          </w:p>
        </w:tc>
        <w:tc>
          <w:tcPr>
            <w:tcW w:w="771" w:type="pct"/>
            <w:shd w:val="clear" w:color="auto" w:fill="BFBFBF" w:themeFill="background1" w:themeFillShade="BF"/>
            <w:vAlign w:val="center"/>
          </w:tcPr>
          <w:p w:rsidR="006F3678" w:rsidRPr="0033007E" w:rsidRDefault="006F3678" w:rsidP="00214D6B">
            <w:pPr>
              <w:spacing w:line="276" w:lineRule="auto"/>
              <w:jc w:val="center"/>
              <w:rPr>
                <w:b/>
                <w:sz w:val="18"/>
                <w:szCs w:val="18"/>
              </w:rPr>
            </w:pPr>
            <w:r w:rsidRPr="0033007E">
              <w:rPr>
                <w:b/>
                <w:sz w:val="18"/>
                <w:szCs w:val="18"/>
              </w:rPr>
              <w:t>Paragraph</w:t>
            </w:r>
            <w:r w:rsidR="00214D6B">
              <w:rPr>
                <w:b/>
                <w:sz w:val="18"/>
                <w:szCs w:val="18"/>
              </w:rPr>
              <w:t xml:space="preserve"> </w:t>
            </w:r>
            <w:r w:rsidRPr="0033007E">
              <w:rPr>
                <w:b/>
                <w:sz w:val="18"/>
                <w:szCs w:val="18"/>
              </w:rPr>
              <w:t>Reference</w:t>
            </w:r>
          </w:p>
        </w:tc>
        <w:tc>
          <w:tcPr>
            <w:tcW w:w="3791" w:type="pct"/>
            <w:shd w:val="clear" w:color="auto" w:fill="BFBFBF" w:themeFill="background1" w:themeFillShade="BF"/>
            <w:vAlign w:val="center"/>
          </w:tcPr>
          <w:p w:rsidR="006F3678" w:rsidRPr="0033007E" w:rsidRDefault="006F3678" w:rsidP="00214D6B">
            <w:pPr>
              <w:spacing w:line="276" w:lineRule="auto"/>
              <w:jc w:val="center"/>
              <w:rPr>
                <w:b/>
                <w:sz w:val="18"/>
                <w:szCs w:val="18"/>
              </w:rPr>
            </w:pPr>
            <w:r w:rsidRPr="0033007E">
              <w:rPr>
                <w:b/>
                <w:sz w:val="18"/>
                <w:szCs w:val="18"/>
              </w:rPr>
              <w:t>Proposed Amendments</w:t>
            </w:r>
          </w:p>
        </w:tc>
      </w:tr>
      <w:tr w:rsidR="006F3678" w:rsidRPr="00F825A4" w:rsidTr="00D650D4">
        <w:trPr>
          <w:trHeight w:val="600"/>
        </w:trPr>
        <w:tc>
          <w:tcPr>
            <w:tcW w:w="438" w:type="pct"/>
          </w:tcPr>
          <w:p w:rsidR="006F3678" w:rsidRPr="006F3678" w:rsidRDefault="006F3678" w:rsidP="00214D6B">
            <w:pPr>
              <w:pStyle w:val="ListParagraph"/>
              <w:numPr>
                <w:ilvl w:val="0"/>
                <w:numId w:val="5"/>
              </w:numPr>
              <w:spacing w:after="0" w:line="240" w:lineRule="auto"/>
              <w:rPr>
                <w:szCs w:val="20"/>
              </w:rPr>
            </w:pPr>
          </w:p>
        </w:tc>
        <w:tc>
          <w:tcPr>
            <w:tcW w:w="771" w:type="pct"/>
          </w:tcPr>
          <w:p w:rsidR="006F3678" w:rsidRDefault="006F3678" w:rsidP="006F3678">
            <w:r>
              <w:t>1A</w:t>
            </w:r>
          </w:p>
          <w:p w:rsidR="006F3678" w:rsidRDefault="006F3678" w:rsidP="006F3678"/>
        </w:tc>
        <w:tc>
          <w:tcPr>
            <w:tcW w:w="3791" w:type="pct"/>
          </w:tcPr>
          <w:p w:rsidR="006F3678" w:rsidRDefault="006F3678" w:rsidP="006F3678">
            <w:r>
              <w:t>In the definition of “Pre-construction Engineering (PE)” – the word “</w:t>
            </w:r>
            <w:r w:rsidRPr="00A44229">
              <w:rPr>
                <w:color w:val="FF0000"/>
              </w:rPr>
              <w:t>prospective</w:t>
            </w:r>
            <w:r>
              <w:t>” will be  inserted in between “(Pre-construction Engineering outputs for” and “Strategic Wider Works Outputs)”</w:t>
            </w:r>
          </w:p>
          <w:p w:rsidR="006F3678" w:rsidRDefault="006F3678" w:rsidP="006F3678">
            <w:r>
              <w:t xml:space="preserve"> </w:t>
            </w:r>
          </w:p>
          <w:p w:rsidR="006F3678" w:rsidRDefault="006F3678" w:rsidP="006F3678">
            <w:r>
              <w:t xml:space="preserve">Rationale: To </w:t>
            </w:r>
            <w:r w:rsidR="00886D69">
              <w:t>amend</w:t>
            </w:r>
            <w:r>
              <w:t xml:space="preserve"> the title of the Special Condition</w:t>
            </w:r>
            <w:r w:rsidR="00886D69">
              <w:t xml:space="preserve"> </w:t>
            </w:r>
            <w:r w:rsidR="00016724">
              <w:t>that is referred to in the definition</w:t>
            </w:r>
            <w:r>
              <w:t xml:space="preserve">. </w:t>
            </w:r>
          </w:p>
          <w:p w:rsidR="006F3678" w:rsidRDefault="006F3678" w:rsidP="006F3678"/>
        </w:tc>
      </w:tr>
      <w:tr w:rsidR="006F3678" w:rsidRPr="00F825A4" w:rsidTr="00D650D4">
        <w:trPr>
          <w:trHeight w:val="600"/>
        </w:trPr>
        <w:tc>
          <w:tcPr>
            <w:tcW w:w="438" w:type="pct"/>
          </w:tcPr>
          <w:p w:rsidR="006F3678" w:rsidRPr="006F3678" w:rsidRDefault="006F3678" w:rsidP="006F3678">
            <w:pPr>
              <w:pStyle w:val="ListParagraph"/>
              <w:numPr>
                <w:ilvl w:val="0"/>
                <w:numId w:val="5"/>
              </w:numPr>
              <w:spacing w:after="0" w:line="240" w:lineRule="auto"/>
              <w:rPr>
                <w:szCs w:val="20"/>
              </w:rPr>
            </w:pPr>
          </w:p>
        </w:tc>
        <w:tc>
          <w:tcPr>
            <w:tcW w:w="771" w:type="pct"/>
          </w:tcPr>
          <w:p w:rsidR="006F3678" w:rsidRPr="003A6DBB" w:rsidRDefault="006F3678" w:rsidP="006F3678">
            <w:r w:rsidRPr="003A6DBB">
              <w:t>1A</w:t>
            </w:r>
          </w:p>
        </w:tc>
        <w:tc>
          <w:tcPr>
            <w:tcW w:w="3791" w:type="pct"/>
          </w:tcPr>
          <w:p w:rsidR="006F3678" w:rsidRDefault="006F3678" w:rsidP="006F3678">
            <w:r>
              <w:t xml:space="preserve">The first paragraph in the </w:t>
            </w:r>
            <w:proofErr w:type="spellStart"/>
            <w:r>
              <w:t>defintion</w:t>
            </w:r>
            <w:proofErr w:type="spellEnd"/>
            <w:r>
              <w:t xml:space="preserve"> of “Relevant Generation Capacity” will be amended as follows:</w:t>
            </w:r>
          </w:p>
          <w:p w:rsidR="006F3678" w:rsidRDefault="006F3678" w:rsidP="006F3678"/>
          <w:p w:rsidR="006F3678" w:rsidRDefault="006F3678" w:rsidP="006F3678">
            <w:r>
              <w:t xml:space="preserve"> “</w:t>
            </w:r>
            <w:r w:rsidRPr="00A55956">
              <w:t>for the purposes of Special Condition 6F (Baseline Generation Connections Outputs and Generation Connections volume driver) is calculated as the sum of</w:t>
            </w:r>
            <w:r w:rsidRPr="00A55956">
              <w:rPr>
                <w:color w:val="FF0000"/>
              </w:rPr>
              <w:t xml:space="preserve"> the maximum of all individual generation entry capacities in any year during the period from 1 April 2013 up to and including Relevant Year t-2 minus the sum of the maximum of all individual generation entry capacities in any year during the period from 1 April 2012 up to and including Relevant Year t-3</w:t>
            </w:r>
            <w:r>
              <w:rPr>
                <w:color w:val="FF0000"/>
              </w:rPr>
              <w:t xml:space="preserve"> </w:t>
            </w:r>
            <w:r>
              <w:rPr>
                <w:strike/>
                <w:color w:val="FF0000"/>
              </w:rPr>
              <w:t>all generation capacity in Relevant Year t-2 minus the sum of all generation capacity in Relevant Year t-3</w:t>
            </w:r>
            <w:r w:rsidRPr="00A55956">
              <w:rPr>
                <w:color w:val="FF0000"/>
              </w:rPr>
              <w:t>.</w:t>
            </w:r>
            <w:r w:rsidR="004A3682">
              <w:t>”</w:t>
            </w:r>
          </w:p>
          <w:p w:rsidR="006F3678" w:rsidRDefault="006F3678" w:rsidP="006F3678"/>
          <w:p w:rsidR="006F3678" w:rsidRDefault="006F3678" w:rsidP="006F3678">
            <w:r>
              <w:t>Rationale: This is needed to ensure that the value of the licence term AGCO</w:t>
            </w:r>
            <w:r w:rsidRPr="00BE573B">
              <w:rPr>
                <w:vertAlign w:val="subscript"/>
              </w:rPr>
              <w:t>t-2</w:t>
            </w:r>
            <w:r>
              <w:t xml:space="preserve"> in the formula in paragraph 6F.9 is not unduly affected by individual generators that reduce entry capacity rights within the RIIO-T1 period.</w:t>
            </w:r>
          </w:p>
          <w:p w:rsidR="006F3678" w:rsidRPr="003A6DBB" w:rsidRDefault="006F3678" w:rsidP="006F3678"/>
        </w:tc>
      </w:tr>
      <w:tr w:rsidR="006F3678" w:rsidRPr="00F825A4" w:rsidTr="00D650D4">
        <w:trPr>
          <w:trHeight w:val="600"/>
        </w:trPr>
        <w:tc>
          <w:tcPr>
            <w:tcW w:w="438" w:type="pct"/>
          </w:tcPr>
          <w:p w:rsidR="006F3678" w:rsidRPr="006F3678" w:rsidRDefault="006F3678" w:rsidP="006F3678">
            <w:pPr>
              <w:pStyle w:val="ListParagraph"/>
              <w:numPr>
                <w:ilvl w:val="0"/>
                <w:numId w:val="5"/>
              </w:numPr>
              <w:spacing w:after="0" w:line="240" w:lineRule="auto"/>
              <w:rPr>
                <w:szCs w:val="20"/>
              </w:rPr>
            </w:pPr>
          </w:p>
        </w:tc>
        <w:tc>
          <w:tcPr>
            <w:tcW w:w="771" w:type="pct"/>
          </w:tcPr>
          <w:p w:rsidR="006F3678" w:rsidRDefault="006F3678" w:rsidP="006F3678">
            <w:r>
              <w:t>1A</w:t>
            </w:r>
          </w:p>
          <w:p w:rsidR="006F3678" w:rsidRDefault="006F3678" w:rsidP="006F3678"/>
        </w:tc>
        <w:tc>
          <w:tcPr>
            <w:tcW w:w="3791" w:type="pct"/>
          </w:tcPr>
          <w:p w:rsidR="006F3678" w:rsidRDefault="006F3678" w:rsidP="006F3678">
            <w:pPr>
              <w:rPr>
                <w:highlight w:val="cyan"/>
              </w:rPr>
            </w:pPr>
            <w:r>
              <w:t>The second paragraph i</w:t>
            </w:r>
            <w:r w:rsidRPr="003A6DBB">
              <w:t>n the definition of “Relevant Generation Capacity”</w:t>
            </w:r>
            <w:r>
              <w:t xml:space="preserve"> will be amended as follows:</w:t>
            </w:r>
            <w:r w:rsidRPr="003A6DBB">
              <w:t xml:space="preserve"> “</w:t>
            </w:r>
            <w:r w:rsidRPr="00A55956">
              <w:rPr>
                <w:strike/>
              </w:rPr>
              <w:t xml:space="preserve">For directly connected </w:t>
            </w:r>
            <w:proofErr w:type="spellStart"/>
            <w:r w:rsidRPr="00A55956">
              <w:rPr>
                <w:strike/>
              </w:rPr>
              <w:t>generation</w:t>
            </w:r>
            <w:r w:rsidRPr="003A6DBB">
              <w:rPr>
                <w:color w:val="FF0000"/>
              </w:rPr>
              <w:t>For</w:t>
            </w:r>
            <w:proofErr w:type="spellEnd"/>
            <w:r w:rsidRPr="003A6DBB">
              <w:rPr>
                <w:color w:val="FF0000"/>
              </w:rPr>
              <w:t xml:space="preserve"> generation connected to the England </w:t>
            </w:r>
            <w:r>
              <w:rPr>
                <w:color w:val="FF0000"/>
              </w:rPr>
              <w:t>and</w:t>
            </w:r>
            <w:r w:rsidRPr="003A6DBB">
              <w:rPr>
                <w:color w:val="FF0000"/>
              </w:rPr>
              <w:t xml:space="preserve"> Wales transmission system directly</w:t>
            </w:r>
            <w:r>
              <w:t>, the generation entry capacity shall be</w:t>
            </w:r>
            <w:r w:rsidR="00713341">
              <w:t xml:space="preserve"> the largest holding or (if greater than the holding) use of entry capacity rights (through any combination of access products) held or used by an individual power station for a total period not less than 5 days during the Relevant Year</w:t>
            </w:r>
            <w:r>
              <w:t>.</w:t>
            </w:r>
            <w:r w:rsidR="00713341">
              <w:t>”</w:t>
            </w:r>
            <w:r w:rsidRPr="00525464">
              <w:rPr>
                <w:highlight w:val="cyan"/>
              </w:rPr>
              <w:t xml:space="preserve"> </w:t>
            </w:r>
          </w:p>
          <w:p w:rsidR="00477972" w:rsidRDefault="00477972" w:rsidP="006F3678">
            <w:pPr>
              <w:rPr>
                <w:highlight w:val="cyan"/>
              </w:rPr>
            </w:pPr>
          </w:p>
          <w:p w:rsidR="00477972" w:rsidRDefault="00477972" w:rsidP="006F3678">
            <w:r>
              <w:t xml:space="preserve">A new paragraph will be added to the definition after the second paragraph as </w:t>
            </w:r>
            <w:r w:rsidRPr="00477972">
              <w:t>follows:</w:t>
            </w:r>
          </w:p>
          <w:p w:rsidR="00477972" w:rsidRDefault="00477972" w:rsidP="006F3678"/>
          <w:p w:rsidR="00477972" w:rsidRDefault="00477972" w:rsidP="00477972">
            <w:pPr>
              <w:rPr>
                <w:color w:val="FF0000"/>
                <w:highlight w:val="cyan"/>
              </w:rPr>
            </w:pPr>
            <w:r w:rsidRPr="00477972">
              <w:t>“</w:t>
            </w:r>
            <w:r>
              <w:rPr>
                <w:color w:val="FF0000"/>
              </w:rPr>
              <w:t>For generation connected to the England and Wales transmission system by an offshore transmission system (and not via a distribution system</w:t>
            </w:r>
            <w:r>
              <w:rPr>
                <w:color w:val="1F497D"/>
              </w:rPr>
              <w:t xml:space="preserve"> </w:t>
            </w:r>
            <w:r w:rsidRPr="00477972">
              <w:rPr>
                <w:color w:val="FF0000"/>
              </w:rPr>
              <w:t>or the Scottish transmission system</w:t>
            </w:r>
            <w:r>
              <w:rPr>
                <w:color w:val="FF0000"/>
              </w:rPr>
              <w:t>), the generation entry capacity shall be the largest holding or (if greater than the holding) use of entry capacity rights (through any combination of access products) held or used by an individual power station for a total period not less than 5 days during the Relevant Year.</w:t>
            </w:r>
            <w:r w:rsidRPr="00477972">
              <w:t>”</w:t>
            </w:r>
            <w:r>
              <w:rPr>
                <w:color w:val="FF0000"/>
                <w:highlight w:val="cyan"/>
              </w:rPr>
              <w:t xml:space="preserve"> </w:t>
            </w:r>
          </w:p>
          <w:p w:rsidR="00477972" w:rsidRPr="00477972" w:rsidRDefault="00477972" w:rsidP="006F3678"/>
          <w:p w:rsidR="006F3678" w:rsidRDefault="006F3678" w:rsidP="00477972">
            <w:r w:rsidRPr="00A44229">
              <w:t xml:space="preserve">Rationale: </w:t>
            </w:r>
            <w:r w:rsidR="00477972">
              <w:t>These</w:t>
            </w:r>
            <w:r>
              <w:t xml:space="preserve"> c</w:t>
            </w:r>
            <w:r w:rsidRPr="00A44229">
              <w:t>hange</w:t>
            </w:r>
            <w:r w:rsidR="00477972">
              <w:t>s</w:t>
            </w:r>
            <w:r w:rsidRPr="00A44229">
              <w:t xml:space="preserve"> </w:t>
            </w:r>
            <w:r w:rsidR="00477972">
              <w:t>are</w:t>
            </w:r>
            <w:r>
              <w:t xml:space="preserve"> </w:t>
            </w:r>
            <w:r w:rsidRPr="00A44229">
              <w:t xml:space="preserve">required to ensure that </w:t>
            </w:r>
            <w:r>
              <w:t xml:space="preserve">there is no ambiguity in </w:t>
            </w:r>
            <w:r w:rsidRPr="00A44229">
              <w:t xml:space="preserve">the scope of the definition in the Generation Connections volume driver in </w:t>
            </w:r>
            <w:proofErr w:type="spellStart"/>
            <w:r w:rsidRPr="00A44229">
              <w:t>SpC</w:t>
            </w:r>
            <w:proofErr w:type="spellEnd"/>
            <w:r w:rsidRPr="00A44229">
              <w:t xml:space="preserve"> 6F.</w:t>
            </w:r>
          </w:p>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1A</w:t>
            </w:r>
          </w:p>
        </w:tc>
        <w:tc>
          <w:tcPr>
            <w:tcW w:w="3791" w:type="pct"/>
          </w:tcPr>
          <w:p w:rsidR="00477972" w:rsidRDefault="00477972" w:rsidP="006F3678">
            <w:r>
              <w:t>In the definition of “TII Year” the words “a Relevant Year” will be replaced with “</w:t>
            </w:r>
            <w:r w:rsidRPr="00BB15D1">
              <w:rPr>
                <w:color w:val="FF0000"/>
              </w:rPr>
              <w:t>any</w:t>
            </w:r>
            <w:r>
              <w:t xml:space="preserve"> </w:t>
            </w:r>
            <w:r w:rsidRPr="001447C7">
              <w:rPr>
                <w:color w:val="FF0000"/>
              </w:rPr>
              <w:t>financial year</w:t>
            </w:r>
            <w:r>
              <w:t xml:space="preserve">”. </w:t>
            </w:r>
          </w:p>
          <w:p w:rsidR="00477972" w:rsidRDefault="00477972" w:rsidP="006F3678"/>
          <w:p w:rsidR="00477972" w:rsidRDefault="00477972" w:rsidP="006F3678">
            <w:r>
              <w:t xml:space="preserve">Rationale: Reference to “financial year” should have been to “Relevant Year”.  Relevant Year is defined as a year to which this licence applies, whereas TII years are prior to 2013. </w:t>
            </w:r>
          </w:p>
          <w:p w:rsidR="00477972" w:rsidRDefault="00477972" w:rsidP="006F3678">
            <w:r>
              <w:t xml:space="preserve"> </w:t>
            </w:r>
          </w:p>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2M.1</w:t>
            </w:r>
          </w:p>
          <w:p w:rsidR="00477972" w:rsidRDefault="00477972" w:rsidP="006F3678"/>
        </w:tc>
        <w:tc>
          <w:tcPr>
            <w:tcW w:w="3791" w:type="pct"/>
          </w:tcPr>
          <w:p w:rsidR="00477972" w:rsidRDefault="00477972" w:rsidP="006F3678">
            <w:r>
              <w:t>The term “</w:t>
            </w:r>
            <w:r w:rsidRPr="004A3682">
              <w:t>allowed expenditure</w:t>
            </w:r>
            <w:r>
              <w:t>” will be replaced with “</w:t>
            </w:r>
            <w:r w:rsidRPr="004A3682">
              <w:rPr>
                <w:color w:val="FF0000"/>
              </w:rPr>
              <w:t>Allowed Expenditure</w:t>
            </w:r>
            <w:r>
              <w:t>”</w:t>
            </w:r>
            <w:r w:rsidR="004A3682">
              <w:t>.</w:t>
            </w:r>
            <w:r>
              <w:t xml:space="preserve"> </w:t>
            </w:r>
          </w:p>
          <w:p w:rsidR="00477972" w:rsidRDefault="00477972" w:rsidP="006F3678"/>
          <w:p w:rsidR="00477972" w:rsidRDefault="00477972" w:rsidP="006F3678">
            <w:r>
              <w:t>Rationale: It is defined term in Special Condition 1A.</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2M.4</w:t>
            </w:r>
          </w:p>
        </w:tc>
        <w:tc>
          <w:tcPr>
            <w:tcW w:w="3791" w:type="pct"/>
          </w:tcPr>
          <w:p w:rsidR="00477972" w:rsidRDefault="004A3682" w:rsidP="006F3678">
            <w:r>
              <w:t>The term “</w:t>
            </w:r>
            <w:r w:rsidRPr="004A3682">
              <w:t>allowed expenditure</w:t>
            </w:r>
            <w:r>
              <w:t>” will be replaced with “</w:t>
            </w:r>
            <w:r w:rsidRPr="004A3682">
              <w:rPr>
                <w:color w:val="FF0000"/>
              </w:rPr>
              <w:t>Allowed Expenditure</w:t>
            </w:r>
            <w:r>
              <w:t>”.</w:t>
            </w:r>
            <w:r w:rsidR="00477972">
              <w:t xml:space="preserve"> </w:t>
            </w:r>
          </w:p>
          <w:p w:rsidR="00477972" w:rsidRDefault="00477972" w:rsidP="006F3678"/>
          <w:p w:rsidR="00477972" w:rsidRDefault="00477972" w:rsidP="006F3678">
            <w:r>
              <w:t>Rationale: It is defined term in Special Condition 1A.</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2M.10</w:t>
            </w:r>
          </w:p>
          <w:p w:rsidR="00477972" w:rsidRDefault="00477972" w:rsidP="0033007E">
            <w:r>
              <w:t>Part D and Table 3 titles</w:t>
            </w:r>
          </w:p>
        </w:tc>
        <w:tc>
          <w:tcPr>
            <w:tcW w:w="3791" w:type="pct"/>
          </w:tcPr>
          <w:p w:rsidR="00477972" w:rsidRDefault="004A3682" w:rsidP="006F3678">
            <w:r>
              <w:t>The term “</w:t>
            </w:r>
            <w:r w:rsidRPr="004A3682">
              <w:t>allowed expenditure</w:t>
            </w:r>
            <w:r>
              <w:t>” will be replaced with “</w:t>
            </w:r>
            <w:r w:rsidRPr="004A3682">
              <w:rPr>
                <w:color w:val="FF0000"/>
              </w:rPr>
              <w:t>Allowed Expenditure</w:t>
            </w:r>
            <w:r>
              <w:t>”.</w:t>
            </w:r>
          </w:p>
          <w:p w:rsidR="004A3682" w:rsidRDefault="004A3682" w:rsidP="006F3678"/>
          <w:p w:rsidR="00477972" w:rsidRDefault="00477972" w:rsidP="006F3678">
            <w:r>
              <w:t>Rationale: It is defined term in Special Condition 1A.</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3B.4</w:t>
            </w:r>
          </w:p>
        </w:tc>
        <w:tc>
          <w:tcPr>
            <w:tcW w:w="3791" w:type="pct"/>
          </w:tcPr>
          <w:p w:rsidR="00477972" w:rsidRDefault="00477972" w:rsidP="006F3678">
            <w:r>
              <w:t>In the definition of “TOFTO</w:t>
            </w:r>
            <w:r w:rsidRPr="00A16B76">
              <w:rPr>
                <w:vertAlign w:val="subscript"/>
              </w:rPr>
              <w:t>t</w:t>
            </w:r>
            <w:r>
              <w:t>” the words “offshore Transmission Owner” will be replaced with “</w:t>
            </w:r>
            <w:r w:rsidRPr="00A16B76">
              <w:rPr>
                <w:color w:val="FF0000"/>
              </w:rPr>
              <w:t>Offshore Transmission Owner</w:t>
            </w:r>
            <w:r>
              <w:t>”</w:t>
            </w:r>
            <w:r w:rsidR="004A3682">
              <w:t>.</w:t>
            </w:r>
            <w:r>
              <w:t xml:space="preserve"> </w:t>
            </w:r>
          </w:p>
          <w:p w:rsidR="00477972" w:rsidRDefault="00477972" w:rsidP="006F3678"/>
          <w:p w:rsidR="00477972" w:rsidRDefault="00477972" w:rsidP="006F3678">
            <w:r>
              <w:t>Rationale: It is defined term in Special Condition 1A.</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3C.4</w:t>
            </w:r>
          </w:p>
        </w:tc>
        <w:tc>
          <w:tcPr>
            <w:tcW w:w="3791" w:type="pct"/>
          </w:tcPr>
          <w:p w:rsidR="00477972" w:rsidRDefault="00477972" w:rsidP="006F3678">
            <w:r>
              <w:t>The term “</w:t>
            </w:r>
            <w:proofErr w:type="spellStart"/>
            <w:r>
              <w:t>RIt</w:t>
            </w:r>
            <w:proofErr w:type="spellEnd"/>
            <w:r>
              <w:t>” will be replaced with “</w:t>
            </w:r>
            <w:proofErr w:type="spellStart"/>
            <w:r w:rsidRPr="00A16B76">
              <w:rPr>
                <w:color w:val="FF0000"/>
              </w:rPr>
              <w:t>RI</w:t>
            </w:r>
            <w:r w:rsidRPr="00A16B76">
              <w:rPr>
                <w:color w:val="FF0000"/>
                <w:vertAlign w:val="subscript"/>
              </w:rPr>
              <w:t>t</w:t>
            </w:r>
            <w:proofErr w:type="spellEnd"/>
            <w:r>
              <w:t>”</w:t>
            </w:r>
            <w:r w:rsidR="004A3682">
              <w:t>.</w:t>
            </w:r>
          </w:p>
          <w:p w:rsidR="00477972" w:rsidRDefault="00477972" w:rsidP="006F3678"/>
          <w:p w:rsidR="00477972" w:rsidRDefault="00477972" w:rsidP="006F3678">
            <w:r>
              <w:t xml:space="preserve">Rationale: To correct the time subscript on the term.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3C.6</w:t>
            </w:r>
          </w:p>
        </w:tc>
        <w:tc>
          <w:tcPr>
            <w:tcW w:w="3791" w:type="pct"/>
          </w:tcPr>
          <w:p w:rsidR="00477972" w:rsidRDefault="00477972" w:rsidP="006F3678">
            <w:r>
              <w:t>The words “reliability incentive methodology statement” will be replaced with “</w:t>
            </w:r>
            <w:r w:rsidRPr="008770B8">
              <w:rPr>
                <w:color w:val="FF0000"/>
              </w:rPr>
              <w:t>Reliability Incentive Methodology Statement</w:t>
            </w:r>
            <w:r>
              <w:t>”.</w:t>
            </w:r>
          </w:p>
          <w:p w:rsidR="00477972" w:rsidRDefault="00477972" w:rsidP="006F3678"/>
          <w:p w:rsidR="00477972" w:rsidRDefault="00477972" w:rsidP="006F3678">
            <w:r>
              <w:t>Rationale: It is a defined term in Part B of Special Condition 3C (</w:t>
            </w:r>
            <w:r w:rsidRPr="005C245D">
              <w:t>Reliability Incentive Adjustment in Respect of Energy Not Supplied</w:t>
            </w:r>
            <w:r>
              <w:t>), paragraph 3C.5.</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3D.6</w:t>
            </w:r>
          </w:p>
        </w:tc>
        <w:tc>
          <w:tcPr>
            <w:tcW w:w="3791" w:type="pct"/>
          </w:tcPr>
          <w:p w:rsidR="00477972" w:rsidRDefault="00477972" w:rsidP="006F3678">
            <w:r>
              <w:t>The term “TIRGt-2” will be replaced with “</w:t>
            </w:r>
            <w:r w:rsidRPr="008B526D">
              <w:rPr>
                <w:color w:val="FF0000"/>
              </w:rPr>
              <w:t>TIRG</w:t>
            </w:r>
            <w:r w:rsidRPr="008B526D">
              <w:rPr>
                <w:color w:val="FF0000"/>
                <w:vertAlign w:val="subscript"/>
              </w:rPr>
              <w:t>t-2</w:t>
            </w:r>
            <w:r>
              <w:t>”.</w:t>
            </w:r>
          </w:p>
          <w:p w:rsidR="00477972" w:rsidRDefault="00477972" w:rsidP="006F3678"/>
          <w:p w:rsidR="00477972" w:rsidRDefault="00477972" w:rsidP="006F3678">
            <w:r>
              <w:t>Rationale: To correct the time subscript on the term.</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3D.11</w:t>
            </w:r>
          </w:p>
        </w:tc>
        <w:tc>
          <w:tcPr>
            <w:tcW w:w="3791" w:type="pct"/>
          </w:tcPr>
          <w:p w:rsidR="00477972" w:rsidRDefault="00477972" w:rsidP="006F3678">
            <w:r>
              <w:t>In the definition of “CSSAF</w:t>
            </w:r>
            <w:r w:rsidRPr="008B526D">
              <w:rPr>
                <w:vertAlign w:val="subscript"/>
              </w:rPr>
              <w:t xml:space="preserve"> t-2</w:t>
            </w:r>
            <w:r>
              <w:t>” and “SSSAF</w:t>
            </w:r>
            <w:r w:rsidRPr="008B526D">
              <w:rPr>
                <w:vertAlign w:val="subscript"/>
              </w:rPr>
              <w:t>t-2</w:t>
            </w:r>
            <w:r>
              <w:t>” the words “Max” and “Min” will be replaced with “</w:t>
            </w:r>
            <w:r w:rsidRPr="008B526D">
              <w:rPr>
                <w:color w:val="FF0000"/>
              </w:rPr>
              <w:t>max</w:t>
            </w:r>
            <w:r>
              <w:t>” and “</w:t>
            </w:r>
            <w:r w:rsidRPr="008B526D">
              <w:rPr>
                <w:color w:val="FF0000"/>
              </w:rPr>
              <w:t>min</w:t>
            </w:r>
            <w:r>
              <w:t xml:space="preserve">”. </w:t>
            </w:r>
          </w:p>
          <w:p w:rsidR="00477972" w:rsidRDefault="00477972" w:rsidP="006F3678"/>
          <w:p w:rsidR="00477972" w:rsidRDefault="00477972" w:rsidP="006F3678">
            <w:r>
              <w:t xml:space="preserve">Rationale: To be consistent with the formulas.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3E.3</w:t>
            </w:r>
          </w:p>
        </w:tc>
        <w:tc>
          <w:tcPr>
            <w:tcW w:w="3791" w:type="pct"/>
          </w:tcPr>
          <w:p w:rsidR="00477972" w:rsidRDefault="00477972" w:rsidP="006F3678">
            <w:r>
              <w:t>In the definition of “PTIS</w:t>
            </w:r>
            <w:r w:rsidRPr="00F263AA">
              <w:rPr>
                <w:vertAlign w:val="subscript"/>
              </w:rPr>
              <w:t>t-2</w:t>
            </w:r>
            <w:r>
              <w:t>”</w:t>
            </w:r>
            <w:r w:rsidRPr="00F263AA">
              <w:rPr>
                <w:vertAlign w:val="subscript"/>
              </w:rPr>
              <w:t xml:space="preserve"> </w:t>
            </w:r>
            <w:r>
              <w:t>the words “paragraph 3E.5” will be replaced with “</w:t>
            </w:r>
            <w:r w:rsidRPr="00F263AA">
              <w:rPr>
                <w:color w:val="FF0000"/>
              </w:rPr>
              <w:t>paragraph 3E.6</w:t>
            </w:r>
            <w:r>
              <w:t>”.</w:t>
            </w:r>
          </w:p>
          <w:p w:rsidR="00477972" w:rsidRDefault="00477972" w:rsidP="006F3678"/>
          <w:p w:rsidR="00477972" w:rsidRDefault="00477972" w:rsidP="006F3678">
            <w:r>
              <w:t>Rationale: To reference the correct paragraph.</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3E.6</w:t>
            </w:r>
          </w:p>
        </w:tc>
        <w:tc>
          <w:tcPr>
            <w:tcW w:w="3791" w:type="pct"/>
          </w:tcPr>
          <w:p w:rsidR="00477972" w:rsidRDefault="00477972" w:rsidP="006F3678">
            <w:r>
              <w:t>The term “PTISt-2” will be replaced with “</w:t>
            </w:r>
            <w:r w:rsidRPr="008B526D">
              <w:rPr>
                <w:color w:val="FF0000"/>
              </w:rPr>
              <w:t>PTIS</w:t>
            </w:r>
            <w:r w:rsidRPr="008B526D">
              <w:rPr>
                <w:color w:val="FF0000"/>
                <w:vertAlign w:val="subscript"/>
              </w:rPr>
              <w:t>t-2</w:t>
            </w:r>
            <w:r>
              <w:t>”.</w:t>
            </w:r>
          </w:p>
          <w:p w:rsidR="00477972" w:rsidRDefault="00477972" w:rsidP="006F3678"/>
          <w:p w:rsidR="00477972" w:rsidRDefault="00477972" w:rsidP="006F3678">
            <w:r>
              <w:t>Rationale: To correct the time subscript on the term.</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3E.17</w:t>
            </w:r>
          </w:p>
        </w:tc>
        <w:tc>
          <w:tcPr>
            <w:tcW w:w="3791" w:type="pct"/>
          </w:tcPr>
          <w:p w:rsidR="00477972" w:rsidRDefault="00477972" w:rsidP="006F3678">
            <w:r>
              <w:t>The words “(and includes but not limited to)” will be replaced with “</w:t>
            </w:r>
            <w:r w:rsidRPr="008B526D">
              <w:rPr>
                <w:color w:val="FF0000"/>
              </w:rPr>
              <w:t>(and includes but is not limited to</w:t>
            </w:r>
            <w:r>
              <w:rPr>
                <w:color w:val="FF0000"/>
              </w:rPr>
              <w:t>)</w:t>
            </w:r>
            <w:r>
              <w:t>”.</w:t>
            </w:r>
          </w:p>
          <w:p w:rsidR="00477972" w:rsidRDefault="00477972" w:rsidP="006F3678"/>
          <w:p w:rsidR="00477972" w:rsidRDefault="00477972" w:rsidP="006F3678">
            <w:r>
              <w:t xml:space="preserve">Rationale: To insert a missing word.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3F.11</w:t>
            </w:r>
          </w:p>
        </w:tc>
        <w:tc>
          <w:tcPr>
            <w:tcW w:w="3791" w:type="pct"/>
          </w:tcPr>
          <w:p w:rsidR="00477972" w:rsidRDefault="00477972" w:rsidP="006F3678">
            <w:r>
              <w:t>The word “</w:t>
            </w:r>
            <w:r w:rsidRPr="001447C7">
              <w:rPr>
                <w:color w:val="FF0000"/>
              </w:rPr>
              <w:t>be</w:t>
            </w:r>
            <w:r>
              <w:t>” will be inserted in between the words “...may” and “modified...</w:t>
            </w:r>
            <w:proofErr w:type="gramStart"/>
            <w:r>
              <w:t>”.</w:t>
            </w:r>
            <w:proofErr w:type="gramEnd"/>
            <w:r>
              <w:t xml:space="preserve"> </w:t>
            </w:r>
          </w:p>
          <w:p w:rsidR="00477972" w:rsidRDefault="00477972" w:rsidP="006F3678"/>
          <w:p w:rsidR="00477972" w:rsidRDefault="00477972" w:rsidP="006F3678">
            <w:r>
              <w:t xml:space="preserve">Rationale: To insert a missing word.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3H.12</w:t>
            </w:r>
          </w:p>
        </w:tc>
        <w:tc>
          <w:tcPr>
            <w:tcW w:w="3791" w:type="pct"/>
          </w:tcPr>
          <w:p w:rsidR="00477972" w:rsidRDefault="00477972" w:rsidP="006F3678">
            <w:r>
              <w:t>The words “</w:t>
            </w:r>
            <w:proofErr w:type="spellStart"/>
            <w:r>
              <w:t>electricitytransmission</w:t>
            </w:r>
            <w:proofErr w:type="spellEnd"/>
            <w:r>
              <w:t>” will be replaced with “</w:t>
            </w:r>
            <w:r w:rsidRPr="00396250">
              <w:rPr>
                <w:color w:val="FF0000"/>
              </w:rPr>
              <w:t>electricity transmission</w:t>
            </w:r>
            <w:r>
              <w:t>”.</w:t>
            </w:r>
          </w:p>
          <w:p w:rsidR="00477972" w:rsidRDefault="00477972" w:rsidP="006F3678"/>
          <w:p w:rsidR="00477972" w:rsidRDefault="00477972" w:rsidP="006F3678">
            <w:r>
              <w:t xml:space="preserve">Rationale: To insert a missing space between the words.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3I.14</w:t>
            </w:r>
          </w:p>
        </w:tc>
        <w:tc>
          <w:tcPr>
            <w:tcW w:w="3791" w:type="pct"/>
          </w:tcPr>
          <w:p w:rsidR="00477972" w:rsidRDefault="00477972" w:rsidP="006F3678">
            <w:r>
              <w:t xml:space="preserve">The paragraph will be amended as follows: </w:t>
            </w:r>
          </w:p>
          <w:p w:rsidR="00477972" w:rsidRDefault="00477972" w:rsidP="006F3678"/>
          <w:p w:rsidR="00477972" w:rsidRPr="00A55956" w:rsidRDefault="00477972" w:rsidP="006F3678">
            <w:r>
              <w:t>“</w:t>
            </w:r>
            <w:r w:rsidRPr="00A55956">
              <w:t xml:space="preserve">For the purposes of paragraph 3I.13 of this condition, Directly Attributable Costs are costs relating to the maintenance and management of intellectual property generated through Eligible NIC Projects (whether undertaken by the licensee or any other Transmission </w:t>
            </w:r>
            <w:proofErr w:type="spellStart"/>
            <w:r w:rsidRPr="00A55956">
              <w:t>Licencee</w:t>
            </w:r>
            <w:proofErr w:type="spellEnd"/>
            <w:r w:rsidRPr="00A55956">
              <w:t xml:space="preserve">) that have not been otherwise remunerated through Transmission Network Charges, </w:t>
            </w:r>
            <w:r w:rsidRPr="00A55956">
              <w:rPr>
                <w:color w:val="FF0000"/>
              </w:rPr>
              <w:t xml:space="preserve">do not fall within the Statement of General Principle for </w:t>
            </w:r>
            <w:r w:rsidRPr="00A55956">
              <w:t xml:space="preserve">Excluded Services </w:t>
            </w:r>
            <w:r w:rsidRPr="00A55956">
              <w:rPr>
                <w:color w:val="FF0000"/>
              </w:rPr>
              <w:t>set out in Part B of Special Condition 8B (Services treated as Excluded Services)</w:t>
            </w:r>
            <w:r w:rsidRPr="00A55956">
              <w:t>, or the NIC Funding Mechanism.</w:t>
            </w:r>
            <w:r>
              <w:t>”</w:t>
            </w:r>
            <w:r w:rsidRPr="00A55956">
              <w:t xml:space="preserve"> </w:t>
            </w:r>
          </w:p>
          <w:p w:rsidR="00477972" w:rsidRDefault="00477972" w:rsidP="006F3678"/>
          <w:p w:rsidR="00477972" w:rsidRDefault="00477972" w:rsidP="006F3678">
            <w:r>
              <w:t xml:space="preserve">Rationale: To clarify the scope of the defined term.  </w:t>
            </w:r>
          </w:p>
          <w:p w:rsidR="00477972" w:rsidRPr="00157C07"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3J.2</w:t>
            </w:r>
          </w:p>
        </w:tc>
        <w:tc>
          <w:tcPr>
            <w:tcW w:w="3791" w:type="pct"/>
          </w:tcPr>
          <w:p w:rsidR="00477972" w:rsidRDefault="00477972" w:rsidP="006F3678">
            <w:r>
              <w:t>In the definition of “</w:t>
            </w:r>
            <w:proofErr w:type="spellStart"/>
            <w:r>
              <w:t>IPTIRG</w:t>
            </w:r>
            <w:r w:rsidRPr="00396250">
              <w:rPr>
                <w:vertAlign w:val="superscript"/>
              </w:rPr>
              <w:t>i</w:t>
            </w:r>
            <w:r w:rsidRPr="00396250">
              <w:rPr>
                <w:vertAlign w:val="subscript"/>
              </w:rPr>
              <w:t>t</w:t>
            </w:r>
            <w:proofErr w:type="spellEnd"/>
            <w:r>
              <w:t>” the term “J3.3” will be replaced with “</w:t>
            </w:r>
            <w:r w:rsidRPr="00396250">
              <w:rPr>
                <w:color w:val="FF0000"/>
              </w:rPr>
              <w:t>3J.3</w:t>
            </w:r>
            <w:r>
              <w:t>”.</w:t>
            </w:r>
          </w:p>
          <w:p w:rsidR="00477972" w:rsidRDefault="00477972" w:rsidP="006F3678"/>
          <w:p w:rsidR="00477972" w:rsidRDefault="00477972" w:rsidP="006F3678">
            <w:r>
              <w:t xml:space="preserve">Rationale: To reference the correct paragraph number. </w:t>
            </w:r>
          </w:p>
          <w:p w:rsidR="00477972" w:rsidRPr="00396250"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3K.3 (a)</w:t>
            </w:r>
          </w:p>
        </w:tc>
        <w:tc>
          <w:tcPr>
            <w:tcW w:w="3791" w:type="pct"/>
          </w:tcPr>
          <w:p w:rsidR="00477972" w:rsidRDefault="00477972" w:rsidP="006F3678">
            <w:r>
              <w:t>The word “</w:t>
            </w:r>
            <w:r w:rsidRPr="00AC533E">
              <w:rPr>
                <w:color w:val="FF0000"/>
              </w:rPr>
              <w:t>or</w:t>
            </w:r>
            <w:r>
              <w:t xml:space="preserve">” will be inserted in between “Relevant SO Special Conditions” and “any part or parts thereof;” </w:t>
            </w:r>
          </w:p>
          <w:p w:rsidR="00477972" w:rsidRDefault="00477972" w:rsidP="006F3678"/>
          <w:p w:rsidR="00477972" w:rsidRDefault="00477972" w:rsidP="006F3678">
            <w:r>
              <w:t xml:space="preserve">Rationale: To insert the missing word.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5B.2</w:t>
            </w:r>
          </w:p>
        </w:tc>
        <w:tc>
          <w:tcPr>
            <w:tcW w:w="3791" w:type="pct"/>
          </w:tcPr>
          <w:p w:rsidR="00477972" w:rsidRDefault="00477972" w:rsidP="006F3678">
            <w:r>
              <w:t>The year format “2019-20” and “2020-21” will be changed to “</w:t>
            </w:r>
            <w:r w:rsidRPr="0056733E">
              <w:rPr>
                <w:color w:val="FF0000"/>
              </w:rPr>
              <w:t>2019/20</w:t>
            </w:r>
            <w:r>
              <w:t>” and “</w:t>
            </w:r>
            <w:r w:rsidRPr="0056733E">
              <w:rPr>
                <w:color w:val="FF0000"/>
              </w:rPr>
              <w:t>2020/21</w:t>
            </w:r>
            <w:r>
              <w:t>”.</w:t>
            </w:r>
          </w:p>
          <w:p w:rsidR="00477972" w:rsidRDefault="00477972" w:rsidP="006F3678"/>
          <w:p w:rsidR="00477972" w:rsidRDefault="00477972" w:rsidP="006F3678">
            <w:r>
              <w:t xml:space="preserve">Rationale: To adopt a consistent year format to that used in other parts of licence.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6A.15</w:t>
            </w:r>
          </w:p>
        </w:tc>
        <w:tc>
          <w:tcPr>
            <w:tcW w:w="3791" w:type="pct"/>
          </w:tcPr>
          <w:p w:rsidR="00477972" w:rsidRDefault="00477972" w:rsidP="006F3678">
            <w:r>
              <w:t>The words “</w:t>
            </w:r>
            <w:r w:rsidRPr="0056733E">
              <w:rPr>
                <w:color w:val="FF0000"/>
              </w:rPr>
              <w:t>starting from 30 November 2013.</w:t>
            </w:r>
            <w:r>
              <w:t>” will be inserted at the end of the paragraph.</w:t>
            </w:r>
          </w:p>
          <w:p w:rsidR="00477972" w:rsidRDefault="00477972" w:rsidP="006F3678"/>
          <w:p w:rsidR="00477972" w:rsidRDefault="00477972" w:rsidP="006F3678">
            <w:r>
              <w:t xml:space="preserve">Rationale: To clarify the intent of the policy in the licence condition.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6A.17</w:t>
            </w:r>
          </w:p>
        </w:tc>
        <w:tc>
          <w:tcPr>
            <w:tcW w:w="3791" w:type="pct"/>
          </w:tcPr>
          <w:p w:rsidR="00477972" w:rsidRDefault="00477972" w:rsidP="006F3678">
            <w:r>
              <w:t>The reference to “64.15” will be replaced with “</w:t>
            </w:r>
            <w:r w:rsidRPr="0056733E">
              <w:rPr>
                <w:color w:val="FF0000"/>
              </w:rPr>
              <w:t>6A.15</w:t>
            </w:r>
            <w:r>
              <w:t>”.</w:t>
            </w:r>
          </w:p>
          <w:p w:rsidR="00477972" w:rsidRDefault="00477972" w:rsidP="006F3678"/>
          <w:p w:rsidR="00477972" w:rsidRDefault="00477972" w:rsidP="006F3678">
            <w:r>
              <w:t>Rationale: To reference the correct paragraph number.</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6B.9(a)</w:t>
            </w:r>
          </w:p>
        </w:tc>
        <w:tc>
          <w:tcPr>
            <w:tcW w:w="3791" w:type="pct"/>
          </w:tcPr>
          <w:p w:rsidR="00477972" w:rsidRDefault="00477972" w:rsidP="006F3678">
            <w:r>
              <w:t>The term “</w:t>
            </w:r>
            <w:proofErr w:type="spellStart"/>
            <w:r>
              <w:t>CxIncTOt</w:t>
            </w:r>
            <w:proofErr w:type="spellEnd"/>
            <w:r>
              <w:t>” will be replaced with “</w:t>
            </w:r>
            <w:proofErr w:type="spellStart"/>
            <w:r w:rsidRPr="00B900B1">
              <w:rPr>
                <w:color w:val="FF0000"/>
              </w:rPr>
              <w:t>CxIncTO</w:t>
            </w:r>
            <w:r w:rsidRPr="00B900B1">
              <w:rPr>
                <w:color w:val="FF0000"/>
                <w:vertAlign w:val="subscript"/>
              </w:rPr>
              <w:t>t</w:t>
            </w:r>
            <w:proofErr w:type="spellEnd"/>
            <w:r>
              <w:t>”.</w:t>
            </w:r>
          </w:p>
          <w:p w:rsidR="00477972" w:rsidRDefault="00477972" w:rsidP="006F3678"/>
          <w:p w:rsidR="00477972" w:rsidRDefault="00477972" w:rsidP="006F3678">
            <w:r>
              <w:t>Rationale: To correct the time subscript on the term.</w:t>
            </w:r>
          </w:p>
          <w:p w:rsidR="00477972" w:rsidRPr="00B900B1"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6B.19 (a) &amp; (b)</w:t>
            </w:r>
          </w:p>
        </w:tc>
        <w:tc>
          <w:tcPr>
            <w:tcW w:w="3791" w:type="pct"/>
          </w:tcPr>
          <w:p w:rsidR="00477972" w:rsidRDefault="00477972" w:rsidP="006F3678">
            <w:r>
              <w:t>The term “</w:t>
            </w:r>
            <w:r w:rsidRPr="000E0592">
              <w:t>Scheduled Project</w:t>
            </w:r>
            <w:r>
              <w:t xml:space="preserve"> I” will be replaced with “</w:t>
            </w:r>
            <w:r w:rsidRPr="00BF5B0A">
              <w:rPr>
                <w:color w:val="FF0000"/>
              </w:rPr>
              <w:t>Scheduled Project</w:t>
            </w:r>
            <w:r>
              <w:t xml:space="preserve"> </w:t>
            </w:r>
            <w:r w:rsidRPr="00B900B1">
              <w:rPr>
                <w:color w:val="FF0000"/>
              </w:rPr>
              <w:t>i</w:t>
            </w:r>
            <w:r>
              <w:t>”.</w:t>
            </w:r>
          </w:p>
          <w:p w:rsidR="00477972" w:rsidRDefault="00477972" w:rsidP="006F3678"/>
          <w:p w:rsidR="00477972" w:rsidRDefault="00477972" w:rsidP="006F3678">
            <w:r>
              <w:t xml:space="preserve">Rationale: To correct the specified term.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6C.10</w:t>
            </w:r>
          </w:p>
        </w:tc>
        <w:tc>
          <w:tcPr>
            <w:tcW w:w="3791" w:type="pct"/>
          </w:tcPr>
          <w:p w:rsidR="00477972" w:rsidRDefault="00477972" w:rsidP="006F3678">
            <w:r>
              <w:t>The year format “2014-15” will be changed to “</w:t>
            </w:r>
            <w:r w:rsidRPr="004004B0">
              <w:rPr>
                <w:color w:val="FF0000"/>
              </w:rPr>
              <w:t>2014/15</w:t>
            </w:r>
            <w:r>
              <w:t xml:space="preserve">”. </w:t>
            </w:r>
          </w:p>
          <w:p w:rsidR="00477972" w:rsidRDefault="00477972" w:rsidP="006F3678"/>
          <w:p w:rsidR="00477972" w:rsidRDefault="00477972" w:rsidP="006F3678">
            <w:r>
              <w:t>Rationale: To adopt a consistent year format to that used in other parts of licence.</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6D.6, 6D.8 &amp; 6D.16</w:t>
            </w:r>
          </w:p>
        </w:tc>
        <w:tc>
          <w:tcPr>
            <w:tcW w:w="3791" w:type="pct"/>
          </w:tcPr>
          <w:p w:rsidR="00477972" w:rsidRDefault="00477972" w:rsidP="006F3678">
            <w:r>
              <w:t>The year format “2014-15” will be changed to “</w:t>
            </w:r>
            <w:r w:rsidRPr="004004B0">
              <w:rPr>
                <w:color w:val="FF0000"/>
              </w:rPr>
              <w:t>2014/15</w:t>
            </w:r>
            <w:r>
              <w:t xml:space="preserve">”. </w:t>
            </w:r>
          </w:p>
          <w:p w:rsidR="00477972" w:rsidRDefault="00477972" w:rsidP="006F3678"/>
          <w:p w:rsidR="00477972" w:rsidRDefault="00477972" w:rsidP="006F3678">
            <w:r>
              <w:t>Rationale: To adopt a consistent year format to that used in other parts of licence.</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6D.22</w:t>
            </w:r>
          </w:p>
        </w:tc>
        <w:tc>
          <w:tcPr>
            <w:tcW w:w="3791" w:type="pct"/>
          </w:tcPr>
          <w:p w:rsidR="00477972" w:rsidRDefault="00477972" w:rsidP="006F3678">
            <w:r>
              <w:t>The year “</w:t>
            </w:r>
            <w:r w:rsidRPr="004004B0">
              <w:rPr>
                <w:color w:val="FF0000"/>
              </w:rPr>
              <w:t>2013/14</w:t>
            </w:r>
            <w:r>
              <w:t>” will be deleted from the end of the paragraph.</w:t>
            </w:r>
          </w:p>
          <w:p w:rsidR="00477972" w:rsidRDefault="00477972" w:rsidP="006F3678"/>
          <w:p w:rsidR="00477972" w:rsidRDefault="00477972" w:rsidP="006F3678">
            <w:r>
              <w:t>Rationale: To remove a repetition.</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6F.8</w:t>
            </w:r>
          </w:p>
        </w:tc>
        <w:tc>
          <w:tcPr>
            <w:tcW w:w="3791" w:type="pct"/>
          </w:tcPr>
          <w:p w:rsidR="00477972" w:rsidRDefault="00477972" w:rsidP="006F3678">
            <w:r>
              <w:t>In the definition of “</w:t>
            </w:r>
            <w:proofErr w:type="spellStart"/>
            <w:r>
              <w:t>BGCE</w:t>
            </w:r>
            <w:r w:rsidRPr="004004B0">
              <w:rPr>
                <w:vertAlign w:val="subscript"/>
              </w:rPr>
              <w:t>n</w:t>
            </w:r>
            <w:proofErr w:type="spellEnd"/>
            <w:r>
              <w:t>” the words “Relevant Year t” will be replaced with “</w:t>
            </w:r>
            <w:r w:rsidRPr="004004B0">
              <w:rPr>
                <w:color w:val="FF0000"/>
              </w:rPr>
              <w:t>Relevant Year n</w:t>
            </w:r>
            <w:r>
              <w:t>”.</w:t>
            </w:r>
          </w:p>
          <w:p w:rsidR="00477972" w:rsidRDefault="00477972" w:rsidP="006F3678"/>
          <w:p w:rsidR="00477972" w:rsidRDefault="00477972" w:rsidP="006F3678">
            <w:r>
              <w:t xml:space="preserve">Rationale: To reference the correct term.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6F.8</w:t>
            </w:r>
          </w:p>
        </w:tc>
        <w:tc>
          <w:tcPr>
            <w:tcW w:w="3791" w:type="pct"/>
          </w:tcPr>
          <w:p w:rsidR="00477972" w:rsidRDefault="00477972" w:rsidP="006F3678">
            <w:r>
              <w:t>In the definition of “</w:t>
            </w:r>
            <w:proofErr w:type="spellStart"/>
            <w:r>
              <w:t>TPG</w:t>
            </w:r>
            <w:r w:rsidRPr="004004B0">
              <w:rPr>
                <w:vertAlign w:val="subscript"/>
              </w:rPr>
              <w:t>n</w:t>
            </w:r>
            <w:proofErr w:type="spellEnd"/>
            <w:r>
              <w:t>” the words “...in 2009/10 prices)...” will be replaced with “</w:t>
            </w:r>
            <w:proofErr w:type="gramStart"/>
            <w:r>
              <w:t>…</w:t>
            </w:r>
            <w:r w:rsidRPr="001F1695">
              <w:rPr>
                <w:color w:val="FF0000"/>
              </w:rPr>
              <w:t>(</w:t>
            </w:r>
            <w:proofErr w:type="gramEnd"/>
            <w:r w:rsidRPr="00F15B9D">
              <w:rPr>
                <w:color w:val="FF0000"/>
              </w:rPr>
              <w:t>in 2009/10 prices)</w:t>
            </w:r>
            <w:r>
              <w:t>”.</w:t>
            </w:r>
          </w:p>
          <w:p w:rsidR="00477972" w:rsidRDefault="00477972" w:rsidP="006F3678"/>
          <w:p w:rsidR="00477972" w:rsidRDefault="00477972" w:rsidP="006F3678">
            <w:r>
              <w:t xml:space="preserve">Rationale: To insert the missing open bracket.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6F.8</w:t>
            </w:r>
          </w:p>
        </w:tc>
        <w:tc>
          <w:tcPr>
            <w:tcW w:w="3791" w:type="pct"/>
          </w:tcPr>
          <w:p w:rsidR="00477972" w:rsidRDefault="00477972" w:rsidP="006F3678">
            <w:r>
              <w:t>In the definition of “</w:t>
            </w:r>
            <w:proofErr w:type="spellStart"/>
            <w:r>
              <w:t>TPRG</w:t>
            </w:r>
            <w:r w:rsidRPr="001F1695">
              <w:rPr>
                <w:vertAlign w:val="subscript"/>
              </w:rPr>
              <w:t>n</w:t>
            </w:r>
            <w:proofErr w:type="spellEnd"/>
            <w:r>
              <w:t>” the term “</w:t>
            </w:r>
            <w:proofErr w:type="spellStart"/>
            <w:r>
              <w:t>TP</w:t>
            </w:r>
            <w:r w:rsidRPr="001F1695">
              <w:rPr>
                <w:vertAlign w:val="subscript"/>
              </w:rPr>
              <w:t>n</w:t>
            </w:r>
            <w:proofErr w:type="spellEnd"/>
            <w:r>
              <w:t>” will be replaced with “</w:t>
            </w:r>
            <w:proofErr w:type="spellStart"/>
            <w:r w:rsidRPr="00420EDE">
              <w:rPr>
                <w:color w:val="FF0000"/>
              </w:rPr>
              <w:t>TPG</w:t>
            </w:r>
            <w:r w:rsidRPr="00420EDE">
              <w:rPr>
                <w:color w:val="FF0000"/>
                <w:vertAlign w:val="subscript"/>
              </w:rPr>
              <w:t>n</w:t>
            </w:r>
            <w:proofErr w:type="spellEnd"/>
            <w:r w:rsidRPr="00297E54">
              <w:t>”</w:t>
            </w:r>
            <w:r>
              <w:t>.</w:t>
            </w:r>
          </w:p>
          <w:p w:rsidR="00477972" w:rsidRDefault="00477972" w:rsidP="006F3678"/>
          <w:p w:rsidR="00477972" w:rsidRDefault="00477972" w:rsidP="006F3678">
            <w:r>
              <w:t xml:space="preserve">Rationale. To reference the correct defined term.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6F.9</w:t>
            </w:r>
          </w:p>
        </w:tc>
        <w:tc>
          <w:tcPr>
            <w:tcW w:w="3791" w:type="pct"/>
          </w:tcPr>
          <w:p w:rsidR="00477972" w:rsidRDefault="00477972" w:rsidP="006F3678">
            <w:r>
              <w:t>The first paragraph will be amended as follows:</w:t>
            </w:r>
          </w:p>
          <w:p w:rsidR="00477972" w:rsidRDefault="00477972" w:rsidP="006F3678"/>
          <w:p w:rsidR="00477972" w:rsidRDefault="00477972" w:rsidP="006F3678">
            <w:r>
              <w:t xml:space="preserve">“The value of </w:t>
            </w:r>
            <w:proofErr w:type="spellStart"/>
            <w:r>
              <w:t>VGCE</w:t>
            </w:r>
            <w:r w:rsidRPr="001F1695">
              <w:rPr>
                <w:vertAlign w:val="subscript"/>
              </w:rPr>
              <w:t>t,n</w:t>
            </w:r>
            <w:proofErr w:type="spellEnd"/>
            <w:r>
              <w:t xml:space="preserve"> is to be determined for Relevant Year t = 2015/16 </w:t>
            </w:r>
            <w:r w:rsidRPr="001F1695">
              <w:rPr>
                <w:color w:val="FF0000"/>
              </w:rPr>
              <w:t>and each subsequent Relevant Year</w:t>
            </w:r>
            <w:r>
              <w:rPr>
                <w:color w:val="FF0000"/>
              </w:rPr>
              <w:t xml:space="preserve"> </w:t>
            </w:r>
            <w:r>
              <w:t>in accordance with the following formula for each Relevant Year n (where n=2014 to 2021 for Relevant Year ending 31 March) where information is available for Relevant Year t-2:”</w:t>
            </w:r>
          </w:p>
          <w:p w:rsidR="00477972" w:rsidRDefault="00477972" w:rsidP="006F3678"/>
          <w:p w:rsidR="00477972" w:rsidRDefault="00477972" w:rsidP="006F3678">
            <w:r>
              <w:t xml:space="preserve">Rationale: The current wording sets out how to calculate the value of </w:t>
            </w:r>
            <w:proofErr w:type="spellStart"/>
            <w:r>
              <w:t>VGCE</w:t>
            </w:r>
            <w:r w:rsidRPr="001F1695">
              <w:rPr>
                <w:vertAlign w:val="subscript"/>
              </w:rPr>
              <w:t>t</w:t>
            </w:r>
            <w:proofErr w:type="gramStart"/>
            <w:r w:rsidRPr="001F1695">
              <w:rPr>
                <w:vertAlign w:val="subscript"/>
              </w:rPr>
              <w:t>,n</w:t>
            </w:r>
            <w:proofErr w:type="spellEnd"/>
            <w:proofErr w:type="gramEnd"/>
            <w:r>
              <w:t xml:space="preserve"> in 2015/16 only, but this is incorrect as this is the enduring formula for the remainder of the price control period.  </w:t>
            </w:r>
          </w:p>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Pr="006870CD" w:rsidRDefault="00477972" w:rsidP="006F3678">
            <w:r w:rsidRPr="006870CD">
              <w:t>6F.9</w:t>
            </w:r>
          </w:p>
        </w:tc>
        <w:tc>
          <w:tcPr>
            <w:tcW w:w="3791" w:type="pct"/>
          </w:tcPr>
          <w:p w:rsidR="00477972" w:rsidRDefault="00477972" w:rsidP="006F3678">
            <w:r>
              <w:t>In definition of “ASLCBL</w:t>
            </w:r>
            <w:r w:rsidRPr="0056047B">
              <w:rPr>
                <w:vertAlign w:val="subscript"/>
              </w:rPr>
              <w:t>x</w:t>
            </w:r>
            <w:proofErr w:type="gramStart"/>
            <w:r w:rsidRPr="0056047B">
              <w:rPr>
                <w:vertAlign w:val="subscript"/>
              </w:rPr>
              <w:t>,m,t</w:t>
            </w:r>
            <w:proofErr w:type="gramEnd"/>
            <w:r w:rsidRPr="0056047B">
              <w:rPr>
                <w:vertAlign w:val="subscript"/>
              </w:rPr>
              <w:t>-2</w:t>
            </w:r>
            <w:r>
              <w:t>”, the word “route” will be replaced with “</w:t>
            </w:r>
            <w:r w:rsidRPr="00825D39">
              <w:rPr>
                <w:color w:val="FF0000"/>
              </w:rPr>
              <w:t>circuit</w:t>
            </w:r>
            <w:r>
              <w:t>”.</w:t>
            </w:r>
          </w:p>
          <w:p w:rsidR="00477972" w:rsidRDefault="00477972" w:rsidP="006F3678"/>
          <w:p w:rsidR="00477972" w:rsidRDefault="00477972" w:rsidP="006F3678">
            <w:r>
              <w:t xml:space="preserve">Rationale: To correct the scope and meaning of the term.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rsidRPr="006870CD">
              <w:t xml:space="preserve">6F.9 </w:t>
            </w:r>
          </w:p>
          <w:p w:rsidR="00477972" w:rsidRPr="006870CD" w:rsidRDefault="00477972" w:rsidP="006F3678">
            <w:r w:rsidRPr="006870CD">
              <w:t>Table 2</w:t>
            </w:r>
          </w:p>
        </w:tc>
        <w:tc>
          <w:tcPr>
            <w:tcW w:w="3791" w:type="pct"/>
          </w:tcPr>
          <w:p w:rsidR="00477972" w:rsidRDefault="00477972" w:rsidP="006F3678">
            <w:r>
              <w:t>In the column header for “</w:t>
            </w:r>
            <w:proofErr w:type="spellStart"/>
            <w:r>
              <w:t>COUCA</w:t>
            </w:r>
            <w:r w:rsidRPr="000D49EC">
              <w:rPr>
                <w:vertAlign w:val="subscript"/>
              </w:rPr>
              <w:t>m</w:t>
            </w:r>
            <w:proofErr w:type="spellEnd"/>
            <w:r>
              <w:t>” the word “route” will be replaced with “</w:t>
            </w:r>
            <w:r w:rsidRPr="00AC533E">
              <w:rPr>
                <w:color w:val="FF0000"/>
              </w:rPr>
              <w:t>circuit</w:t>
            </w:r>
            <w:r>
              <w:t xml:space="preserve">”. </w:t>
            </w:r>
          </w:p>
          <w:p w:rsidR="00477972" w:rsidRDefault="00477972" w:rsidP="006F3678"/>
          <w:p w:rsidR="00477972" w:rsidRDefault="00477972" w:rsidP="006F3678">
            <w:r>
              <w:t xml:space="preserve">Rationale: To correct the scope and meaning of the term.  </w:t>
            </w:r>
          </w:p>
          <w:p w:rsidR="00477972" w:rsidRPr="00325E9E"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rsidRPr="006870CD">
              <w:t xml:space="preserve">6F.9 </w:t>
            </w:r>
          </w:p>
          <w:p w:rsidR="00477972" w:rsidRPr="006870CD" w:rsidRDefault="00477972" w:rsidP="006F3678">
            <w:r w:rsidRPr="006870CD">
              <w:t>Table 2</w:t>
            </w:r>
          </w:p>
        </w:tc>
        <w:tc>
          <w:tcPr>
            <w:tcW w:w="3791" w:type="pct"/>
          </w:tcPr>
          <w:p w:rsidR="00477972" w:rsidRDefault="00477972" w:rsidP="006F3678">
            <w:r>
              <w:t>In the “Underground cable type” column, the measurement “2500m</w:t>
            </w:r>
            <w:r w:rsidRPr="00236BFE">
              <w:rPr>
                <w:vertAlign w:val="superscript"/>
              </w:rPr>
              <w:t>2</w:t>
            </w:r>
            <w:r>
              <w:t>” will be replaced with “</w:t>
            </w:r>
            <w:r w:rsidRPr="00236BFE">
              <w:rPr>
                <w:color w:val="FF0000"/>
              </w:rPr>
              <w:t>2500mm</w:t>
            </w:r>
            <w:r w:rsidRPr="00236BFE">
              <w:rPr>
                <w:color w:val="FF0000"/>
                <w:vertAlign w:val="superscript"/>
              </w:rPr>
              <w:t>2</w:t>
            </w:r>
            <w:r>
              <w:t>”.</w:t>
            </w:r>
          </w:p>
          <w:p w:rsidR="00477972" w:rsidRDefault="00477972" w:rsidP="006F3678"/>
          <w:p w:rsidR="00477972" w:rsidRDefault="00477972" w:rsidP="006F3678">
            <w:r>
              <w:t>Rationale: To correct the dimension measurement.</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Pr="006870CD" w:rsidRDefault="00477972" w:rsidP="006F3678">
            <w:r w:rsidRPr="006870CD">
              <w:t>6F.10</w:t>
            </w:r>
          </w:p>
        </w:tc>
        <w:tc>
          <w:tcPr>
            <w:tcW w:w="3791" w:type="pct"/>
          </w:tcPr>
          <w:p w:rsidR="00477972" w:rsidRDefault="00477972" w:rsidP="006F3678">
            <w:r>
              <w:t>In definition of “</w:t>
            </w:r>
            <w:proofErr w:type="spellStart"/>
            <w:r>
              <w:t>FCBL</w:t>
            </w:r>
            <w:r w:rsidRPr="00005929">
              <w:rPr>
                <w:vertAlign w:val="subscript"/>
              </w:rPr>
              <w:t>x</w:t>
            </w:r>
            <w:proofErr w:type="gramStart"/>
            <w:r w:rsidRPr="00005929">
              <w:rPr>
                <w:vertAlign w:val="subscript"/>
              </w:rPr>
              <w:t>,m,d</w:t>
            </w:r>
            <w:proofErr w:type="spellEnd"/>
            <w:proofErr w:type="gramEnd"/>
            <w:r>
              <w:t>”, the word “route” will be replaced with “</w:t>
            </w:r>
            <w:r w:rsidRPr="00825D39">
              <w:rPr>
                <w:color w:val="FF0000"/>
              </w:rPr>
              <w:t>circuit</w:t>
            </w:r>
            <w:r>
              <w:t>”.</w:t>
            </w:r>
          </w:p>
          <w:p w:rsidR="00477972" w:rsidRDefault="00477972" w:rsidP="006F3678"/>
          <w:p w:rsidR="00477972" w:rsidRDefault="00477972" w:rsidP="006F3678">
            <w:r>
              <w:t xml:space="preserve">Rationale: To correct the scope and meaning of the term.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6G.18 (a)(iii)</w:t>
            </w:r>
          </w:p>
        </w:tc>
        <w:tc>
          <w:tcPr>
            <w:tcW w:w="3791" w:type="pct"/>
          </w:tcPr>
          <w:p w:rsidR="00477972" w:rsidRDefault="00477972" w:rsidP="006F3678">
            <w:r>
              <w:t>The open bracket “</w:t>
            </w:r>
            <w:r w:rsidRPr="00A54896">
              <w:t>(</w:t>
            </w:r>
            <w:proofErr w:type="gramStart"/>
            <w:r>
              <w:t>“ following</w:t>
            </w:r>
            <w:proofErr w:type="gramEnd"/>
            <w:r>
              <w:t xml:space="preserve"> the words “specifying the time” will be removed and the punctuation at the end of the </w:t>
            </w:r>
            <w:proofErr w:type="spellStart"/>
            <w:r>
              <w:t>subclause</w:t>
            </w:r>
            <w:proofErr w:type="spellEnd"/>
            <w:r>
              <w:t xml:space="preserve"> “.” will be replaced with “</w:t>
            </w:r>
            <w:r w:rsidRPr="008770B8">
              <w:rPr>
                <w:color w:val="FF0000"/>
              </w:rPr>
              <w:t>; and</w:t>
            </w:r>
            <w:r>
              <w:t>”.</w:t>
            </w:r>
          </w:p>
          <w:p w:rsidR="00477972" w:rsidRDefault="00477972" w:rsidP="006F3678"/>
          <w:p w:rsidR="00477972" w:rsidRDefault="00477972" w:rsidP="006F3678">
            <w:r>
              <w:t xml:space="preserve">Rationale: Open bracket is unnecessary, and to correct the punctuation.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 xml:space="preserve">6G.22 (a) </w:t>
            </w:r>
          </w:p>
        </w:tc>
        <w:tc>
          <w:tcPr>
            <w:tcW w:w="3791" w:type="pct"/>
          </w:tcPr>
          <w:p w:rsidR="00477972" w:rsidRDefault="00477972" w:rsidP="006F3678">
            <w:r>
              <w:t xml:space="preserve">The second and third </w:t>
            </w:r>
            <w:proofErr w:type="spellStart"/>
            <w:r>
              <w:t>subclauses</w:t>
            </w:r>
            <w:proofErr w:type="spellEnd"/>
            <w:r>
              <w:t xml:space="preserve"> to paragraph 6G.22 </w:t>
            </w:r>
            <w:proofErr w:type="gramStart"/>
            <w:r>
              <w:t>(a) needs</w:t>
            </w:r>
            <w:proofErr w:type="gramEnd"/>
            <w:r>
              <w:t xml:space="preserve"> to be re-numbered with “</w:t>
            </w:r>
            <w:r w:rsidRPr="00C35A27">
              <w:rPr>
                <w:color w:val="FF0000"/>
              </w:rPr>
              <w:t>(ii)</w:t>
            </w:r>
            <w:r>
              <w:t>” an “</w:t>
            </w:r>
            <w:r w:rsidRPr="00C35A27">
              <w:rPr>
                <w:color w:val="FF0000"/>
              </w:rPr>
              <w:t>(iii)</w:t>
            </w:r>
            <w:r>
              <w:t>” respectively.</w:t>
            </w:r>
          </w:p>
          <w:p w:rsidR="00477972" w:rsidRDefault="00477972" w:rsidP="006F3678"/>
          <w:p w:rsidR="00477972" w:rsidRDefault="00477972" w:rsidP="006F3678">
            <w:r>
              <w:t xml:space="preserve">Rationale: To correct the numbering of the </w:t>
            </w:r>
            <w:proofErr w:type="spellStart"/>
            <w:r>
              <w:t>subclauses</w:t>
            </w:r>
            <w:proofErr w:type="spellEnd"/>
            <w:r>
              <w:t xml:space="preserve">.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6G.24</w:t>
            </w:r>
          </w:p>
        </w:tc>
        <w:tc>
          <w:tcPr>
            <w:tcW w:w="3791" w:type="pct"/>
          </w:tcPr>
          <w:p w:rsidR="00477972" w:rsidRDefault="00477972" w:rsidP="006F3678">
            <w:r>
              <w:t>The open bracket “(</w:t>
            </w:r>
            <w:proofErr w:type="gramStart"/>
            <w:r>
              <w:t>“ following</w:t>
            </w:r>
            <w:proofErr w:type="gramEnd"/>
            <w:r>
              <w:t xml:space="preserve"> the words “Special Condition 5B” will be deleted. </w:t>
            </w:r>
          </w:p>
          <w:p w:rsidR="00477972" w:rsidRDefault="00477972" w:rsidP="006F3678"/>
          <w:p w:rsidR="00477972" w:rsidRDefault="00477972" w:rsidP="006F3678">
            <w:r>
              <w:t xml:space="preserve">Rationale: Open bracket is unnecessary.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6J.15</w:t>
            </w:r>
          </w:p>
        </w:tc>
        <w:tc>
          <w:tcPr>
            <w:tcW w:w="3791" w:type="pct"/>
          </w:tcPr>
          <w:p w:rsidR="00477972" w:rsidRDefault="00477972" w:rsidP="006F3678">
            <w:r>
              <w:t>The first paragraph will be amended as follows:</w:t>
            </w:r>
          </w:p>
          <w:p w:rsidR="00477972" w:rsidRDefault="00477972" w:rsidP="006F3678"/>
          <w:p w:rsidR="00477972" w:rsidRDefault="00477972" w:rsidP="006F3678">
            <w:r>
              <w:t xml:space="preserve">“The value of </w:t>
            </w:r>
            <w:proofErr w:type="spellStart"/>
            <w:r>
              <w:t>VIWW</w:t>
            </w:r>
            <w:r w:rsidRPr="001F1695">
              <w:rPr>
                <w:vertAlign w:val="subscript"/>
              </w:rPr>
              <w:t>t,n</w:t>
            </w:r>
            <w:proofErr w:type="spellEnd"/>
            <w:r>
              <w:t xml:space="preserve"> is to be determined for Relevant Year t = 2015/16 </w:t>
            </w:r>
            <w:r w:rsidRPr="001F1695">
              <w:rPr>
                <w:color w:val="FF0000"/>
              </w:rPr>
              <w:t>and each subsequent Relevant Year</w:t>
            </w:r>
            <w:r>
              <w:rPr>
                <w:color w:val="FF0000"/>
              </w:rPr>
              <w:t xml:space="preserve"> </w:t>
            </w:r>
            <w:r>
              <w:t>in accordance with the following formula for each Relevant Year n (where n=2014 to 2021 for Relevant Year ending 31 March) where information is available for Relevant Year t-2:”</w:t>
            </w:r>
          </w:p>
          <w:p w:rsidR="00477972" w:rsidRDefault="00477972" w:rsidP="006F3678"/>
          <w:p w:rsidR="00477972" w:rsidRDefault="00477972" w:rsidP="006F3678">
            <w:r>
              <w:t>The close square bracket “]” following the term “WFWW</w:t>
            </w:r>
            <w:r w:rsidRPr="00D709CE">
              <w:rPr>
                <w:vertAlign w:val="subscript"/>
              </w:rPr>
              <w:t>t-2</w:t>
            </w:r>
            <w:proofErr w:type="gramStart"/>
            <w:r>
              <w:rPr>
                <w:vertAlign w:val="subscript"/>
              </w:rPr>
              <w:t>,n</w:t>
            </w:r>
            <w:proofErr w:type="gramEnd"/>
            <w:r>
              <w:t>” in the formula is to be removed.</w:t>
            </w:r>
          </w:p>
          <w:p w:rsidR="00477972" w:rsidRDefault="00477972" w:rsidP="006F3678"/>
          <w:p w:rsidR="00477972" w:rsidRDefault="00477972" w:rsidP="006F3678">
            <w:r>
              <w:t xml:space="preserve">Rationale: The current wording sets out how to calculate the value of </w:t>
            </w:r>
            <w:proofErr w:type="spellStart"/>
            <w:r>
              <w:t>VIWW</w:t>
            </w:r>
            <w:r w:rsidRPr="001F1695">
              <w:rPr>
                <w:vertAlign w:val="subscript"/>
              </w:rPr>
              <w:t>t</w:t>
            </w:r>
            <w:proofErr w:type="gramStart"/>
            <w:r w:rsidRPr="001F1695">
              <w:rPr>
                <w:vertAlign w:val="subscript"/>
              </w:rPr>
              <w:t>,n</w:t>
            </w:r>
            <w:proofErr w:type="spellEnd"/>
            <w:proofErr w:type="gramEnd"/>
            <w:r>
              <w:t xml:space="preserve"> in 2015/16 only, but this is incorrect as this is the enduring formula for the remainder of the price control period.  The close square bracket in the formula is unnecessary.</w:t>
            </w:r>
          </w:p>
          <w:p w:rsidR="00477972" w:rsidRPr="00A30598"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6K.9</w:t>
            </w:r>
          </w:p>
        </w:tc>
        <w:tc>
          <w:tcPr>
            <w:tcW w:w="3791" w:type="pct"/>
          </w:tcPr>
          <w:p w:rsidR="00477972" w:rsidRDefault="00477972" w:rsidP="006F3678">
            <w:r>
              <w:t>The first paragraph will be amended as follows:</w:t>
            </w:r>
          </w:p>
          <w:p w:rsidR="00477972" w:rsidRDefault="00477972" w:rsidP="006F3678"/>
          <w:p w:rsidR="00477972" w:rsidRDefault="00477972" w:rsidP="006F3678">
            <w:r>
              <w:t xml:space="preserve">“The value of </w:t>
            </w:r>
            <w:proofErr w:type="spellStart"/>
            <w:r>
              <w:t>UCE</w:t>
            </w:r>
            <w:r w:rsidRPr="001F1695">
              <w:rPr>
                <w:vertAlign w:val="subscript"/>
              </w:rPr>
              <w:t>t,n</w:t>
            </w:r>
            <w:proofErr w:type="spellEnd"/>
            <w:r>
              <w:t xml:space="preserve"> is to be derived for Relevant Year t = 2015/16 </w:t>
            </w:r>
            <w:r w:rsidRPr="001F1695">
              <w:rPr>
                <w:color w:val="FF0000"/>
              </w:rPr>
              <w:t>and each subsequent Relevant Year</w:t>
            </w:r>
            <w:r>
              <w:rPr>
                <w:color w:val="FF0000"/>
              </w:rPr>
              <w:t xml:space="preserve"> </w:t>
            </w:r>
            <w:r>
              <w:t>from the following formula for each Relevant Year n (where n=2014 to 2021 for Relevant Year ending 31 March):”</w:t>
            </w:r>
          </w:p>
          <w:p w:rsidR="00477972" w:rsidRDefault="00477972" w:rsidP="006F3678"/>
          <w:p w:rsidR="00477972" w:rsidRDefault="00477972" w:rsidP="006F3678">
            <w:r>
              <w:t xml:space="preserve">Rationale: The current wording sets out how to calculate the value of </w:t>
            </w:r>
            <w:proofErr w:type="spellStart"/>
            <w:r>
              <w:t>UCE</w:t>
            </w:r>
            <w:r w:rsidRPr="001F1695">
              <w:rPr>
                <w:vertAlign w:val="subscript"/>
              </w:rPr>
              <w:t>t</w:t>
            </w:r>
            <w:proofErr w:type="gramStart"/>
            <w:r w:rsidRPr="001F1695">
              <w:rPr>
                <w:vertAlign w:val="subscript"/>
              </w:rPr>
              <w:t>,n</w:t>
            </w:r>
            <w:proofErr w:type="spellEnd"/>
            <w:proofErr w:type="gramEnd"/>
            <w:r>
              <w:t xml:space="preserve"> in 2015/16 only, but this is incorrect as this is the enduring formula for the remainder of the price control period.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Pr="006870CD" w:rsidRDefault="00477972" w:rsidP="006F3678">
            <w:r w:rsidRPr="006870CD">
              <w:t>6K.9</w:t>
            </w:r>
          </w:p>
        </w:tc>
        <w:tc>
          <w:tcPr>
            <w:tcW w:w="3791" w:type="pct"/>
          </w:tcPr>
          <w:p w:rsidR="00477972" w:rsidRDefault="00477972" w:rsidP="006F3678">
            <w:r>
              <w:t>In definition of “</w:t>
            </w:r>
            <w:proofErr w:type="spellStart"/>
            <w:r>
              <w:t>FUGC</w:t>
            </w:r>
            <w:r w:rsidRPr="00C362BC">
              <w:rPr>
                <w:vertAlign w:val="subscript"/>
              </w:rPr>
              <w:t>x</w:t>
            </w:r>
            <w:proofErr w:type="gramStart"/>
            <w:r w:rsidRPr="00C362BC">
              <w:rPr>
                <w:vertAlign w:val="subscript"/>
              </w:rPr>
              <w:t>,m,d</w:t>
            </w:r>
            <w:proofErr w:type="spellEnd"/>
            <w:proofErr w:type="gramEnd"/>
            <w:r>
              <w:t>”, the word “route” will be replaced with “</w:t>
            </w:r>
            <w:r w:rsidRPr="00825D39">
              <w:rPr>
                <w:color w:val="FF0000"/>
              </w:rPr>
              <w:t>circuit</w:t>
            </w:r>
            <w:r>
              <w:t>”.</w:t>
            </w:r>
          </w:p>
          <w:p w:rsidR="00477972" w:rsidRDefault="00477972" w:rsidP="006F3678"/>
          <w:p w:rsidR="00477972" w:rsidRDefault="00477972" w:rsidP="006F3678">
            <w:r>
              <w:t xml:space="preserve">Rationale: To correct the scope and meaning of the term.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Pr="006870CD" w:rsidRDefault="00477972" w:rsidP="006F3678">
            <w:r w:rsidRPr="006870CD">
              <w:t>6K.9</w:t>
            </w:r>
          </w:p>
        </w:tc>
        <w:tc>
          <w:tcPr>
            <w:tcW w:w="3791" w:type="pct"/>
          </w:tcPr>
          <w:p w:rsidR="00477972" w:rsidRDefault="00477972" w:rsidP="006F3678">
            <w:r>
              <w:t>In definition of “</w:t>
            </w:r>
            <w:proofErr w:type="spellStart"/>
            <w:r>
              <w:t>RUGC</w:t>
            </w:r>
            <w:r w:rsidRPr="00C362BC">
              <w:rPr>
                <w:vertAlign w:val="subscript"/>
              </w:rPr>
              <w:t>x</w:t>
            </w:r>
            <w:proofErr w:type="gramStart"/>
            <w:r w:rsidRPr="00C362BC">
              <w:rPr>
                <w:vertAlign w:val="subscript"/>
              </w:rPr>
              <w:t>,m,d</w:t>
            </w:r>
            <w:proofErr w:type="spellEnd"/>
            <w:proofErr w:type="gramEnd"/>
            <w:r>
              <w:t>”, the word “route” will be replaced “</w:t>
            </w:r>
            <w:r w:rsidRPr="00825D39">
              <w:rPr>
                <w:color w:val="FF0000"/>
              </w:rPr>
              <w:t>circuit</w:t>
            </w:r>
            <w:r>
              <w:t>”.</w:t>
            </w:r>
          </w:p>
          <w:p w:rsidR="00477972" w:rsidRDefault="00477972" w:rsidP="006F3678"/>
          <w:p w:rsidR="00477972" w:rsidRDefault="00477972" w:rsidP="006F3678">
            <w:r>
              <w:t xml:space="preserve">Rationale: To correct the scope and meaning of the term.  </w:t>
            </w:r>
          </w:p>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rsidRPr="006870CD">
              <w:t xml:space="preserve">6K.10 </w:t>
            </w:r>
          </w:p>
          <w:p w:rsidR="00477972" w:rsidRPr="006870CD" w:rsidRDefault="00477972" w:rsidP="006F3678">
            <w:r w:rsidRPr="006870CD">
              <w:t>Table 2</w:t>
            </w:r>
          </w:p>
        </w:tc>
        <w:tc>
          <w:tcPr>
            <w:tcW w:w="3791" w:type="pct"/>
          </w:tcPr>
          <w:p w:rsidR="00477972" w:rsidRDefault="00477972" w:rsidP="006F3678">
            <w:r>
              <w:t>In the column header for “CUCA</w:t>
            </w:r>
            <w:r w:rsidRPr="00C362BC">
              <w:rPr>
                <w:vertAlign w:val="subscript"/>
              </w:rPr>
              <w:t>m</w:t>
            </w:r>
            <w:r>
              <w:t>” the word “route” will be replaced with “</w:t>
            </w:r>
            <w:r w:rsidRPr="00420EDE">
              <w:rPr>
                <w:color w:val="FF0000"/>
              </w:rPr>
              <w:t>circuit</w:t>
            </w:r>
            <w:r>
              <w:t>”.</w:t>
            </w:r>
          </w:p>
          <w:p w:rsidR="00477972" w:rsidRDefault="00477972" w:rsidP="006F3678"/>
          <w:p w:rsidR="00477972" w:rsidRDefault="00477972" w:rsidP="006F3678">
            <w:r>
              <w:t xml:space="preserve">Rationale: To correct the scope and meaning of the term.   </w:t>
            </w:r>
          </w:p>
          <w:p w:rsidR="00477972" w:rsidRPr="00325E9E"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t xml:space="preserve">6K.10 </w:t>
            </w:r>
          </w:p>
          <w:p w:rsidR="00477972" w:rsidRPr="007803DD" w:rsidRDefault="00477972" w:rsidP="006F3678">
            <w:r>
              <w:t>Table 2</w:t>
            </w:r>
          </w:p>
        </w:tc>
        <w:tc>
          <w:tcPr>
            <w:tcW w:w="3791" w:type="pct"/>
          </w:tcPr>
          <w:p w:rsidR="00477972" w:rsidRDefault="00477972" w:rsidP="006F3678">
            <w:r>
              <w:t>In the “Underground cable type” column, the measurement “2500m</w:t>
            </w:r>
            <w:r w:rsidRPr="00236BFE">
              <w:rPr>
                <w:vertAlign w:val="superscript"/>
              </w:rPr>
              <w:t>2</w:t>
            </w:r>
            <w:r>
              <w:t>” will be replaced with “</w:t>
            </w:r>
            <w:r w:rsidRPr="00236BFE">
              <w:rPr>
                <w:color w:val="FF0000"/>
              </w:rPr>
              <w:t>2500mm</w:t>
            </w:r>
            <w:r w:rsidRPr="00236BFE">
              <w:rPr>
                <w:color w:val="FF0000"/>
                <w:vertAlign w:val="superscript"/>
              </w:rPr>
              <w:t>2</w:t>
            </w:r>
            <w:r>
              <w:t>”.</w:t>
            </w:r>
          </w:p>
          <w:p w:rsidR="00477972" w:rsidRDefault="00477972" w:rsidP="006F3678"/>
          <w:p w:rsidR="00477972" w:rsidRDefault="00477972" w:rsidP="006F3678">
            <w:r>
              <w:t>Rationale: To correct the dimension measurement.</w:t>
            </w:r>
          </w:p>
          <w:p w:rsidR="00477972" w:rsidRPr="007803DD"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r w:rsidRPr="007803DD">
              <w:t xml:space="preserve">6K.10 </w:t>
            </w:r>
          </w:p>
          <w:p w:rsidR="00477972" w:rsidRPr="007803DD" w:rsidRDefault="00477972" w:rsidP="006F3678">
            <w:r w:rsidRPr="007803DD">
              <w:t>Table 3</w:t>
            </w:r>
          </w:p>
        </w:tc>
        <w:tc>
          <w:tcPr>
            <w:tcW w:w="3791" w:type="pct"/>
          </w:tcPr>
          <w:p w:rsidR="00477972" w:rsidRDefault="00477972" w:rsidP="006F3678">
            <w:r w:rsidRPr="007803DD">
              <w:t>Table 3 is to be replaced with the following table:</w:t>
            </w:r>
          </w:p>
          <w:tbl>
            <w:tblPr>
              <w:tblpPr w:leftFromText="180" w:rightFromText="180" w:vertAnchor="text" w:horzAnchor="margin" w:tblpX="-147" w:tblpY="304"/>
              <w:tblOverlap w:val="never"/>
              <w:tblW w:w="6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694"/>
              <w:gridCol w:w="835"/>
              <w:gridCol w:w="695"/>
              <w:gridCol w:w="694"/>
              <w:gridCol w:w="835"/>
              <w:gridCol w:w="695"/>
              <w:gridCol w:w="694"/>
              <w:gridCol w:w="836"/>
            </w:tblGrid>
            <w:tr w:rsidR="00477972" w:rsidRPr="00D650D4" w:rsidTr="00D650D4">
              <w:trPr>
                <w:trHeight w:val="351"/>
                <w:tblHeader/>
              </w:trPr>
              <w:tc>
                <w:tcPr>
                  <w:tcW w:w="969" w:type="dxa"/>
                  <w:vMerge w:val="restart"/>
                  <w:vAlign w:val="center"/>
                </w:tcPr>
                <w:p w:rsidR="00477972" w:rsidRPr="00D650D4" w:rsidRDefault="00477972" w:rsidP="0033007E">
                  <w:pPr>
                    <w:pStyle w:val="RIIOInterpreation-TermName"/>
                    <w:jc w:val="center"/>
                    <w:rPr>
                      <w:rFonts w:asciiTheme="minorHAnsi" w:hAnsiTheme="minorHAnsi"/>
                      <w:sz w:val="20"/>
                    </w:rPr>
                  </w:pPr>
                  <w:r w:rsidRPr="00D650D4">
                    <w:rPr>
                      <w:rFonts w:asciiTheme="minorHAnsi" w:hAnsiTheme="minorHAnsi"/>
                      <w:sz w:val="20"/>
                    </w:rPr>
                    <w:t>Delivery year d</w:t>
                  </w:r>
                </w:p>
              </w:tc>
              <w:tc>
                <w:tcPr>
                  <w:tcW w:w="5978" w:type="dxa"/>
                  <w:gridSpan w:val="8"/>
                </w:tcPr>
                <w:p w:rsidR="00477972" w:rsidRPr="00D650D4" w:rsidRDefault="00477972" w:rsidP="0033007E">
                  <w:pPr>
                    <w:pStyle w:val="RIIOInterpreation-TermName"/>
                    <w:rPr>
                      <w:sz w:val="20"/>
                    </w:rPr>
                  </w:pPr>
                  <w:r w:rsidRPr="00D650D4">
                    <w:rPr>
                      <w:sz w:val="20"/>
                    </w:rPr>
                    <w:t>Expenditure  year n</w:t>
                  </w:r>
                </w:p>
              </w:tc>
            </w:tr>
            <w:tr w:rsidR="00477972" w:rsidRPr="00D650D4" w:rsidTr="00D650D4">
              <w:trPr>
                <w:trHeight w:val="354"/>
                <w:tblHeader/>
              </w:trPr>
              <w:tc>
                <w:tcPr>
                  <w:tcW w:w="969" w:type="dxa"/>
                  <w:vMerge/>
                </w:tcPr>
                <w:p w:rsidR="00477972" w:rsidRPr="00D650D4" w:rsidRDefault="00477972" w:rsidP="006F3678">
                  <w:pPr>
                    <w:pStyle w:val="RIIOInterpreation-TermName"/>
                    <w:jc w:val="center"/>
                    <w:rPr>
                      <w:sz w:val="20"/>
                    </w:rPr>
                  </w:pPr>
                </w:p>
              </w:tc>
              <w:tc>
                <w:tcPr>
                  <w:tcW w:w="694" w:type="dxa"/>
                </w:tcPr>
                <w:p w:rsidR="00477972" w:rsidRPr="00D650D4" w:rsidRDefault="00477972" w:rsidP="00D650D4">
                  <w:pPr>
                    <w:pStyle w:val="RIIOInterpreation-TermName"/>
                    <w:tabs>
                      <w:tab w:val="clear" w:pos="-1440"/>
                      <w:tab w:val="clear" w:pos="-720"/>
                      <w:tab w:val="clear" w:pos="720"/>
                      <w:tab w:val="clear" w:pos="1447"/>
                      <w:tab w:val="clear" w:pos="2170"/>
                      <w:tab w:val="clear" w:pos="2894"/>
                      <w:tab w:val="clear" w:pos="3600"/>
                      <w:tab w:val="clear" w:pos="4320"/>
                      <w:tab w:val="clear" w:pos="4992"/>
                      <w:tab w:val="clear" w:pos="5788"/>
                    </w:tabs>
                    <w:ind w:left="-123" w:right="-108" w:firstLine="15"/>
                    <w:jc w:val="center"/>
                    <w:rPr>
                      <w:rFonts w:asciiTheme="minorHAnsi" w:hAnsiTheme="minorHAnsi"/>
                      <w:sz w:val="18"/>
                      <w:szCs w:val="18"/>
                    </w:rPr>
                  </w:pPr>
                  <w:r w:rsidRPr="00D650D4">
                    <w:rPr>
                      <w:rFonts w:asciiTheme="minorHAnsi" w:hAnsiTheme="minorHAnsi"/>
                      <w:sz w:val="18"/>
                      <w:szCs w:val="18"/>
                    </w:rPr>
                    <w:t>2013/14</w:t>
                  </w:r>
                </w:p>
              </w:tc>
              <w:tc>
                <w:tcPr>
                  <w:tcW w:w="835" w:type="dxa"/>
                </w:tcPr>
                <w:p w:rsidR="00477972" w:rsidRPr="00D650D4" w:rsidRDefault="00477972" w:rsidP="00D650D4">
                  <w:pPr>
                    <w:pStyle w:val="RIIOInterpreation-TermName"/>
                    <w:ind w:left="-108" w:right="-108"/>
                    <w:jc w:val="center"/>
                    <w:rPr>
                      <w:rFonts w:asciiTheme="minorHAnsi" w:hAnsiTheme="minorHAnsi"/>
                      <w:sz w:val="18"/>
                      <w:szCs w:val="18"/>
                    </w:rPr>
                  </w:pPr>
                  <w:r w:rsidRPr="00D650D4">
                    <w:rPr>
                      <w:rFonts w:asciiTheme="minorHAnsi" w:hAnsiTheme="minorHAnsi"/>
                      <w:sz w:val="18"/>
                      <w:szCs w:val="18"/>
                    </w:rPr>
                    <w:t>2014/15</w:t>
                  </w:r>
                </w:p>
              </w:tc>
              <w:tc>
                <w:tcPr>
                  <w:tcW w:w="695" w:type="dxa"/>
                </w:tcPr>
                <w:p w:rsidR="00477972" w:rsidRPr="00D650D4" w:rsidRDefault="00477972" w:rsidP="00D650D4">
                  <w:pPr>
                    <w:pStyle w:val="RIIOInterpreation-TermName"/>
                    <w:tabs>
                      <w:tab w:val="clear" w:pos="720"/>
                    </w:tabs>
                    <w:ind w:left="-108" w:right="-108"/>
                    <w:jc w:val="center"/>
                    <w:rPr>
                      <w:rFonts w:asciiTheme="minorHAnsi" w:hAnsiTheme="minorHAnsi"/>
                      <w:sz w:val="18"/>
                      <w:szCs w:val="18"/>
                    </w:rPr>
                  </w:pPr>
                  <w:r w:rsidRPr="00D650D4">
                    <w:rPr>
                      <w:rFonts w:asciiTheme="minorHAnsi" w:hAnsiTheme="minorHAnsi"/>
                      <w:sz w:val="18"/>
                      <w:szCs w:val="18"/>
                    </w:rPr>
                    <w:t>2015/16</w:t>
                  </w:r>
                </w:p>
              </w:tc>
              <w:tc>
                <w:tcPr>
                  <w:tcW w:w="694" w:type="dxa"/>
                </w:tcPr>
                <w:p w:rsidR="00477972" w:rsidRPr="00D650D4" w:rsidRDefault="00477972" w:rsidP="00D650D4">
                  <w:pPr>
                    <w:pStyle w:val="RIIOInterpreation-TermName"/>
                    <w:ind w:left="-108" w:right="-108"/>
                    <w:jc w:val="center"/>
                    <w:rPr>
                      <w:rFonts w:asciiTheme="minorHAnsi" w:hAnsiTheme="minorHAnsi"/>
                      <w:sz w:val="18"/>
                      <w:szCs w:val="18"/>
                    </w:rPr>
                  </w:pPr>
                  <w:r w:rsidRPr="00D650D4">
                    <w:rPr>
                      <w:rFonts w:asciiTheme="minorHAnsi" w:hAnsiTheme="minorHAnsi"/>
                      <w:sz w:val="18"/>
                      <w:szCs w:val="18"/>
                    </w:rPr>
                    <w:t>2016/17</w:t>
                  </w:r>
                </w:p>
              </w:tc>
              <w:tc>
                <w:tcPr>
                  <w:tcW w:w="835" w:type="dxa"/>
                </w:tcPr>
                <w:p w:rsidR="00477972" w:rsidRPr="00D650D4" w:rsidRDefault="00477972" w:rsidP="00D650D4">
                  <w:pPr>
                    <w:pStyle w:val="RIIOInterpreation-TermName"/>
                    <w:tabs>
                      <w:tab w:val="clear" w:pos="-1440"/>
                      <w:tab w:val="clear" w:pos="-720"/>
                      <w:tab w:val="clear" w:pos="720"/>
                      <w:tab w:val="clear" w:pos="1447"/>
                      <w:tab w:val="clear" w:pos="2170"/>
                      <w:tab w:val="clear" w:pos="2894"/>
                      <w:tab w:val="clear" w:pos="3600"/>
                      <w:tab w:val="clear" w:pos="4320"/>
                      <w:tab w:val="clear" w:pos="4992"/>
                      <w:tab w:val="clear" w:pos="5788"/>
                    </w:tabs>
                    <w:ind w:left="-108" w:right="-108"/>
                    <w:jc w:val="center"/>
                    <w:rPr>
                      <w:rFonts w:asciiTheme="minorHAnsi" w:hAnsiTheme="minorHAnsi"/>
                      <w:sz w:val="18"/>
                      <w:szCs w:val="18"/>
                    </w:rPr>
                  </w:pPr>
                  <w:r w:rsidRPr="00D650D4">
                    <w:rPr>
                      <w:rFonts w:asciiTheme="minorHAnsi" w:hAnsiTheme="minorHAnsi"/>
                      <w:sz w:val="18"/>
                      <w:szCs w:val="18"/>
                    </w:rPr>
                    <w:t>2017/18</w:t>
                  </w:r>
                </w:p>
              </w:tc>
              <w:tc>
                <w:tcPr>
                  <w:tcW w:w="695" w:type="dxa"/>
                </w:tcPr>
                <w:p w:rsidR="00477972" w:rsidRPr="00D650D4" w:rsidRDefault="00477972" w:rsidP="00D650D4">
                  <w:pPr>
                    <w:pStyle w:val="RIIOInterpreation-TermName"/>
                    <w:tabs>
                      <w:tab w:val="clear" w:pos="-1440"/>
                      <w:tab w:val="clear" w:pos="-720"/>
                      <w:tab w:val="clear" w:pos="720"/>
                      <w:tab w:val="clear" w:pos="1447"/>
                      <w:tab w:val="clear" w:pos="2170"/>
                      <w:tab w:val="clear" w:pos="2894"/>
                      <w:tab w:val="clear" w:pos="3600"/>
                      <w:tab w:val="clear" w:pos="4320"/>
                      <w:tab w:val="clear" w:pos="4992"/>
                      <w:tab w:val="clear" w:pos="5788"/>
                    </w:tabs>
                    <w:ind w:left="-108" w:right="-108"/>
                    <w:jc w:val="center"/>
                    <w:rPr>
                      <w:rFonts w:asciiTheme="minorHAnsi" w:hAnsiTheme="minorHAnsi"/>
                      <w:color w:val="FF0000"/>
                      <w:sz w:val="18"/>
                      <w:szCs w:val="18"/>
                    </w:rPr>
                  </w:pPr>
                  <w:r w:rsidRPr="00D650D4">
                    <w:rPr>
                      <w:rFonts w:asciiTheme="minorHAnsi" w:hAnsiTheme="minorHAnsi"/>
                      <w:color w:val="FF0000"/>
                      <w:sz w:val="18"/>
                      <w:szCs w:val="18"/>
                    </w:rPr>
                    <w:t>2018/19</w:t>
                  </w:r>
                </w:p>
              </w:tc>
              <w:tc>
                <w:tcPr>
                  <w:tcW w:w="694" w:type="dxa"/>
                </w:tcPr>
                <w:p w:rsidR="00477972" w:rsidRPr="00D650D4" w:rsidRDefault="00477972" w:rsidP="00D650D4">
                  <w:pPr>
                    <w:pStyle w:val="RIIOInterpreation-TermName"/>
                    <w:tabs>
                      <w:tab w:val="clear" w:pos="-1440"/>
                      <w:tab w:val="clear" w:pos="-720"/>
                      <w:tab w:val="clear" w:pos="720"/>
                      <w:tab w:val="clear" w:pos="1447"/>
                      <w:tab w:val="clear" w:pos="2170"/>
                      <w:tab w:val="clear" w:pos="2894"/>
                      <w:tab w:val="clear" w:pos="3600"/>
                      <w:tab w:val="clear" w:pos="4320"/>
                      <w:tab w:val="clear" w:pos="4992"/>
                      <w:tab w:val="clear" w:pos="5788"/>
                    </w:tabs>
                    <w:ind w:left="-108" w:right="-107"/>
                    <w:jc w:val="center"/>
                    <w:rPr>
                      <w:rFonts w:asciiTheme="minorHAnsi" w:hAnsiTheme="minorHAnsi"/>
                      <w:sz w:val="18"/>
                      <w:szCs w:val="18"/>
                    </w:rPr>
                  </w:pPr>
                  <w:r w:rsidRPr="00D650D4">
                    <w:rPr>
                      <w:rFonts w:asciiTheme="minorHAnsi" w:hAnsiTheme="minorHAnsi"/>
                      <w:sz w:val="18"/>
                      <w:szCs w:val="18"/>
                    </w:rPr>
                    <w:t>2019/20</w:t>
                  </w:r>
                </w:p>
              </w:tc>
              <w:tc>
                <w:tcPr>
                  <w:tcW w:w="835" w:type="dxa"/>
                </w:tcPr>
                <w:p w:rsidR="00477972" w:rsidRPr="00D650D4" w:rsidRDefault="00477972" w:rsidP="00D650D4">
                  <w:pPr>
                    <w:pStyle w:val="RIIOInterpreation-TermName"/>
                    <w:tabs>
                      <w:tab w:val="clear" w:pos="-1440"/>
                      <w:tab w:val="clear" w:pos="-720"/>
                      <w:tab w:val="clear" w:pos="720"/>
                      <w:tab w:val="clear" w:pos="1447"/>
                      <w:tab w:val="clear" w:pos="2170"/>
                      <w:tab w:val="clear" w:pos="2894"/>
                      <w:tab w:val="clear" w:pos="3600"/>
                      <w:tab w:val="clear" w:pos="4320"/>
                      <w:tab w:val="clear" w:pos="4992"/>
                      <w:tab w:val="clear" w:pos="5788"/>
                    </w:tabs>
                    <w:ind w:left="-109" w:right="-108"/>
                    <w:jc w:val="center"/>
                    <w:rPr>
                      <w:rFonts w:asciiTheme="minorHAnsi" w:hAnsiTheme="minorHAnsi"/>
                      <w:sz w:val="18"/>
                      <w:szCs w:val="18"/>
                    </w:rPr>
                  </w:pPr>
                  <w:r w:rsidRPr="00D650D4">
                    <w:rPr>
                      <w:rFonts w:asciiTheme="minorHAnsi" w:hAnsiTheme="minorHAnsi"/>
                      <w:sz w:val="18"/>
                      <w:szCs w:val="18"/>
                    </w:rPr>
                    <w:t>2020/21</w:t>
                  </w:r>
                </w:p>
              </w:tc>
            </w:tr>
            <w:tr w:rsidR="00477972" w:rsidRPr="00D650D4" w:rsidTr="00D650D4">
              <w:trPr>
                <w:trHeight w:val="229"/>
              </w:trPr>
              <w:tc>
                <w:tcPr>
                  <w:tcW w:w="969" w:type="dxa"/>
                  <w:vAlign w:val="center"/>
                </w:tcPr>
                <w:p w:rsidR="00477972" w:rsidRPr="00D650D4" w:rsidRDefault="00477972" w:rsidP="0033007E">
                  <w:pPr>
                    <w:pStyle w:val="RIIOInterpretation-Termtext"/>
                    <w:spacing w:after="0"/>
                    <w:jc w:val="center"/>
                    <w:rPr>
                      <w:sz w:val="20"/>
                    </w:rPr>
                  </w:pPr>
                  <w:r w:rsidRPr="00D650D4">
                    <w:rPr>
                      <w:sz w:val="20"/>
                    </w:rPr>
                    <w:t>2017</w:t>
                  </w:r>
                </w:p>
              </w:tc>
              <w:tc>
                <w:tcPr>
                  <w:tcW w:w="694" w:type="dxa"/>
                </w:tcPr>
                <w:p w:rsidR="00477972" w:rsidRPr="00D650D4" w:rsidRDefault="00477972" w:rsidP="0033007E">
                  <w:pPr>
                    <w:pStyle w:val="RIIOInterpretation-Termtext"/>
                    <w:spacing w:after="0"/>
                    <w:jc w:val="center"/>
                    <w:rPr>
                      <w:sz w:val="20"/>
                    </w:rPr>
                  </w:pPr>
                  <w:r w:rsidRPr="00D650D4">
                    <w:rPr>
                      <w:sz w:val="20"/>
                    </w:rPr>
                    <w:t>0.2</w:t>
                  </w:r>
                </w:p>
              </w:tc>
              <w:tc>
                <w:tcPr>
                  <w:tcW w:w="835" w:type="dxa"/>
                </w:tcPr>
                <w:p w:rsidR="00477972" w:rsidRPr="00D650D4" w:rsidRDefault="00477972" w:rsidP="0033007E">
                  <w:pPr>
                    <w:pStyle w:val="RIIOInterpretation-Termtext"/>
                    <w:spacing w:after="0"/>
                    <w:jc w:val="center"/>
                    <w:rPr>
                      <w:sz w:val="20"/>
                    </w:rPr>
                  </w:pPr>
                  <w:r w:rsidRPr="00D650D4">
                    <w:rPr>
                      <w:sz w:val="20"/>
                    </w:rPr>
                    <w:t>0.5</w:t>
                  </w:r>
                </w:p>
              </w:tc>
              <w:tc>
                <w:tcPr>
                  <w:tcW w:w="695" w:type="dxa"/>
                  <w:shd w:val="clear" w:color="auto" w:fill="auto"/>
                  <w:vAlign w:val="center"/>
                </w:tcPr>
                <w:p w:rsidR="00477972" w:rsidRPr="00D650D4" w:rsidRDefault="00477972" w:rsidP="0033007E">
                  <w:pPr>
                    <w:pStyle w:val="RIIOInterpretation-Termtext"/>
                    <w:spacing w:after="0"/>
                    <w:jc w:val="center"/>
                    <w:rPr>
                      <w:sz w:val="20"/>
                    </w:rPr>
                  </w:pPr>
                  <w:r w:rsidRPr="00D650D4">
                    <w:rPr>
                      <w:sz w:val="20"/>
                    </w:rPr>
                    <w:t>0.2</w:t>
                  </w:r>
                </w:p>
              </w:tc>
              <w:tc>
                <w:tcPr>
                  <w:tcW w:w="694" w:type="dxa"/>
                  <w:shd w:val="clear" w:color="auto" w:fill="auto"/>
                  <w:vAlign w:val="center"/>
                </w:tcPr>
                <w:p w:rsidR="00477972" w:rsidRPr="00D650D4" w:rsidRDefault="00477972" w:rsidP="0033007E">
                  <w:pPr>
                    <w:pStyle w:val="RIIOInterpretation-Termtext"/>
                    <w:spacing w:after="0"/>
                    <w:jc w:val="center"/>
                    <w:rPr>
                      <w:sz w:val="20"/>
                    </w:rPr>
                  </w:pPr>
                  <w:r w:rsidRPr="00D650D4">
                    <w:rPr>
                      <w:sz w:val="20"/>
                    </w:rPr>
                    <w:t>0.1</w:t>
                  </w:r>
                </w:p>
              </w:tc>
              <w:tc>
                <w:tcPr>
                  <w:tcW w:w="835" w:type="dxa"/>
                  <w:shd w:val="clear" w:color="auto" w:fill="808080" w:themeFill="background1" w:themeFillShade="80"/>
                  <w:vAlign w:val="center"/>
                </w:tcPr>
                <w:p w:rsidR="00477972" w:rsidRPr="00D650D4" w:rsidRDefault="00477972" w:rsidP="0033007E">
                  <w:pPr>
                    <w:pStyle w:val="RIIOInterpretation-Termtext"/>
                    <w:spacing w:after="0"/>
                    <w:jc w:val="center"/>
                    <w:rPr>
                      <w:sz w:val="20"/>
                    </w:rPr>
                  </w:pPr>
                </w:p>
              </w:tc>
              <w:tc>
                <w:tcPr>
                  <w:tcW w:w="695" w:type="dxa"/>
                  <w:shd w:val="clear" w:color="auto" w:fill="808080" w:themeFill="background1" w:themeFillShade="80"/>
                  <w:vAlign w:val="center"/>
                </w:tcPr>
                <w:p w:rsidR="00477972" w:rsidRPr="00D650D4" w:rsidRDefault="00477972" w:rsidP="0033007E">
                  <w:pPr>
                    <w:pStyle w:val="RIIOInterpretation-Termtext"/>
                    <w:spacing w:after="0"/>
                    <w:jc w:val="center"/>
                    <w:rPr>
                      <w:color w:val="FF0000"/>
                      <w:sz w:val="20"/>
                    </w:rPr>
                  </w:pPr>
                </w:p>
              </w:tc>
              <w:tc>
                <w:tcPr>
                  <w:tcW w:w="694" w:type="dxa"/>
                  <w:shd w:val="clear" w:color="auto" w:fill="808080" w:themeFill="background1" w:themeFillShade="80"/>
                </w:tcPr>
                <w:p w:rsidR="00477972" w:rsidRPr="00D650D4" w:rsidRDefault="00477972" w:rsidP="0033007E">
                  <w:pPr>
                    <w:pStyle w:val="RIIOInterpretation-Termtext"/>
                    <w:spacing w:after="0"/>
                    <w:rPr>
                      <w:sz w:val="20"/>
                    </w:rPr>
                  </w:pPr>
                </w:p>
              </w:tc>
              <w:tc>
                <w:tcPr>
                  <w:tcW w:w="835" w:type="dxa"/>
                  <w:shd w:val="clear" w:color="auto" w:fill="808080" w:themeFill="background1" w:themeFillShade="80"/>
                </w:tcPr>
                <w:p w:rsidR="00477972" w:rsidRPr="00D650D4" w:rsidRDefault="00477972" w:rsidP="0033007E">
                  <w:pPr>
                    <w:pStyle w:val="RIIOInterpretation-Termtext"/>
                    <w:spacing w:after="0"/>
                    <w:rPr>
                      <w:sz w:val="20"/>
                    </w:rPr>
                  </w:pPr>
                </w:p>
              </w:tc>
            </w:tr>
            <w:tr w:rsidR="00477972" w:rsidRPr="00D650D4" w:rsidTr="00D650D4">
              <w:trPr>
                <w:trHeight w:val="229"/>
              </w:trPr>
              <w:tc>
                <w:tcPr>
                  <w:tcW w:w="969" w:type="dxa"/>
                  <w:vAlign w:val="center"/>
                </w:tcPr>
                <w:p w:rsidR="00477972" w:rsidRPr="00D650D4" w:rsidRDefault="00477972" w:rsidP="0033007E">
                  <w:pPr>
                    <w:pStyle w:val="RIIOInterpretation-Termtext"/>
                    <w:spacing w:after="0"/>
                    <w:jc w:val="center"/>
                    <w:rPr>
                      <w:sz w:val="20"/>
                    </w:rPr>
                  </w:pPr>
                  <w:r w:rsidRPr="00D650D4">
                    <w:rPr>
                      <w:sz w:val="20"/>
                    </w:rPr>
                    <w:t>2018</w:t>
                  </w:r>
                </w:p>
              </w:tc>
              <w:tc>
                <w:tcPr>
                  <w:tcW w:w="694" w:type="dxa"/>
                  <w:shd w:val="clear" w:color="auto" w:fill="808080" w:themeFill="background1" w:themeFillShade="80"/>
                </w:tcPr>
                <w:p w:rsidR="00477972" w:rsidRPr="00D650D4" w:rsidRDefault="00477972" w:rsidP="0033007E">
                  <w:pPr>
                    <w:pStyle w:val="RIIOInterpretation-Termtext"/>
                    <w:spacing w:after="0"/>
                    <w:rPr>
                      <w:sz w:val="20"/>
                    </w:rPr>
                  </w:pPr>
                </w:p>
              </w:tc>
              <w:tc>
                <w:tcPr>
                  <w:tcW w:w="835" w:type="dxa"/>
                  <w:shd w:val="clear" w:color="auto" w:fill="auto"/>
                </w:tcPr>
                <w:p w:rsidR="00477972" w:rsidRPr="00D650D4" w:rsidRDefault="00477972" w:rsidP="0033007E">
                  <w:pPr>
                    <w:pStyle w:val="RIIOInterpretation-Termtext"/>
                    <w:spacing w:after="0"/>
                    <w:jc w:val="center"/>
                    <w:rPr>
                      <w:sz w:val="20"/>
                    </w:rPr>
                  </w:pPr>
                  <w:r w:rsidRPr="00D650D4">
                    <w:rPr>
                      <w:sz w:val="20"/>
                    </w:rPr>
                    <w:t>0.2</w:t>
                  </w:r>
                </w:p>
              </w:tc>
              <w:tc>
                <w:tcPr>
                  <w:tcW w:w="695" w:type="dxa"/>
                  <w:shd w:val="clear" w:color="auto" w:fill="auto"/>
                </w:tcPr>
                <w:p w:rsidR="00477972" w:rsidRPr="00D650D4" w:rsidRDefault="00477972" w:rsidP="0033007E">
                  <w:pPr>
                    <w:pStyle w:val="RIIOInterpretation-Termtext"/>
                    <w:spacing w:after="0"/>
                    <w:jc w:val="center"/>
                    <w:rPr>
                      <w:sz w:val="20"/>
                    </w:rPr>
                  </w:pPr>
                  <w:r w:rsidRPr="00D650D4">
                    <w:rPr>
                      <w:sz w:val="20"/>
                    </w:rPr>
                    <w:t>0.5</w:t>
                  </w:r>
                </w:p>
              </w:tc>
              <w:tc>
                <w:tcPr>
                  <w:tcW w:w="694" w:type="dxa"/>
                  <w:shd w:val="clear" w:color="auto" w:fill="auto"/>
                  <w:vAlign w:val="center"/>
                </w:tcPr>
                <w:p w:rsidR="00477972" w:rsidRPr="00D650D4" w:rsidRDefault="00477972" w:rsidP="0033007E">
                  <w:pPr>
                    <w:pStyle w:val="RIIOInterpretation-Termtext"/>
                    <w:spacing w:after="0"/>
                    <w:jc w:val="center"/>
                    <w:rPr>
                      <w:sz w:val="20"/>
                    </w:rPr>
                  </w:pPr>
                  <w:r w:rsidRPr="00D650D4">
                    <w:rPr>
                      <w:sz w:val="20"/>
                    </w:rPr>
                    <w:t>0.2</w:t>
                  </w:r>
                </w:p>
              </w:tc>
              <w:tc>
                <w:tcPr>
                  <w:tcW w:w="835" w:type="dxa"/>
                  <w:shd w:val="clear" w:color="auto" w:fill="auto"/>
                  <w:vAlign w:val="center"/>
                </w:tcPr>
                <w:p w:rsidR="00477972" w:rsidRPr="00D650D4" w:rsidRDefault="00477972" w:rsidP="0033007E">
                  <w:pPr>
                    <w:pStyle w:val="RIIOInterpretation-Termtext"/>
                    <w:spacing w:after="0"/>
                    <w:jc w:val="center"/>
                    <w:rPr>
                      <w:sz w:val="20"/>
                    </w:rPr>
                  </w:pPr>
                  <w:r w:rsidRPr="00D650D4">
                    <w:rPr>
                      <w:sz w:val="20"/>
                    </w:rPr>
                    <w:t>0.1</w:t>
                  </w:r>
                </w:p>
              </w:tc>
              <w:tc>
                <w:tcPr>
                  <w:tcW w:w="695" w:type="dxa"/>
                  <w:shd w:val="clear" w:color="auto" w:fill="808080" w:themeFill="background1" w:themeFillShade="80"/>
                  <w:vAlign w:val="center"/>
                </w:tcPr>
                <w:p w:rsidR="00477972" w:rsidRPr="00D650D4" w:rsidRDefault="00477972" w:rsidP="0033007E">
                  <w:pPr>
                    <w:pStyle w:val="RIIOInterpretation-Termtext"/>
                    <w:spacing w:after="0"/>
                    <w:jc w:val="center"/>
                    <w:rPr>
                      <w:color w:val="FF0000"/>
                      <w:sz w:val="20"/>
                    </w:rPr>
                  </w:pPr>
                </w:p>
              </w:tc>
              <w:tc>
                <w:tcPr>
                  <w:tcW w:w="694" w:type="dxa"/>
                  <w:shd w:val="clear" w:color="auto" w:fill="808080" w:themeFill="background1" w:themeFillShade="80"/>
                  <w:vAlign w:val="center"/>
                </w:tcPr>
                <w:p w:rsidR="00477972" w:rsidRPr="00D650D4" w:rsidRDefault="00477972" w:rsidP="0033007E">
                  <w:pPr>
                    <w:pStyle w:val="RIIOInterpretation-Termtext"/>
                    <w:spacing w:after="0"/>
                    <w:jc w:val="center"/>
                    <w:rPr>
                      <w:sz w:val="20"/>
                    </w:rPr>
                  </w:pPr>
                </w:p>
              </w:tc>
              <w:tc>
                <w:tcPr>
                  <w:tcW w:w="835" w:type="dxa"/>
                  <w:shd w:val="clear" w:color="auto" w:fill="808080" w:themeFill="background1" w:themeFillShade="80"/>
                </w:tcPr>
                <w:p w:rsidR="00477972" w:rsidRPr="00D650D4" w:rsidRDefault="00477972" w:rsidP="0033007E">
                  <w:pPr>
                    <w:pStyle w:val="RIIOInterpretation-Termtext"/>
                    <w:spacing w:after="0"/>
                    <w:rPr>
                      <w:sz w:val="20"/>
                    </w:rPr>
                  </w:pPr>
                </w:p>
              </w:tc>
            </w:tr>
            <w:tr w:rsidR="00477972" w:rsidRPr="00D650D4" w:rsidTr="00D650D4">
              <w:trPr>
                <w:trHeight w:val="229"/>
              </w:trPr>
              <w:tc>
                <w:tcPr>
                  <w:tcW w:w="969" w:type="dxa"/>
                  <w:vAlign w:val="center"/>
                </w:tcPr>
                <w:p w:rsidR="00477972" w:rsidRPr="00D650D4" w:rsidRDefault="00477972" w:rsidP="0033007E">
                  <w:pPr>
                    <w:pStyle w:val="RIIOInterpretation-Termtext"/>
                    <w:spacing w:after="0"/>
                    <w:jc w:val="center"/>
                    <w:rPr>
                      <w:sz w:val="20"/>
                    </w:rPr>
                  </w:pPr>
                  <w:r w:rsidRPr="00D650D4">
                    <w:rPr>
                      <w:sz w:val="20"/>
                    </w:rPr>
                    <w:t>2019</w:t>
                  </w:r>
                </w:p>
              </w:tc>
              <w:tc>
                <w:tcPr>
                  <w:tcW w:w="694" w:type="dxa"/>
                  <w:shd w:val="clear" w:color="auto" w:fill="808080" w:themeFill="background1" w:themeFillShade="80"/>
                </w:tcPr>
                <w:p w:rsidR="00477972" w:rsidRPr="00D650D4" w:rsidRDefault="00477972" w:rsidP="0033007E">
                  <w:pPr>
                    <w:pStyle w:val="RIIOInterpretation-Termtext"/>
                    <w:spacing w:after="0"/>
                    <w:rPr>
                      <w:sz w:val="20"/>
                    </w:rPr>
                  </w:pPr>
                </w:p>
              </w:tc>
              <w:tc>
                <w:tcPr>
                  <w:tcW w:w="835" w:type="dxa"/>
                  <w:shd w:val="clear" w:color="auto" w:fill="808080" w:themeFill="background1" w:themeFillShade="80"/>
                </w:tcPr>
                <w:p w:rsidR="00477972" w:rsidRPr="00D650D4" w:rsidRDefault="00477972" w:rsidP="0033007E">
                  <w:pPr>
                    <w:pStyle w:val="RIIOInterpretation-Termtext"/>
                    <w:spacing w:after="0"/>
                    <w:rPr>
                      <w:sz w:val="20"/>
                    </w:rPr>
                  </w:pPr>
                </w:p>
              </w:tc>
              <w:tc>
                <w:tcPr>
                  <w:tcW w:w="695" w:type="dxa"/>
                  <w:shd w:val="clear" w:color="auto" w:fill="auto"/>
                </w:tcPr>
                <w:p w:rsidR="00477972" w:rsidRPr="00D650D4" w:rsidRDefault="00477972" w:rsidP="0033007E">
                  <w:pPr>
                    <w:pStyle w:val="RIIOInterpretation-Termtext"/>
                    <w:spacing w:after="0"/>
                    <w:jc w:val="center"/>
                    <w:rPr>
                      <w:sz w:val="20"/>
                    </w:rPr>
                  </w:pPr>
                  <w:r w:rsidRPr="00D650D4">
                    <w:rPr>
                      <w:sz w:val="20"/>
                    </w:rPr>
                    <w:t>0.2</w:t>
                  </w:r>
                </w:p>
              </w:tc>
              <w:tc>
                <w:tcPr>
                  <w:tcW w:w="694" w:type="dxa"/>
                  <w:shd w:val="clear" w:color="auto" w:fill="auto"/>
                </w:tcPr>
                <w:p w:rsidR="00477972" w:rsidRPr="00D650D4" w:rsidRDefault="00477972" w:rsidP="0033007E">
                  <w:pPr>
                    <w:pStyle w:val="RIIOInterpretation-Termtext"/>
                    <w:spacing w:after="0"/>
                    <w:jc w:val="center"/>
                    <w:rPr>
                      <w:sz w:val="20"/>
                    </w:rPr>
                  </w:pPr>
                  <w:r w:rsidRPr="00D650D4">
                    <w:rPr>
                      <w:sz w:val="20"/>
                    </w:rPr>
                    <w:t>0.5</w:t>
                  </w:r>
                </w:p>
              </w:tc>
              <w:tc>
                <w:tcPr>
                  <w:tcW w:w="835" w:type="dxa"/>
                  <w:shd w:val="clear" w:color="auto" w:fill="auto"/>
                  <w:vAlign w:val="center"/>
                </w:tcPr>
                <w:p w:rsidR="00477972" w:rsidRPr="00D650D4" w:rsidRDefault="00477972" w:rsidP="0033007E">
                  <w:pPr>
                    <w:pStyle w:val="RIIOInterpretation-Termtext"/>
                    <w:spacing w:after="0"/>
                    <w:jc w:val="center"/>
                    <w:rPr>
                      <w:sz w:val="20"/>
                    </w:rPr>
                  </w:pPr>
                  <w:r w:rsidRPr="00D650D4">
                    <w:rPr>
                      <w:sz w:val="20"/>
                    </w:rPr>
                    <w:t>0.2</w:t>
                  </w:r>
                </w:p>
              </w:tc>
              <w:tc>
                <w:tcPr>
                  <w:tcW w:w="695" w:type="dxa"/>
                  <w:shd w:val="clear" w:color="auto" w:fill="auto"/>
                  <w:vAlign w:val="center"/>
                </w:tcPr>
                <w:p w:rsidR="00477972" w:rsidRPr="00D650D4" w:rsidRDefault="00477972" w:rsidP="0033007E">
                  <w:pPr>
                    <w:pStyle w:val="RIIOInterpretation-Termtext"/>
                    <w:spacing w:after="0"/>
                    <w:jc w:val="center"/>
                    <w:rPr>
                      <w:color w:val="FF0000"/>
                      <w:sz w:val="20"/>
                    </w:rPr>
                  </w:pPr>
                  <w:r w:rsidRPr="00D650D4">
                    <w:rPr>
                      <w:color w:val="FF0000"/>
                      <w:sz w:val="20"/>
                    </w:rPr>
                    <w:t>0.1</w:t>
                  </w:r>
                </w:p>
              </w:tc>
              <w:tc>
                <w:tcPr>
                  <w:tcW w:w="694" w:type="dxa"/>
                  <w:shd w:val="clear" w:color="auto" w:fill="808080" w:themeFill="background1" w:themeFillShade="80"/>
                  <w:vAlign w:val="bottom"/>
                </w:tcPr>
                <w:p w:rsidR="00477972" w:rsidRPr="00D650D4" w:rsidRDefault="00477972" w:rsidP="0033007E">
                  <w:pPr>
                    <w:pStyle w:val="RIIOInterpretation-Termtext"/>
                    <w:spacing w:after="0"/>
                    <w:jc w:val="center"/>
                    <w:rPr>
                      <w:sz w:val="20"/>
                    </w:rPr>
                  </w:pPr>
                </w:p>
              </w:tc>
              <w:tc>
                <w:tcPr>
                  <w:tcW w:w="835" w:type="dxa"/>
                  <w:shd w:val="clear" w:color="auto" w:fill="808080" w:themeFill="background1" w:themeFillShade="80"/>
                  <w:vAlign w:val="bottom"/>
                </w:tcPr>
                <w:p w:rsidR="00477972" w:rsidRPr="00D650D4" w:rsidRDefault="00477972" w:rsidP="0033007E">
                  <w:pPr>
                    <w:pStyle w:val="RIIOInterpretation-Termtext"/>
                    <w:spacing w:after="0"/>
                    <w:jc w:val="center"/>
                    <w:rPr>
                      <w:sz w:val="20"/>
                    </w:rPr>
                  </w:pPr>
                </w:p>
              </w:tc>
            </w:tr>
            <w:tr w:rsidR="00477972" w:rsidRPr="00D650D4" w:rsidTr="00D650D4">
              <w:trPr>
                <w:trHeight w:val="229"/>
              </w:trPr>
              <w:tc>
                <w:tcPr>
                  <w:tcW w:w="969" w:type="dxa"/>
                  <w:vAlign w:val="center"/>
                </w:tcPr>
                <w:p w:rsidR="00477972" w:rsidRPr="00D650D4" w:rsidRDefault="00477972" w:rsidP="0033007E">
                  <w:pPr>
                    <w:pStyle w:val="RIIOInterpretation-Termtext"/>
                    <w:spacing w:after="0"/>
                    <w:jc w:val="center"/>
                    <w:rPr>
                      <w:sz w:val="20"/>
                    </w:rPr>
                  </w:pPr>
                  <w:r w:rsidRPr="00D650D4">
                    <w:rPr>
                      <w:sz w:val="20"/>
                    </w:rPr>
                    <w:t>2020</w:t>
                  </w:r>
                </w:p>
              </w:tc>
              <w:tc>
                <w:tcPr>
                  <w:tcW w:w="694" w:type="dxa"/>
                  <w:shd w:val="clear" w:color="auto" w:fill="808080" w:themeFill="background1" w:themeFillShade="80"/>
                </w:tcPr>
                <w:p w:rsidR="00477972" w:rsidRPr="00D650D4" w:rsidRDefault="00477972" w:rsidP="0033007E">
                  <w:pPr>
                    <w:pStyle w:val="RIIOInterpretation-Termtext"/>
                    <w:spacing w:after="0"/>
                    <w:rPr>
                      <w:sz w:val="20"/>
                    </w:rPr>
                  </w:pPr>
                </w:p>
              </w:tc>
              <w:tc>
                <w:tcPr>
                  <w:tcW w:w="835" w:type="dxa"/>
                  <w:shd w:val="clear" w:color="auto" w:fill="808080" w:themeFill="background1" w:themeFillShade="80"/>
                </w:tcPr>
                <w:p w:rsidR="00477972" w:rsidRPr="00D650D4" w:rsidRDefault="00477972" w:rsidP="0033007E">
                  <w:pPr>
                    <w:pStyle w:val="RIIOInterpretation-Termtext"/>
                    <w:spacing w:after="0"/>
                    <w:rPr>
                      <w:sz w:val="20"/>
                    </w:rPr>
                  </w:pPr>
                </w:p>
              </w:tc>
              <w:tc>
                <w:tcPr>
                  <w:tcW w:w="695" w:type="dxa"/>
                  <w:shd w:val="clear" w:color="auto" w:fill="808080" w:themeFill="background1" w:themeFillShade="80"/>
                </w:tcPr>
                <w:p w:rsidR="00477972" w:rsidRPr="00D650D4" w:rsidRDefault="00477972" w:rsidP="0033007E">
                  <w:pPr>
                    <w:pStyle w:val="RIIOInterpretation-Termtext"/>
                    <w:spacing w:after="0"/>
                    <w:rPr>
                      <w:sz w:val="20"/>
                    </w:rPr>
                  </w:pPr>
                </w:p>
              </w:tc>
              <w:tc>
                <w:tcPr>
                  <w:tcW w:w="694" w:type="dxa"/>
                  <w:shd w:val="clear" w:color="auto" w:fill="auto"/>
                </w:tcPr>
                <w:p w:rsidR="00477972" w:rsidRPr="00D650D4" w:rsidRDefault="00477972" w:rsidP="0033007E">
                  <w:pPr>
                    <w:pStyle w:val="RIIOInterpretation-Termtext"/>
                    <w:spacing w:after="0"/>
                    <w:jc w:val="center"/>
                    <w:rPr>
                      <w:sz w:val="20"/>
                    </w:rPr>
                  </w:pPr>
                  <w:r w:rsidRPr="00D650D4">
                    <w:rPr>
                      <w:sz w:val="20"/>
                    </w:rPr>
                    <w:t>0.2</w:t>
                  </w:r>
                </w:p>
              </w:tc>
              <w:tc>
                <w:tcPr>
                  <w:tcW w:w="835" w:type="dxa"/>
                  <w:shd w:val="clear" w:color="auto" w:fill="auto"/>
                </w:tcPr>
                <w:p w:rsidR="00477972" w:rsidRPr="00D650D4" w:rsidRDefault="00477972" w:rsidP="0033007E">
                  <w:pPr>
                    <w:pStyle w:val="RIIOInterpretation-Termtext"/>
                    <w:spacing w:after="0"/>
                    <w:jc w:val="center"/>
                    <w:rPr>
                      <w:sz w:val="20"/>
                    </w:rPr>
                  </w:pPr>
                  <w:r w:rsidRPr="00D650D4">
                    <w:rPr>
                      <w:sz w:val="20"/>
                    </w:rPr>
                    <w:t>0.5</w:t>
                  </w:r>
                </w:p>
              </w:tc>
              <w:tc>
                <w:tcPr>
                  <w:tcW w:w="695" w:type="dxa"/>
                  <w:shd w:val="clear" w:color="auto" w:fill="auto"/>
                  <w:vAlign w:val="center"/>
                </w:tcPr>
                <w:p w:rsidR="00477972" w:rsidRPr="00D650D4" w:rsidRDefault="00477972" w:rsidP="0033007E">
                  <w:pPr>
                    <w:pStyle w:val="RIIOInterpretation-Termtext"/>
                    <w:spacing w:after="0"/>
                    <w:jc w:val="center"/>
                    <w:rPr>
                      <w:color w:val="FF0000"/>
                      <w:sz w:val="20"/>
                    </w:rPr>
                  </w:pPr>
                  <w:r w:rsidRPr="00D650D4">
                    <w:rPr>
                      <w:color w:val="FF0000"/>
                      <w:sz w:val="20"/>
                    </w:rPr>
                    <w:t>0.2</w:t>
                  </w:r>
                </w:p>
              </w:tc>
              <w:tc>
                <w:tcPr>
                  <w:tcW w:w="694" w:type="dxa"/>
                  <w:shd w:val="clear" w:color="auto" w:fill="auto"/>
                  <w:vAlign w:val="center"/>
                </w:tcPr>
                <w:p w:rsidR="00477972" w:rsidRPr="00D650D4" w:rsidRDefault="00477972" w:rsidP="0033007E">
                  <w:pPr>
                    <w:pStyle w:val="RIIOInterpretation-Termtext"/>
                    <w:spacing w:after="0"/>
                    <w:jc w:val="center"/>
                    <w:rPr>
                      <w:sz w:val="20"/>
                    </w:rPr>
                  </w:pPr>
                  <w:r w:rsidRPr="00D650D4">
                    <w:rPr>
                      <w:sz w:val="20"/>
                    </w:rPr>
                    <w:t>0.1</w:t>
                  </w:r>
                </w:p>
              </w:tc>
              <w:tc>
                <w:tcPr>
                  <w:tcW w:w="835" w:type="dxa"/>
                  <w:shd w:val="clear" w:color="auto" w:fill="808080" w:themeFill="background1" w:themeFillShade="80"/>
                  <w:vAlign w:val="bottom"/>
                </w:tcPr>
                <w:p w:rsidR="00477972" w:rsidRPr="00D650D4" w:rsidRDefault="00477972" w:rsidP="0033007E">
                  <w:pPr>
                    <w:pStyle w:val="RIIOInterpretation-Termtext"/>
                    <w:spacing w:after="0"/>
                    <w:jc w:val="center"/>
                    <w:rPr>
                      <w:sz w:val="20"/>
                    </w:rPr>
                  </w:pPr>
                </w:p>
              </w:tc>
            </w:tr>
            <w:tr w:rsidR="00477972" w:rsidRPr="00D650D4" w:rsidTr="00D650D4">
              <w:trPr>
                <w:trHeight w:val="229"/>
              </w:trPr>
              <w:tc>
                <w:tcPr>
                  <w:tcW w:w="969" w:type="dxa"/>
                  <w:vAlign w:val="center"/>
                </w:tcPr>
                <w:p w:rsidR="00477972" w:rsidRPr="00D650D4" w:rsidRDefault="00477972" w:rsidP="0033007E">
                  <w:pPr>
                    <w:pStyle w:val="RIIOInterpretation-Termtext"/>
                    <w:spacing w:after="0"/>
                    <w:jc w:val="center"/>
                    <w:rPr>
                      <w:sz w:val="20"/>
                    </w:rPr>
                  </w:pPr>
                  <w:r w:rsidRPr="00D650D4">
                    <w:rPr>
                      <w:sz w:val="20"/>
                    </w:rPr>
                    <w:t>2021</w:t>
                  </w:r>
                </w:p>
              </w:tc>
              <w:tc>
                <w:tcPr>
                  <w:tcW w:w="694" w:type="dxa"/>
                  <w:shd w:val="clear" w:color="auto" w:fill="808080" w:themeFill="background1" w:themeFillShade="80"/>
                </w:tcPr>
                <w:p w:rsidR="00477972" w:rsidRPr="00D650D4" w:rsidRDefault="00477972" w:rsidP="0033007E">
                  <w:pPr>
                    <w:pStyle w:val="RIIOInterpretation-Termtext"/>
                    <w:spacing w:after="0"/>
                    <w:rPr>
                      <w:sz w:val="20"/>
                    </w:rPr>
                  </w:pPr>
                </w:p>
              </w:tc>
              <w:tc>
                <w:tcPr>
                  <w:tcW w:w="835" w:type="dxa"/>
                  <w:shd w:val="clear" w:color="auto" w:fill="808080" w:themeFill="background1" w:themeFillShade="80"/>
                </w:tcPr>
                <w:p w:rsidR="00477972" w:rsidRPr="00D650D4" w:rsidRDefault="00477972" w:rsidP="0033007E">
                  <w:pPr>
                    <w:pStyle w:val="RIIOInterpretation-Termtext"/>
                    <w:spacing w:after="0"/>
                    <w:rPr>
                      <w:sz w:val="20"/>
                    </w:rPr>
                  </w:pPr>
                </w:p>
              </w:tc>
              <w:tc>
                <w:tcPr>
                  <w:tcW w:w="695" w:type="dxa"/>
                  <w:shd w:val="clear" w:color="auto" w:fill="808080" w:themeFill="background1" w:themeFillShade="80"/>
                </w:tcPr>
                <w:p w:rsidR="00477972" w:rsidRPr="00D650D4" w:rsidRDefault="00477972" w:rsidP="0033007E">
                  <w:pPr>
                    <w:pStyle w:val="RIIOInterpretation-Termtext"/>
                    <w:spacing w:after="0"/>
                    <w:rPr>
                      <w:sz w:val="20"/>
                    </w:rPr>
                  </w:pPr>
                </w:p>
              </w:tc>
              <w:tc>
                <w:tcPr>
                  <w:tcW w:w="694" w:type="dxa"/>
                  <w:shd w:val="clear" w:color="auto" w:fill="808080" w:themeFill="background1" w:themeFillShade="80"/>
                </w:tcPr>
                <w:p w:rsidR="00477972" w:rsidRPr="00D650D4" w:rsidRDefault="00477972" w:rsidP="0033007E">
                  <w:pPr>
                    <w:pStyle w:val="RIIOInterpretation-Termtext"/>
                    <w:spacing w:after="0"/>
                    <w:rPr>
                      <w:sz w:val="20"/>
                    </w:rPr>
                  </w:pPr>
                </w:p>
              </w:tc>
              <w:tc>
                <w:tcPr>
                  <w:tcW w:w="835" w:type="dxa"/>
                  <w:shd w:val="clear" w:color="auto" w:fill="auto"/>
                </w:tcPr>
                <w:p w:rsidR="00477972" w:rsidRPr="00D650D4" w:rsidRDefault="00477972" w:rsidP="0033007E">
                  <w:pPr>
                    <w:pStyle w:val="RIIOInterpretation-Termtext"/>
                    <w:spacing w:after="0"/>
                    <w:jc w:val="center"/>
                    <w:rPr>
                      <w:sz w:val="20"/>
                    </w:rPr>
                  </w:pPr>
                  <w:r w:rsidRPr="00D650D4">
                    <w:rPr>
                      <w:sz w:val="20"/>
                    </w:rPr>
                    <w:t>0.2</w:t>
                  </w:r>
                </w:p>
              </w:tc>
              <w:tc>
                <w:tcPr>
                  <w:tcW w:w="695" w:type="dxa"/>
                  <w:shd w:val="clear" w:color="auto" w:fill="auto"/>
                </w:tcPr>
                <w:p w:rsidR="00477972" w:rsidRPr="00D650D4" w:rsidRDefault="00477972" w:rsidP="0033007E">
                  <w:pPr>
                    <w:pStyle w:val="RIIOInterpretation-Termtext"/>
                    <w:spacing w:after="0"/>
                    <w:jc w:val="center"/>
                    <w:rPr>
                      <w:color w:val="FF0000"/>
                      <w:sz w:val="20"/>
                    </w:rPr>
                  </w:pPr>
                  <w:r w:rsidRPr="00D650D4">
                    <w:rPr>
                      <w:color w:val="FF0000"/>
                      <w:sz w:val="20"/>
                    </w:rPr>
                    <w:t>0.5</w:t>
                  </w:r>
                </w:p>
              </w:tc>
              <w:tc>
                <w:tcPr>
                  <w:tcW w:w="694" w:type="dxa"/>
                  <w:shd w:val="clear" w:color="auto" w:fill="auto"/>
                  <w:vAlign w:val="center"/>
                </w:tcPr>
                <w:p w:rsidR="00477972" w:rsidRPr="00D650D4" w:rsidRDefault="00477972" w:rsidP="0033007E">
                  <w:pPr>
                    <w:pStyle w:val="RIIOInterpretation-Termtext"/>
                    <w:spacing w:after="0"/>
                    <w:jc w:val="center"/>
                    <w:rPr>
                      <w:sz w:val="20"/>
                    </w:rPr>
                  </w:pPr>
                  <w:r w:rsidRPr="00D650D4">
                    <w:rPr>
                      <w:sz w:val="20"/>
                    </w:rPr>
                    <w:t>0.2</w:t>
                  </w:r>
                </w:p>
              </w:tc>
              <w:tc>
                <w:tcPr>
                  <w:tcW w:w="835" w:type="dxa"/>
                  <w:shd w:val="clear" w:color="auto" w:fill="auto"/>
                  <w:vAlign w:val="center"/>
                </w:tcPr>
                <w:p w:rsidR="00477972" w:rsidRPr="00D650D4" w:rsidRDefault="00477972" w:rsidP="0033007E">
                  <w:pPr>
                    <w:pStyle w:val="RIIOInterpretation-Termtext"/>
                    <w:spacing w:after="0"/>
                    <w:jc w:val="center"/>
                    <w:rPr>
                      <w:sz w:val="20"/>
                    </w:rPr>
                  </w:pPr>
                  <w:r w:rsidRPr="00D650D4">
                    <w:rPr>
                      <w:sz w:val="20"/>
                    </w:rPr>
                    <w:t>0.1</w:t>
                  </w:r>
                </w:p>
              </w:tc>
            </w:tr>
            <w:tr w:rsidR="00477972" w:rsidRPr="00D650D4" w:rsidTr="00D650D4">
              <w:trPr>
                <w:trHeight w:val="229"/>
              </w:trPr>
              <w:tc>
                <w:tcPr>
                  <w:tcW w:w="969" w:type="dxa"/>
                  <w:vAlign w:val="center"/>
                </w:tcPr>
                <w:p w:rsidR="00477972" w:rsidRPr="00D650D4" w:rsidRDefault="00477972" w:rsidP="0033007E">
                  <w:pPr>
                    <w:pStyle w:val="RIIOInterpretation-Termtext"/>
                    <w:spacing w:after="0"/>
                    <w:jc w:val="center"/>
                    <w:rPr>
                      <w:sz w:val="20"/>
                    </w:rPr>
                  </w:pPr>
                  <w:r w:rsidRPr="00D650D4">
                    <w:rPr>
                      <w:sz w:val="20"/>
                    </w:rPr>
                    <w:t>2022</w:t>
                  </w:r>
                </w:p>
              </w:tc>
              <w:tc>
                <w:tcPr>
                  <w:tcW w:w="694" w:type="dxa"/>
                  <w:shd w:val="clear" w:color="auto" w:fill="808080" w:themeFill="background1" w:themeFillShade="80"/>
                </w:tcPr>
                <w:p w:rsidR="00477972" w:rsidRPr="00D650D4" w:rsidRDefault="00477972" w:rsidP="0033007E">
                  <w:pPr>
                    <w:pStyle w:val="RIIOInterpretation-Termtext"/>
                    <w:spacing w:after="0"/>
                    <w:rPr>
                      <w:sz w:val="20"/>
                    </w:rPr>
                  </w:pPr>
                </w:p>
              </w:tc>
              <w:tc>
                <w:tcPr>
                  <w:tcW w:w="835" w:type="dxa"/>
                  <w:shd w:val="clear" w:color="auto" w:fill="808080" w:themeFill="background1" w:themeFillShade="80"/>
                </w:tcPr>
                <w:p w:rsidR="00477972" w:rsidRPr="00D650D4" w:rsidRDefault="00477972" w:rsidP="0033007E">
                  <w:pPr>
                    <w:pStyle w:val="RIIOInterpretation-Termtext"/>
                    <w:spacing w:after="0"/>
                    <w:rPr>
                      <w:sz w:val="20"/>
                    </w:rPr>
                  </w:pPr>
                </w:p>
              </w:tc>
              <w:tc>
                <w:tcPr>
                  <w:tcW w:w="695" w:type="dxa"/>
                  <w:shd w:val="clear" w:color="auto" w:fill="808080" w:themeFill="background1" w:themeFillShade="80"/>
                </w:tcPr>
                <w:p w:rsidR="00477972" w:rsidRPr="00D650D4" w:rsidRDefault="00477972" w:rsidP="0033007E">
                  <w:pPr>
                    <w:pStyle w:val="RIIOInterpretation-Termtext"/>
                    <w:spacing w:after="0"/>
                    <w:rPr>
                      <w:sz w:val="20"/>
                    </w:rPr>
                  </w:pPr>
                </w:p>
              </w:tc>
              <w:tc>
                <w:tcPr>
                  <w:tcW w:w="694" w:type="dxa"/>
                  <w:shd w:val="clear" w:color="auto" w:fill="808080" w:themeFill="background1" w:themeFillShade="80"/>
                </w:tcPr>
                <w:p w:rsidR="00477972" w:rsidRPr="00D650D4" w:rsidRDefault="00477972" w:rsidP="0033007E">
                  <w:pPr>
                    <w:pStyle w:val="RIIOInterpretation-Termtext"/>
                    <w:spacing w:after="0"/>
                    <w:rPr>
                      <w:sz w:val="20"/>
                    </w:rPr>
                  </w:pPr>
                </w:p>
              </w:tc>
              <w:tc>
                <w:tcPr>
                  <w:tcW w:w="835" w:type="dxa"/>
                  <w:shd w:val="clear" w:color="auto" w:fill="808080" w:themeFill="background1" w:themeFillShade="80"/>
                </w:tcPr>
                <w:p w:rsidR="00477972" w:rsidRPr="00D650D4" w:rsidRDefault="00477972" w:rsidP="0033007E">
                  <w:pPr>
                    <w:pStyle w:val="RIIOInterpretation-Termtext"/>
                    <w:spacing w:after="0"/>
                    <w:rPr>
                      <w:sz w:val="20"/>
                    </w:rPr>
                  </w:pPr>
                </w:p>
              </w:tc>
              <w:tc>
                <w:tcPr>
                  <w:tcW w:w="695" w:type="dxa"/>
                  <w:shd w:val="clear" w:color="auto" w:fill="auto"/>
                </w:tcPr>
                <w:p w:rsidR="00477972" w:rsidRPr="00D650D4" w:rsidRDefault="00477972" w:rsidP="0033007E">
                  <w:pPr>
                    <w:pStyle w:val="RIIOInterpretation-Termtext"/>
                    <w:spacing w:after="0"/>
                    <w:jc w:val="center"/>
                    <w:rPr>
                      <w:color w:val="FF0000"/>
                      <w:sz w:val="20"/>
                    </w:rPr>
                  </w:pPr>
                  <w:r w:rsidRPr="00D650D4">
                    <w:rPr>
                      <w:color w:val="FF0000"/>
                      <w:sz w:val="20"/>
                    </w:rPr>
                    <w:t>0.2</w:t>
                  </w:r>
                </w:p>
              </w:tc>
              <w:tc>
                <w:tcPr>
                  <w:tcW w:w="694" w:type="dxa"/>
                  <w:shd w:val="clear" w:color="auto" w:fill="auto"/>
                </w:tcPr>
                <w:p w:rsidR="00477972" w:rsidRPr="00D650D4" w:rsidRDefault="00477972" w:rsidP="0033007E">
                  <w:pPr>
                    <w:pStyle w:val="RIIOInterpretation-Termtext"/>
                    <w:spacing w:after="0"/>
                    <w:jc w:val="center"/>
                    <w:rPr>
                      <w:sz w:val="20"/>
                    </w:rPr>
                  </w:pPr>
                  <w:r w:rsidRPr="00D650D4">
                    <w:rPr>
                      <w:sz w:val="20"/>
                    </w:rPr>
                    <w:t>0.5</w:t>
                  </w:r>
                </w:p>
              </w:tc>
              <w:tc>
                <w:tcPr>
                  <w:tcW w:w="835" w:type="dxa"/>
                  <w:shd w:val="clear" w:color="auto" w:fill="auto"/>
                  <w:vAlign w:val="center"/>
                </w:tcPr>
                <w:p w:rsidR="00477972" w:rsidRPr="00D650D4" w:rsidRDefault="00477972" w:rsidP="0033007E">
                  <w:pPr>
                    <w:pStyle w:val="RIIOInterpretation-Termtext"/>
                    <w:spacing w:after="0"/>
                    <w:jc w:val="center"/>
                    <w:rPr>
                      <w:sz w:val="20"/>
                    </w:rPr>
                  </w:pPr>
                  <w:r w:rsidRPr="00D650D4">
                    <w:rPr>
                      <w:sz w:val="20"/>
                    </w:rPr>
                    <w:t>0.2</w:t>
                  </w:r>
                </w:p>
              </w:tc>
            </w:tr>
            <w:tr w:rsidR="00477972" w:rsidRPr="00D650D4" w:rsidTr="00D650D4">
              <w:trPr>
                <w:trHeight w:val="229"/>
              </w:trPr>
              <w:tc>
                <w:tcPr>
                  <w:tcW w:w="969" w:type="dxa"/>
                  <w:vAlign w:val="center"/>
                </w:tcPr>
                <w:p w:rsidR="00477972" w:rsidRPr="00D650D4" w:rsidRDefault="00477972" w:rsidP="0033007E">
                  <w:pPr>
                    <w:pStyle w:val="RIIOInterpretation-Termtext"/>
                    <w:spacing w:after="0"/>
                    <w:jc w:val="center"/>
                    <w:rPr>
                      <w:sz w:val="20"/>
                    </w:rPr>
                  </w:pPr>
                  <w:r w:rsidRPr="00D650D4">
                    <w:rPr>
                      <w:sz w:val="20"/>
                    </w:rPr>
                    <w:t>2023</w:t>
                  </w:r>
                </w:p>
              </w:tc>
              <w:tc>
                <w:tcPr>
                  <w:tcW w:w="694" w:type="dxa"/>
                  <w:shd w:val="clear" w:color="auto" w:fill="808080" w:themeFill="background1" w:themeFillShade="80"/>
                </w:tcPr>
                <w:p w:rsidR="00477972" w:rsidRPr="00D650D4" w:rsidRDefault="00477972" w:rsidP="0033007E">
                  <w:pPr>
                    <w:pStyle w:val="RIIOInterpretation-Termtext"/>
                    <w:spacing w:after="0"/>
                    <w:rPr>
                      <w:sz w:val="20"/>
                    </w:rPr>
                  </w:pPr>
                </w:p>
              </w:tc>
              <w:tc>
                <w:tcPr>
                  <w:tcW w:w="835" w:type="dxa"/>
                  <w:shd w:val="clear" w:color="auto" w:fill="808080" w:themeFill="background1" w:themeFillShade="80"/>
                </w:tcPr>
                <w:p w:rsidR="00477972" w:rsidRPr="00D650D4" w:rsidRDefault="00477972" w:rsidP="0033007E">
                  <w:pPr>
                    <w:pStyle w:val="RIIOInterpretation-Termtext"/>
                    <w:spacing w:after="0"/>
                    <w:rPr>
                      <w:sz w:val="20"/>
                    </w:rPr>
                  </w:pPr>
                </w:p>
              </w:tc>
              <w:tc>
                <w:tcPr>
                  <w:tcW w:w="695" w:type="dxa"/>
                  <w:shd w:val="clear" w:color="auto" w:fill="808080" w:themeFill="background1" w:themeFillShade="80"/>
                </w:tcPr>
                <w:p w:rsidR="00477972" w:rsidRPr="00D650D4" w:rsidRDefault="00477972" w:rsidP="0033007E">
                  <w:pPr>
                    <w:pStyle w:val="RIIOInterpretation-Termtext"/>
                    <w:spacing w:after="0"/>
                    <w:rPr>
                      <w:sz w:val="20"/>
                    </w:rPr>
                  </w:pPr>
                </w:p>
              </w:tc>
              <w:tc>
                <w:tcPr>
                  <w:tcW w:w="694" w:type="dxa"/>
                  <w:shd w:val="clear" w:color="auto" w:fill="808080" w:themeFill="background1" w:themeFillShade="80"/>
                </w:tcPr>
                <w:p w:rsidR="00477972" w:rsidRPr="00D650D4" w:rsidRDefault="00477972" w:rsidP="0033007E">
                  <w:pPr>
                    <w:pStyle w:val="RIIOInterpretation-Termtext"/>
                    <w:spacing w:after="0"/>
                    <w:rPr>
                      <w:sz w:val="20"/>
                    </w:rPr>
                  </w:pPr>
                </w:p>
              </w:tc>
              <w:tc>
                <w:tcPr>
                  <w:tcW w:w="835" w:type="dxa"/>
                  <w:shd w:val="clear" w:color="auto" w:fill="808080" w:themeFill="background1" w:themeFillShade="80"/>
                </w:tcPr>
                <w:p w:rsidR="00477972" w:rsidRPr="00D650D4" w:rsidRDefault="00477972" w:rsidP="0033007E">
                  <w:pPr>
                    <w:pStyle w:val="RIIOInterpretation-Termtext"/>
                    <w:spacing w:after="0"/>
                    <w:rPr>
                      <w:sz w:val="20"/>
                    </w:rPr>
                  </w:pPr>
                </w:p>
              </w:tc>
              <w:tc>
                <w:tcPr>
                  <w:tcW w:w="695" w:type="dxa"/>
                  <w:shd w:val="clear" w:color="auto" w:fill="808080" w:themeFill="background1" w:themeFillShade="80"/>
                </w:tcPr>
                <w:p w:rsidR="00477972" w:rsidRPr="00D650D4" w:rsidRDefault="00477972" w:rsidP="0033007E">
                  <w:pPr>
                    <w:pStyle w:val="RIIOInterpretation-Termtext"/>
                    <w:spacing w:after="0"/>
                    <w:rPr>
                      <w:color w:val="FF0000"/>
                      <w:sz w:val="20"/>
                    </w:rPr>
                  </w:pPr>
                </w:p>
              </w:tc>
              <w:tc>
                <w:tcPr>
                  <w:tcW w:w="694" w:type="dxa"/>
                  <w:shd w:val="clear" w:color="auto" w:fill="auto"/>
                </w:tcPr>
                <w:p w:rsidR="00477972" w:rsidRPr="00D650D4" w:rsidRDefault="00477972" w:rsidP="0033007E">
                  <w:pPr>
                    <w:pStyle w:val="RIIOInterpretation-Termtext"/>
                    <w:spacing w:after="0"/>
                    <w:jc w:val="center"/>
                    <w:rPr>
                      <w:sz w:val="20"/>
                    </w:rPr>
                  </w:pPr>
                  <w:r w:rsidRPr="00D650D4">
                    <w:rPr>
                      <w:sz w:val="20"/>
                    </w:rPr>
                    <w:t>0.2</w:t>
                  </w:r>
                </w:p>
              </w:tc>
              <w:tc>
                <w:tcPr>
                  <w:tcW w:w="835" w:type="dxa"/>
                  <w:shd w:val="clear" w:color="auto" w:fill="auto"/>
                </w:tcPr>
                <w:p w:rsidR="00477972" w:rsidRPr="00D650D4" w:rsidRDefault="00477972" w:rsidP="0033007E">
                  <w:pPr>
                    <w:pStyle w:val="RIIOInterpretation-Termtext"/>
                    <w:spacing w:after="0"/>
                    <w:jc w:val="center"/>
                    <w:rPr>
                      <w:sz w:val="20"/>
                    </w:rPr>
                  </w:pPr>
                  <w:r w:rsidRPr="00D650D4">
                    <w:rPr>
                      <w:sz w:val="20"/>
                    </w:rPr>
                    <w:t>0.5</w:t>
                  </w:r>
                </w:p>
              </w:tc>
            </w:tr>
            <w:tr w:rsidR="00477972" w:rsidRPr="00D650D4" w:rsidTr="00D650D4">
              <w:trPr>
                <w:trHeight w:val="229"/>
              </w:trPr>
              <w:tc>
                <w:tcPr>
                  <w:tcW w:w="969" w:type="dxa"/>
                  <w:vAlign w:val="center"/>
                </w:tcPr>
                <w:p w:rsidR="00477972" w:rsidRPr="00D650D4" w:rsidRDefault="00477972" w:rsidP="0033007E">
                  <w:pPr>
                    <w:pStyle w:val="RIIOInterpretation-Termtext"/>
                    <w:spacing w:after="0"/>
                    <w:jc w:val="center"/>
                    <w:rPr>
                      <w:color w:val="FF0000"/>
                      <w:sz w:val="20"/>
                    </w:rPr>
                  </w:pPr>
                  <w:r w:rsidRPr="00D650D4">
                    <w:rPr>
                      <w:color w:val="FF0000"/>
                      <w:sz w:val="20"/>
                    </w:rPr>
                    <w:t>2024</w:t>
                  </w:r>
                </w:p>
              </w:tc>
              <w:tc>
                <w:tcPr>
                  <w:tcW w:w="694" w:type="dxa"/>
                  <w:shd w:val="clear" w:color="auto" w:fill="808080" w:themeFill="background1" w:themeFillShade="80"/>
                </w:tcPr>
                <w:p w:rsidR="00477972" w:rsidRPr="00D650D4" w:rsidRDefault="00477972" w:rsidP="0033007E">
                  <w:pPr>
                    <w:pStyle w:val="RIIOInterpretation-Termtext"/>
                    <w:spacing w:after="0"/>
                    <w:rPr>
                      <w:color w:val="FF0000"/>
                      <w:sz w:val="20"/>
                    </w:rPr>
                  </w:pPr>
                </w:p>
              </w:tc>
              <w:tc>
                <w:tcPr>
                  <w:tcW w:w="835" w:type="dxa"/>
                  <w:shd w:val="clear" w:color="auto" w:fill="808080" w:themeFill="background1" w:themeFillShade="80"/>
                </w:tcPr>
                <w:p w:rsidR="00477972" w:rsidRPr="00D650D4" w:rsidRDefault="00477972" w:rsidP="0033007E">
                  <w:pPr>
                    <w:pStyle w:val="RIIOInterpretation-Termtext"/>
                    <w:spacing w:after="0"/>
                    <w:rPr>
                      <w:color w:val="FF0000"/>
                      <w:sz w:val="20"/>
                    </w:rPr>
                  </w:pPr>
                </w:p>
              </w:tc>
              <w:tc>
                <w:tcPr>
                  <w:tcW w:w="695" w:type="dxa"/>
                  <w:shd w:val="clear" w:color="auto" w:fill="808080" w:themeFill="background1" w:themeFillShade="80"/>
                </w:tcPr>
                <w:p w:rsidR="00477972" w:rsidRPr="00D650D4" w:rsidRDefault="00477972" w:rsidP="0033007E">
                  <w:pPr>
                    <w:pStyle w:val="RIIOInterpretation-Termtext"/>
                    <w:spacing w:after="0"/>
                    <w:rPr>
                      <w:color w:val="FF0000"/>
                      <w:sz w:val="20"/>
                    </w:rPr>
                  </w:pPr>
                </w:p>
              </w:tc>
              <w:tc>
                <w:tcPr>
                  <w:tcW w:w="694" w:type="dxa"/>
                  <w:shd w:val="clear" w:color="auto" w:fill="808080" w:themeFill="background1" w:themeFillShade="80"/>
                </w:tcPr>
                <w:p w:rsidR="00477972" w:rsidRPr="00D650D4" w:rsidRDefault="00477972" w:rsidP="0033007E">
                  <w:pPr>
                    <w:pStyle w:val="RIIOInterpretation-Termtext"/>
                    <w:spacing w:after="0"/>
                    <w:rPr>
                      <w:color w:val="FF0000"/>
                      <w:sz w:val="20"/>
                    </w:rPr>
                  </w:pPr>
                </w:p>
              </w:tc>
              <w:tc>
                <w:tcPr>
                  <w:tcW w:w="835" w:type="dxa"/>
                  <w:shd w:val="clear" w:color="auto" w:fill="808080" w:themeFill="background1" w:themeFillShade="80"/>
                </w:tcPr>
                <w:p w:rsidR="00477972" w:rsidRPr="00D650D4" w:rsidRDefault="00477972" w:rsidP="0033007E">
                  <w:pPr>
                    <w:pStyle w:val="RIIOInterpretation-Termtext"/>
                    <w:spacing w:after="0"/>
                    <w:rPr>
                      <w:color w:val="FF0000"/>
                      <w:sz w:val="20"/>
                    </w:rPr>
                  </w:pPr>
                </w:p>
              </w:tc>
              <w:tc>
                <w:tcPr>
                  <w:tcW w:w="695" w:type="dxa"/>
                  <w:shd w:val="clear" w:color="auto" w:fill="808080" w:themeFill="background1" w:themeFillShade="80"/>
                </w:tcPr>
                <w:p w:rsidR="00477972" w:rsidRPr="00D650D4" w:rsidRDefault="00477972" w:rsidP="0033007E">
                  <w:pPr>
                    <w:pStyle w:val="RIIOInterpretation-Termtext"/>
                    <w:spacing w:after="0"/>
                    <w:rPr>
                      <w:color w:val="FF0000"/>
                      <w:sz w:val="20"/>
                    </w:rPr>
                  </w:pPr>
                </w:p>
              </w:tc>
              <w:tc>
                <w:tcPr>
                  <w:tcW w:w="694" w:type="dxa"/>
                  <w:shd w:val="clear" w:color="auto" w:fill="7F7F7F" w:themeFill="text1" w:themeFillTint="80"/>
                </w:tcPr>
                <w:p w:rsidR="00477972" w:rsidRPr="00D650D4" w:rsidRDefault="00477972" w:rsidP="0033007E">
                  <w:pPr>
                    <w:pStyle w:val="RIIOInterpretation-Termtext"/>
                    <w:spacing w:after="0"/>
                    <w:jc w:val="center"/>
                    <w:rPr>
                      <w:color w:val="FF0000"/>
                      <w:sz w:val="20"/>
                    </w:rPr>
                  </w:pPr>
                </w:p>
              </w:tc>
              <w:tc>
                <w:tcPr>
                  <w:tcW w:w="835" w:type="dxa"/>
                  <w:shd w:val="clear" w:color="auto" w:fill="auto"/>
                </w:tcPr>
                <w:p w:rsidR="00477972" w:rsidRPr="00D650D4" w:rsidRDefault="00477972" w:rsidP="0033007E">
                  <w:pPr>
                    <w:pStyle w:val="RIIOInterpretation-Termtext"/>
                    <w:spacing w:after="0"/>
                    <w:jc w:val="center"/>
                    <w:rPr>
                      <w:color w:val="FF0000"/>
                      <w:sz w:val="20"/>
                    </w:rPr>
                  </w:pPr>
                  <w:r w:rsidRPr="00D650D4">
                    <w:rPr>
                      <w:color w:val="FF0000"/>
                      <w:sz w:val="20"/>
                    </w:rPr>
                    <w:t>0.2</w:t>
                  </w:r>
                </w:p>
              </w:tc>
            </w:tr>
          </w:tbl>
          <w:p w:rsidR="00477972" w:rsidRDefault="00477972" w:rsidP="006F3678"/>
          <w:p w:rsidR="00477972" w:rsidRDefault="00477972" w:rsidP="006F3678"/>
          <w:p w:rsidR="00477972" w:rsidRDefault="00477972" w:rsidP="006F3678">
            <w:r w:rsidRPr="007803DD">
              <w:t xml:space="preserve">Rationale: </w:t>
            </w:r>
            <w:r>
              <w:t>The e</w:t>
            </w:r>
            <w:r w:rsidRPr="007803DD">
              <w:t xml:space="preserve">xisting </w:t>
            </w:r>
            <w:r>
              <w:t xml:space="preserve">table </w:t>
            </w:r>
            <w:r w:rsidRPr="007803DD">
              <w:t xml:space="preserve">does not cover </w:t>
            </w:r>
            <w:r>
              <w:t>D</w:t>
            </w:r>
            <w:r w:rsidRPr="007803DD">
              <w:t>elivery year 202</w:t>
            </w:r>
            <w:r>
              <w:t xml:space="preserve">4 which </w:t>
            </w:r>
            <w:r w:rsidRPr="007803DD">
              <w:t xml:space="preserve">is included in the formula </w:t>
            </w:r>
            <w:r>
              <w:t xml:space="preserve">for </w:t>
            </w:r>
            <w:proofErr w:type="spellStart"/>
            <w:r>
              <w:t>UCE</w:t>
            </w:r>
            <w:r w:rsidRPr="000A0DD9">
              <w:rPr>
                <w:vertAlign w:val="subscript"/>
              </w:rPr>
              <w:t>t</w:t>
            </w:r>
            <w:proofErr w:type="gramStart"/>
            <w:r w:rsidRPr="000A0DD9">
              <w:rPr>
                <w:vertAlign w:val="subscript"/>
              </w:rPr>
              <w:t>,n</w:t>
            </w:r>
            <w:proofErr w:type="spellEnd"/>
            <w:proofErr w:type="gramEnd"/>
            <w:r>
              <w:t xml:space="preserve"> in</w:t>
            </w:r>
            <w:r w:rsidRPr="007803DD">
              <w:t xml:space="preserve"> paragraph 6K.9. The </w:t>
            </w:r>
            <w:r>
              <w:t xml:space="preserve">existing </w:t>
            </w:r>
            <w:r w:rsidRPr="007803DD">
              <w:t xml:space="preserve">table also omits </w:t>
            </w:r>
            <w:r>
              <w:t>E</w:t>
            </w:r>
            <w:r w:rsidRPr="007803DD">
              <w:t xml:space="preserve">xpenditure year 2018/19. </w:t>
            </w:r>
          </w:p>
          <w:p w:rsidR="00477972" w:rsidRPr="007803DD"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Pr="006870CD" w:rsidRDefault="00477972" w:rsidP="006F3678">
            <w:r w:rsidRPr="006870CD">
              <w:t>6K.13</w:t>
            </w:r>
          </w:p>
        </w:tc>
        <w:tc>
          <w:tcPr>
            <w:tcW w:w="3791" w:type="pct"/>
          </w:tcPr>
          <w:p w:rsidR="00477972" w:rsidRDefault="00477972" w:rsidP="006F3678">
            <w:r>
              <w:t>The words “</w:t>
            </w:r>
            <w:r w:rsidRPr="007C76C2">
              <w:rPr>
                <w:color w:val="FF0000"/>
              </w:rPr>
              <w:t>deemed to</w:t>
            </w:r>
            <w:r>
              <w:rPr>
                <w:color w:val="FF0000"/>
              </w:rPr>
              <w:t xml:space="preserve"> be</w:t>
            </w:r>
            <w:r>
              <w:t xml:space="preserve">” will be inserted in between “The directed UCE values will be” and “set out in the format of Table 5”.  </w:t>
            </w:r>
          </w:p>
          <w:p w:rsidR="00477972" w:rsidRDefault="00477972" w:rsidP="006F3678"/>
          <w:p w:rsidR="00477972" w:rsidRDefault="00477972" w:rsidP="006F3678">
            <w:r>
              <w:t xml:space="preserve">Rationale: To be consistent with treatment of directed Variable Values elsewhere in the Licence. </w:t>
            </w:r>
          </w:p>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Default="00477972" w:rsidP="006F3678">
            <w:pPr>
              <w:rPr>
                <w:rFonts w:ascii="Calibri" w:hAnsi="Calibri"/>
                <w:sz w:val="22"/>
              </w:rPr>
            </w:pPr>
            <w:r>
              <w:t>6L.8</w:t>
            </w:r>
          </w:p>
        </w:tc>
        <w:tc>
          <w:tcPr>
            <w:tcW w:w="3791" w:type="pct"/>
          </w:tcPr>
          <w:p w:rsidR="00477972" w:rsidRDefault="00477972" w:rsidP="006F3678">
            <w:r>
              <w:t xml:space="preserve">In the definition of </w:t>
            </w:r>
            <w:proofErr w:type="spellStart"/>
            <w:r>
              <w:t>BDRI</w:t>
            </w:r>
            <w:r w:rsidRPr="00525464">
              <w:rPr>
                <w:sz w:val="18"/>
                <w:szCs w:val="18"/>
                <w:vertAlign w:val="subscript"/>
              </w:rPr>
              <w:t>n</w:t>
            </w:r>
            <w:proofErr w:type="spellEnd"/>
            <w:r>
              <w:t xml:space="preserve"> the words “Baseline Generation Connections Expenditure” will be replaced with “</w:t>
            </w:r>
            <w:r w:rsidRPr="00420EDE">
              <w:rPr>
                <w:color w:val="FF0000"/>
              </w:rPr>
              <w:t>Baseline Demand Works Expenditure</w:t>
            </w:r>
            <w:r>
              <w:t>”.</w:t>
            </w:r>
          </w:p>
          <w:p w:rsidR="00477972" w:rsidRDefault="00477972" w:rsidP="006F3678"/>
          <w:p w:rsidR="00477972" w:rsidRDefault="00477972" w:rsidP="006F3678">
            <w:r>
              <w:t xml:space="preserve">Rationale: To correct the scope and meaning of the term.  </w:t>
            </w:r>
          </w:p>
          <w:p w:rsidR="00477972" w:rsidRDefault="00477972" w:rsidP="006F3678">
            <w:pPr>
              <w:rPr>
                <w:rFonts w:ascii="Calibri" w:hAnsi="Calibri"/>
                <w:sz w:val="22"/>
              </w:rPr>
            </w:pPr>
          </w:p>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Pr="006870CD" w:rsidRDefault="00477972" w:rsidP="006F3678">
            <w:r w:rsidRPr="006870CD">
              <w:t>6L.9</w:t>
            </w:r>
          </w:p>
        </w:tc>
        <w:tc>
          <w:tcPr>
            <w:tcW w:w="3791" w:type="pct"/>
          </w:tcPr>
          <w:p w:rsidR="00477972" w:rsidRDefault="00477972" w:rsidP="006F3678">
            <w:r>
              <w:t>The first paragraph will be amended as follows:</w:t>
            </w:r>
          </w:p>
          <w:p w:rsidR="00477972" w:rsidRDefault="00477972" w:rsidP="006F3678">
            <w:r>
              <w:t xml:space="preserve"> </w:t>
            </w:r>
          </w:p>
          <w:p w:rsidR="00477972" w:rsidRDefault="00477972" w:rsidP="006F3678">
            <w:r>
              <w:t xml:space="preserve">“The value of </w:t>
            </w:r>
            <w:proofErr w:type="spellStart"/>
            <w:r>
              <w:t>VDRI</w:t>
            </w:r>
            <w:r w:rsidRPr="001F1695">
              <w:rPr>
                <w:vertAlign w:val="subscript"/>
              </w:rPr>
              <w:t>t,n</w:t>
            </w:r>
            <w:proofErr w:type="spellEnd"/>
            <w:r>
              <w:t xml:space="preserve"> is to be determined for Relevant Year t = 2015/16 </w:t>
            </w:r>
            <w:r w:rsidRPr="001F1695">
              <w:rPr>
                <w:color w:val="FF0000"/>
              </w:rPr>
              <w:t>and each subsequent Relevant Year</w:t>
            </w:r>
            <w:r>
              <w:rPr>
                <w:color w:val="FF0000"/>
              </w:rPr>
              <w:t xml:space="preserve"> </w:t>
            </w:r>
            <w:r>
              <w:t>in accordance with the following formula for each Relevant Year n (where n=2014 to 2021 for Relevant Year ending 31 March) where information is available for Relevant Year t-2:”</w:t>
            </w:r>
          </w:p>
          <w:p w:rsidR="00477972" w:rsidRDefault="00477972" w:rsidP="006F3678"/>
          <w:p w:rsidR="00477972" w:rsidRDefault="00477972" w:rsidP="006F3678">
            <w:r>
              <w:t xml:space="preserve">Rationale: The current wording sets out how to calculate the value of </w:t>
            </w:r>
            <w:proofErr w:type="spellStart"/>
            <w:r>
              <w:t>VDRI</w:t>
            </w:r>
            <w:r w:rsidRPr="001F1695">
              <w:rPr>
                <w:vertAlign w:val="subscript"/>
              </w:rPr>
              <w:t>t</w:t>
            </w:r>
            <w:proofErr w:type="gramStart"/>
            <w:r w:rsidRPr="001F1695">
              <w:rPr>
                <w:vertAlign w:val="subscript"/>
              </w:rPr>
              <w:t>,n</w:t>
            </w:r>
            <w:proofErr w:type="spellEnd"/>
            <w:proofErr w:type="gramEnd"/>
            <w:r>
              <w:t xml:space="preserve"> in 2015/16 only, but this is incorrect as this is the enduring formula for the remainder of the price control period.  </w:t>
            </w:r>
          </w:p>
          <w:p w:rsidR="00477972" w:rsidRPr="00A30598"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Pr="006870CD" w:rsidRDefault="00477972" w:rsidP="006F3678">
            <w:r w:rsidRPr="006870CD">
              <w:t>6L.9</w:t>
            </w:r>
          </w:p>
        </w:tc>
        <w:tc>
          <w:tcPr>
            <w:tcW w:w="3791" w:type="pct"/>
          </w:tcPr>
          <w:p w:rsidR="00477972" w:rsidRDefault="00477972" w:rsidP="006F3678">
            <w:r>
              <w:t>In definition of “ADCBL</w:t>
            </w:r>
            <w:r w:rsidRPr="00C362BC">
              <w:rPr>
                <w:vertAlign w:val="subscript"/>
              </w:rPr>
              <w:t>x</w:t>
            </w:r>
            <w:proofErr w:type="gramStart"/>
            <w:r w:rsidRPr="00C362BC">
              <w:rPr>
                <w:vertAlign w:val="subscript"/>
              </w:rPr>
              <w:t>,m,t</w:t>
            </w:r>
            <w:proofErr w:type="gramEnd"/>
            <w:r w:rsidRPr="00C362BC">
              <w:rPr>
                <w:vertAlign w:val="subscript"/>
              </w:rPr>
              <w:t>-2</w:t>
            </w:r>
            <w:r>
              <w:t>”, the word “route” will be replaced with “</w:t>
            </w:r>
            <w:r w:rsidRPr="00825D39">
              <w:rPr>
                <w:color w:val="FF0000"/>
              </w:rPr>
              <w:t>circuit</w:t>
            </w:r>
            <w:r>
              <w:t>”.</w:t>
            </w:r>
          </w:p>
          <w:p w:rsidR="00477972" w:rsidRDefault="00477972" w:rsidP="006F3678"/>
          <w:p w:rsidR="00477972" w:rsidRDefault="00477972" w:rsidP="006F3678">
            <w:r>
              <w:t xml:space="preserve">Rationale: To correct the scope and meaning of the term.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Pr="006870CD" w:rsidRDefault="00477972" w:rsidP="006F3678">
            <w:r w:rsidRPr="006870CD">
              <w:t>6L.10</w:t>
            </w:r>
          </w:p>
        </w:tc>
        <w:tc>
          <w:tcPr>
            <w:tcW w:w="3791" w:type="pct"/>
          </w:tcPr>
          <w:p w:rsidR="00477972" w:rsidRDefault="00477972" w:rsidP="006F3678">
            <w:r>
              <w:t>In definition of “</w:t>
            </w:r>
            <w:proofErr w:type="spellStart"/>
            <w:r>
              <w:t>FDCBL</w:t>
            </w:r>
            <w:r w:rsidRPr="00C362BC">
              <w:rPr>
                <w:vertAlign w:val="subscript"/>
              </w:rPr>
              <w:t>x</w:t>
            </w:r>
            <w:proofErr w:type="gramStart"/>
            <w:r w:rsidRPr="00C362BC">
              <w:rPr>
                <w:vertAlign w:val="subscript"/>
              </w:rPr>
              <w:t>,m,d</w:t>
            </w:r>
            <w:proofErr w:type="spellEnd"/>
            <w:proofErr w:type="gramEnd"/>
            <w:r>
              <w:t>”, the word “route” will be replaced with “</w:t>
            </w:r>
            <w:r w:rsidRPr="00825D39">
              <w:rPr>
                <w:color w:val="FF0000"/>
              </w:rPr>
              <w:t>circuit</w:t>
            </w:r>
            <w:r>
              <w:t>”.</w:t>
            </w:r>
          </w:p>
          <w:p w:rsidR="00477972" w:rsidRDefault="00477972" w:rsidP="006F3678"/>
          <w:p w:rsidR="00477972" w:rsidRDefault="00477972" w:rsidP="006F3678">
            <w:r>
              <w:t xml:space="preserve">Rationale: To correct the scope and meaning of the term.  </w:t>
            </w:r>
          </w:p>
          <w:p w:rsidR="00477972" w:rsidRDefault="00477972" w:rsidP="006F3678"/>
        </w:tc>
      </w:tr>
      <w:tr w:rsidR="00477972" w:rsidRPr="00F825A4" w:rsidTr="00D650D4">
        <w:trPr>
          <w:trHeight w:val="600"/>
        </w:trPr>
        <w:tc>
          <w:tcPr>
            <w:tcW w:w="438" w:type="pct"/>
          </w:tcPr>
          <w:p w:rsidR="00477972" w:rsidRPr="006F3678" w:rsidRDefault="00477972" w:rsidP="006F3678">
            <w:pPr>
              <w:pStyle w:val="ListParagraph"/>
              <w:numPr>
                <w:ilvl w:val="0"/>
                <w:numId w:val="5"/>
              </w:numPr>
              <w:spacing w:after="0" w:line="240" w:lineRule="auto"/>
              <w:rPr>
                <w:szCs w:val="20"/>
              </w:rPr>
            </w:pPr>
          </w:p>
        </w:tc>
        <w:tc>
          <w:tcPr>
            <w:tcW w:w="771" w:type="pct"/>
          </w:tcPr>
          <w:p w:rsidR="00477972" w:rsidRPr="006870CD" w:rsidRDefault="00477972" w:rsidP="006F3678">
            <w:r w:rsidRPr="006870CD">
              <w:t>6L.12 Table 3</w:t>
            </w:r>
          </w:p>
        </w:tc>
        <w:tc>
          <w:tcPr>
            <w:tcW w:w="3791" w:type="pct"/>
          </w:tcPr>
          <w:p w:rsidR="00477972" w:rsidRDefault="00477972" w:rsidP="006F3678">
            <w:r>
              <w:t>In the title of the table the words “(reading down columns)” will be deleted.</w:t>
            </w:r>
          </w:p>
          <w:p w:rsidR="00477972" w:rsidRDefault="00477972" w:rsidP="006F3678"/>
          <w:p w:rsidR="00477972" w:rsidRDefault="00477972" w:rsidP="006F3678">
            <w:r>
              <w:t xml:space="preserve">Rationale: These words are unnecessary. </w:t>
            </w:r>
          </w:p>
          <w:p w:rsidR="00477972" w:rsidRDefault="00477972" w:rsidP="006F3678"/>
        </w:tc>
      </w:tr>
    </w:tbl>
    <w:p w:rsidR="006F3678" w:rsidRDefault="006F3678" w:rsidP="006F3678">
      <w:pPr>
        <w:jc w:val="center"/>
      </w:pPr>
    </w:p>
    <w:p w:rsidR="006F3678" w:rsidRDefault="006F3678" w:rsidP="006F3678">
      <w:pPr>
        <w:rPr>
          <w:rFonts w:cs="Verdana"/>
          <w:color w:val="000000"/>
          <w:sz w:val="24"/>
        </w:rPr>
      </w:pPr>
      <w:r>
        <w:rPr>
          <w:rFonts w:cs="Verdana"/>
          <w:color w:val="000000"/>
          <w:sz w:val="24"/>
        </w:rPr>
        <w:br w:type="page"/>
      </w:r>
    </w:p>
    <w:p w:rsidR="006F3678" w:rsidRPr="00D650D4" w:rsidRDefault="006F3678" w:rsidP="006F3678">
      <w:pPr>
        <w:autoSpaceDE w:val="0"/>
        <w:autoSpaceDN w:val="0"/>
        <w:adjustRightInd w:val="0"/>
        <w:rPr>
          <w:rFonts w:cs="Verdana"/>
          <w:color w:val="000000"/>
          <w:szCs w:val="20"/>
        </w:rPr>
      </w:pPr>
      <w:r w:rsidRPr="00D650D4">
        <w:rPr>
          <w:rFonts w:cs="Verdana"/>
          <w:color w:val="000000"/>
          <w:szCs w:val="20"/>
        </w:rPr>
        <w:t>The proposed modifications in Schedule 2 update parts of the Licence for the introduction and implementation of the Connection and Use of System Modification Proposal 192 (CMP192) that was approved by the Ofgem in 2012.</w:t>
      </w:r>
    </w:p>
    <w:p w:rsidR="006F3678" w:rsidRDefault="006F3678" w:rsidP="006F3678">
      <w:pPr>
        <w:autoSpaceDE w:val="0"/>
        <w:autoSpaceDN w:val="0"/>
        <w:adjustRightInd w:val="0"/>
        <w:rPr>
          <w:rFonts w:cs="Verdana"/>
          <w:color w:val="000000"/>
          <w:szCs w:val="20"/>
        </w:rPr>
      </w:pPr>
    </w:p>
    <w:p w:rsidR="006F3678" w:rsidRDefault="006F3678" w:rsidP="006F3678">
      <w:pPr>
        <w:jc w:val="center"/>
        <w:rPr>
          <w:b/>
          <w:sz w:val="22"/>
          <w:szCs w:val="22"/>
        </w:rPr>
      </w:pPr>
      <w:r w:rsidRPr="00D650D4">
        <w:rPr>
          <w:b/>
          <w:sz w:val="22"/>
          <w:szCs w:val="22"/>
        </w:rPr>
        <w:t>Schedule 2</w:t>
      </w:r>
    </w:p>
    <w:p w:rsidR="00D650D4" w:rsidRPr="00D650D4" w:rsidRDefault="00D650D4" w:rsidP="006F3678">
      <w:pPr>
        <w:jc w:val="center"/>
        <w:rPr>
          <w:b/>
          <w:sz w:val="22"/>
          <w:szCs w:val="22"/>
        </w:rPr>
      </w:pPr>
    </w:p>
    <w:tbl>
      <w:tblPr>
        <w:tblStyle w:val="TableGrid"/>
        <w:tblW w:w="5000" w:type="pct"/>
        <w:tblLook w:val="04A0"/>
      </w:tblPr>
      <w:tblGrid>
        <w:gridCol w:w="838"/>
        <w:gridCol w:w="1385"/>
        <w:gridCol w:w="7019"/>
      </w:tblGrid>
      <w:tr w:rsidR="006F3678" w:rsidRPr="00214D6B" w:rsidTr="00214D6B">
        <w:trPr>
          <w:tblHeader/>
        </w:trPr>
        <w:tc>
          <w:tcPr>
            <w:tcW w:w="389" w:type="pct"/>
            <w:shd w:val="clear" w:color="auto" w:fill="BFBFBF" w:themeFill="background1" w:themeFillShade="BF"/>
            <w:vAlign w:val="center"/>
          </w:tcPr>
          <w:p w:rsidR="006F3678" w:rsidRPr="00214D6B" w:rsidRDefault="006F3678" w:rsidP="00214D6B">
            <w:pPr>
              <w:spacing w:line="276" w:lineRule="auto"/>
              <w:jc w:val="center"/>
              <w:rPr>
                <w:b/>
                <w:szCs w:val="20"/>
              </w:rPr>
            </w:pPr>
            <w:r w:rsidRPr="00214D6B">
              <w:rPr>
                <w:b/>
                <w:szCs w:val="20"/>
              </w:rPr>
              <w:t>Issue</w:t>
            </w:r>
            <w:r w:rsidR="00214D6B" w:rsidRPr="00214D6B">
              <w:rPr>
                <w:b/>
                <w:szCs w:val="20"/>
              </w:rPr>
              <w:t xml:space="preserve"> </w:t>
            </w:r>
            <w:r w:rsidRPr="00214D6B">
              <w:rPr>
                <w:b/>
                <w:szCs w:val="20"/>
              </w:rPr>
              <w:t>No.</w:t>
            </w:r>
          </w:p>
        </w:tc>
        <w:tc>
          <w:tcPr>
            <w:tcW w:w="576" w:type="pct"/>
            <w:shd w:val="clear" w:color="auto" w:fill="BFBFBF" w:themeFill="background1" w:themeFillShade="BF"/>
            <w:vAlign w:val="center"/>
          </w:tcPr>
          <w:p w:rsidR="006F3678" w:rsidRPr="00214D6B" w:rsidRDefault="006F3678" w:rsidP="00214D6B">
            <w:pPr>
              <w:spacing w:line="276" w:lineRule="auto"/>
              <w:jc w:val="center"/>
              <w:rPr>
                <w:b/>
                <w:szCs w:val="20"/>
              </w:rPr>
            </w:pPr>
            <w:r w:rsidRPr="00214D6B">
              <w:rPr>
                <w:b/>
                <w:szCs w:val="20"/>
              </w:rPr>
              <w:t>Paragraph</w:t>
            </w:r>
            <w:r w:rsidR="00214D6B" w:rsidRPr="00214D6B">
              <w:rPr>
                <w:b/>
                <w:szCs w:val="20"/>
              </w:rPr>
              <w:t xml:space="preserve"> </w:t>
            </w:r>
            <w:r w:rsidRPr="00214D6B">
              <w:rPr>
                <w:b/>
                <w:szCs w:val="20"/>
              </w:rPr>
              <w:t>Reference</w:t>
            </w:r>
          </w:p>
        </w:tc>
        <w:tc>
          <w:tcPr>
            <w:tcW w:w="4035" w:type="pct"/>
            <w:shd w:val="clear" w:color="auto" w:fill="BFBFBF" w:themeFill="background1" w:themeFillShade="BF"/>
            <w:vAlign w:val="center"/>
          </w:tcPr>
          <w:p w:rsidR="006F3678" w:rsidRPr="00214D6B" w:rsidRDefault="006F3678" w:rsidP="00214D6B">
            <w:pPr>
              <w:spacing w:line="276" w:lineRule="auto"/>
              <w:jc w:val="center"/>
              <w:rPr>
                <w:b/>
                <w:szCs w:val="20"/>
              </w:rPr>
            </w:pPr>
            <w:r w:rsidRPr="00214D6B">
              <w:rPr>
                <w:b/>
                <w:szCs w:val="20"/>
              </w:rPr>
              <w:t>Proposed Amendments</w:t>
            </w:r>
          </w:p>
        </w:tc>
      </w:tr>
      <w:tr w:rsidR="006F3678" w:rsidRPr="00214D6B" w:rsidTr="006F3678">
        <w:trPr>
          <w:trHeight w:val="600"/>
        </w:trPr>
        <w:tc>
          <w:tcPr>
            <w:tcW w:w="389" w:type="pct"/>
          </w:tcPr>
          <w:p w:rsidR="006F3678" w:rsidRPr="00214D6B" w:rsidRDefault="006F3678" w:rsidP="00214D6B">
            <w:pPr>
              <w:pStyle w:val="ListParagraph"/>
              <w:numPr>
                <w:ilvl w:val="0"/>
                <w:numId w:val="6"/>
              </w:numPr>
              <w:spacing w:after="0" w:line="240" w:lineRule="auto"/>
              <w:rPr>
                <w:szCs w:val="20"/>
              </w:rPr>
            </w:pPr>
          </w:p>
        </w:tc>
        <w:tc>
          <w:tcPr>
            <w:tcW w:w="576" w:type="pct"/>
          </w:tcPr>
          <w:p w:rsidR="006F3678" w:rsidRPr="00214D6B" w:rsidRDefault="006F3678" w:rsidP="006F3678">
            <w:pPr>
              <w:rPr>
                <w:szCs w:val="20"/>
              </w:rPr>
            </w:pPr>
            <w:r w:rsidRPr="00214D6B">
              <w:rPr>
                <w:szCs w:val="20"/>
              </w:rPr>
              <w:t>3A.4</w:t>
            </w:r>
          </w:p>
        </w:tc>
        <w:tc>
          <w:tcPr>
            <w:tcW w:w="4035" w:type="pct"/>
          </w:tcPr>
          <w:p w:rsidR="006F3678" w:rsidRPr="00214D6B" w:rsidRDefault="006F3678" w:rsidP="006F3678">
            <w:pPr>
              <w:rPr>
                <w:szCs w:val="20"/>
              </w:rPr>
            </w:pPr>
            <w:r w:rsidRPr="00214D6B">
              <w:rPr>
                <w:szCs w:val="20"/>
              </w:rPr>
              <w:t>The definition of “</w:t>
            </w:r>
            <w:proofErr w:type="spellStart"/>
            <w:r w:rsidRPr="00214D6B">
              <w:rPr>
                <w:szCs w:val="20"/>
              </w:rPr>
              <w:t>TS</w:t>
            </w:r>
            <w:r w:rsidRPr="00214D6B">
              <w:rPr>
                <w:szCs w:val="20"/>
                <w:vertAlign w:val="subscript"/>
              </w:rPr>
              <w:t>t</w:t>
            </w:r>
            <w:proofErr w:type="spellEnd"/>
            <w:r w:rsidRPr="00214D6B">
              <w:rPr>
                <w:szCs w:val="20"/>
              </w:rPr>
              <w:t xml:space="preserve">”, sub-paragraph (a), will be amended as follows: </w:t>
            </w:r>
          </w:p>
          <w:p w:rsidR="006F3678" w:rsidRPr="00214D6B" w:rsidRDefault="006F3678" w:rsidP="006F3678">
            <w:pPr>
              <w:rPr>
                <w:i/>
                <w:szCs w:val="20"/>
              </w:rPr>
            </w:pPr>
          </w:p>
          <w:p w:rsidR="006F3678" w:rsidRPr="00214D6B" w:rsidRDefault="006F3678" w:rsidP="006F3678">
            <w:pPr>
              <w:rPr>
                <w:szCs w:val="20"/>
              </w:rPr>
            </w:pPr>
            <w:r w:rsidRPr="00214D6B">
              <w:rPr>
                <w:szCs w:val="20"/>
              </w:rPr>
              <w:t>“(a) the total amount charged to the licensee in Relevant Year t-1 by Scottish Hydro Electric Transmission Plc</w:t>
            </w:r>
            <w:r w:rsidRPr="00214D6B">
              <w:rPr>
                <w:color w:val="FF0000"/>
                <w:szCs w:val="20"/>
              </w:rPr>
              <w:t xml:space="preserve">, </w:t>
            </w:r>
            <w:r w:rsidRPr="00214D6B">
              <w:rPr>
                <w:strike/>
                <w:color w:val="FF0000"/>
                <w:szCs w:val="20"/>
              </w:rPr>
              <w:t>and</w:t>
            </w:r>
            <w:r w:rsidRPr="00214D6B">
              <w:rPr>
                <w:szCs w:val="20"/>
              </w:rPr>
              <w:t xml:space="preserve"> SP Transmission Ltd </w:t>
            </w:r>
            <w:r w:rsidRPr="00214D6B">
              <w:rPr>
                <w:color w:val="FF0000"/>
                <w:szCs w:val="20"/>
              </w:rPr>
              <w:t>and any Offshore Transmission Owner</w:t>
            </w:r>
            <w:r w:rsidRPr="00214D6B">
              <w:rPr>
                <w:szCs w:val="20"/>
              </w:rPr>
              <w:t xml:space="preserve"> in respect of Transmission Owner Final Sums (as such charges are defined in schedule nine of the STC) minus”</w:t>
            </w:r>
          </w:p>
          <w:p w:rsidR="006F3678" w:rsidRPr="00214D6B" w:rsidRDefault="006F3678" w:rsidP="006F3678">
            <w:pPr>
              <w:rPr>
                <w:szCs w:val="20"/>
              </w:rPr>
            </w:pPr>
          </w:p>
          <w:p w:rsidR="006F3678" w:rsidRPr="00214D6B" w:rsidRDefault="006F3678" w:rsidP="006F3678">
            <w:pPr>
              <w:rPr>
                <w:szCs w:val="20"/>
              </w:rPr>
            </w:pPr>
            <w:r w:rsidRPr="00214D6B">
              <w:rPr>
                <w:szCs w:val="20"/>
              </w:rPr>
              <w:t xml:space="preserve">Rationale: It is appropriate for the adjustment term </w:t>
            </w:r>
            <w:proofErr w:type="spellStart"/>
            <w:proofErr w:type="gramStart"/>
            <w:r w:rsidRPr="00214D6B">
              <w:rPr>
                <w:szCs w:val="20"/>
              </w:rPr>
              <w:t>TS</w:t>
            </w:r>
            <w:r w:rsidRPr="00214D6B">
              <w:rPr>
                <w:szCs w:val="20"/>
                <w:vertAlign w:val="subscript"/>
              </w:rPr>
              <w:t>t</w:t>
            </w:r>
            <w:proofErr w:type="spellEnd"/>
            <w:r w:rsidRPr="00214D6B">
              <w:rPr>
                <w:szCs w:val="20"/>
                <w:vertAlign w:val="subscript"/>
              </w:rPr>
              <w:t xml:space="preserve">  </w:t>
            </w:r>
            <w:r w:rsidRPr="00214D6B">
              <w:rPr>
                <w:szCs w:val="20"/>
              </w:rPr>
              <w:t>to</w:t>
            </w:r>
            <w:proofErr w:type="gramEnd"/>
            <w:r w:rsidRPr="00214D6B">
              <w:rPr>
                <w:szCs w:val="20"/>
              </w:rPr>
              <w:t xml:space="preserve"> also reference offshore transmission owners so that revenue is not under-recovered. </w:t>
            </w:r>
          </w:p>
          <w:p w:rsidR="006F3678" w:rsidRPr="00214D6B" w:rsidRDefault="006F3678" w:rsidP="006F3678">
            <w:pPr>
              <w:rPr>
                <w:szCs w:val="20"/>
              </w:rPr>
            </w:pPr>
          </w:p>
        </w:tc>
      </w:tr>
      <w:tr w:rsidR="006F3678" w:rsidRPr="00214D6B" w:rsidTr="006F3678">
        <w:trPr>
          <w:trHeight w:val="600"/>
        </w:trPr>
        <w:tc>
          <w:tcPr>
            <w:tcW w:w="389" w:type="pct"/>
          </w:tcPr>
          <w:p w:rsidR="006F3678" w:rsidRPr="00214D6B" w:rsidRDefault="006F3678" w:rsidP="006F3678">
            <w:pPr>
              <w:pStyle w:val="ListParagraph"/>
              <w:numPr>
                <w:ilvl w:val="0"/>
                <w:numId w:val="6"/>
              </w:numPr>
              <w:spacing w:after="0" w:line="240" w:lineRule="auto"/>
              <w:rPr>
                <w:szCs w:val="20"/>
              </w:rPr>
            </w:pPr>
          </w:p>
        </w:tc>
        <w:tc>
          <w:tcPr>
            <w:tcW w:w="576" w:type="pct"/>
          </w:tcPr>
          <w:p w:rsidR="006F3678" w:rsidRPr="00214D6B" w:rsidRDefault="006F3678" w:rsidP="006F3678">
            <w:pPr>
              <w:rPr>
                <w:szCs w:val="20"/>
              </w:rPr>
            </w:pPr>
            <w:r w:rsidRPr="00214D6B">
              <w:rPr>
                <w:szCs w:val="20"/>
              </w:rPr>
              <w:t>3A.4</w:t>
            </w:r>
          </w:p>
        </w:tc>
        <w:tc>
          <w:tcPr>
            <w:tcW w:w="4035" w:type="pct"/>
          </w:tcPr>
          <w:p w:rsidR="006F3678" w:rsidRPr="00214D6B" w:rsidRDefault="006F3678" w:rsidP="006F3678">
            <w:pPr>
              <w:rPr>
                <w:szCs w:val="20"/>
              </w:rPr>
            </w:pPr>
            <w:r w:rsidRPr="00214D6B">
              <w:rPr>
                <w:szCs w:val="20"/>
              </w:rPr>
              <w:t>The definition of “</w:t>
            </w:r>
            <w:proofErr w:type="spellStart"/>
            <w:r w:rsidRPr="00214D6B">
              <w:rPr>
                <w:szCs w:val="20"/>
              </w:rPr>
              <w:t>TS</w:t>
            </w:r>
            <w:r w:rsidRPr="00214D6B">
              <w:rPr>
                <w:szCs w:val="20"/>
                <w:vertAlign w:val="subscript"/>
              </w:rPr>
              <w:t>t</w:t>
            </w:r>
            <w:proofErr w:type="spellEnd"/>
            <w:r w:rsidRPr="00214D6B">
              <w:rPr>
                <w:szCs w:val="20"/>
              </w:rPr>
              <w:t xml:space="preserve">”, sub-paragraph (b), will be amended as follows: </w:t>
            </w:r>
          </w:p>
          <w:p w:rsidR="006F3678" w:rsidRPr="00214D6B" w:rsidRDefault="006F3678" w:rsidP="006F3678">
            <w:pPr>
              <w:rPr>
                <w:szCs w:val="20"/>
              </w:rPr>
            </w:pPr>
          </w:p>
          <w:p w:rsidR="006F3678" w:rsidRPr="00214D6B" w:rsidRDefault="006F3678" w:rsidP="006F3678">
            <w:pPr>
              <w:rPr>
                <w:szCs w:val="20"/>
              </w:rPr>
            </w:pPr>
            <w:r w:rsidRPr="00214D6B">
              <w:rPr>
                <w:szCs w:val="20"/>
              </w:rPr>
              <w:t xml:space="preserve">“(b) an amount equal to the income received by the licensee in Relevant Year t-1 in respect of users who </w:t>
            </w:r>
            <w:r w:rsidRPr="00214D6B">
              <w:rPr>
                <w:color w:val="FF0000"/>
                <w:szCs w:val="20"/>
              </w:rPr>
              <w:t>reduce TEC or developer capacity (as defined in the CUSC) or who</w:t>
            </w:r>
            <w:r w:rsidRPr="00214D6B">
              <w:rPr>
                <w:szCs w:val="20"/>
              </w:rPr>
              <w:t xml:space="preserve"> terminate relevant bilateral agreements for connection and/or access rights to the GB transmission system in the respective Transmission Areas of each of Scottish Hydro Electric Transmission Plc and SP Transmission Ltd </w:t>
            </w:r>
            <w:r w:rsidRPr="00214D6B">
              <w:rPr>
                <w:strike/>
                <w:color w:val="FF0000"/>
                <w:szCs w:val="20"/>
              </w:rPr>
              <w:t>prior to commencing use of the GB transmission system</w:t>
            </w:r>
            <w:r w:rsidRPr="00214D6B">
              <w:rPr>
                <w:szCs w:val="20"/>
              </w:rPr>
              <w:t xml:space="preserve"> (for the avoidance of doubt, including any amounts that are treated as capital contributions).”</w:t>
            </w:r>
          </w:p>
          <w:p w:rsidR="006F3678" w:rsidRPr="00214D6B" w:rsidRDefault="006F3678" w:rsidP="006F3678">
            <w:pPr>
              <w:rPr>
                <w:szCs w:val="20"/>
              </w:rPr>
            </w:pPr>
          </w:p>
          <w:p w:rsidR="006F3678" w:rsidRPr="00214D6B" w:rsidRDefault="006F3678" w:rsidP="006F3678">
            <w:pPr>
              <w:rPr>
                <w:szCs w:val="20"/>
              </w:rPr>
            </w:pPr>
            <w:r w:rsidRPr="00214D6B">
              <w:rPr>
                <w:szCs w:val="20"/>
              </w:rPr>
              <w:t>Rationale: This change is necessary to include post-commissioning users in the definition so that it is consistent</w:t>
            </w:r>
            <w:r w:rsidR="00115F4F">
              <w:rPr>
                <w:szCs w:val="20"/>
              </w:rPr>
              <w:t xml:space="preserve"> with the </w:t>
            </w:r>
            <w:r w:rsidRPr="00214D6B">
              <w:rPr>
                <w:szCs w:val="20"/>
              </w:rPr>
              <w:t xml:space="preserve">cancellation charging arrangements introduced into the CUSC as a result of CMP192. </w:t>
            </w:r>
          </w:p>
          <w:p w:rsidR="006F3678" w:rsidRPr="00214D6B" w:rsidRDefault="006F3678" w:rsidP="006F3678">
            <w:pPr>
              <w:rPr>
                <w:szCs w:val="20"/>
              </w:rPr>
            </w:pPr>
          </w:p>
        </w:tc>
      </w:tr>
      <w:tr w:rsidR="006F3678" w:rsidRPr="00214D6B" w:rsidTr="006F3678">
        <w:trPr>
          <w:trHeight w:val="600"/>
        </w:trPr>
        <w:tc>
          <w:tcPr>
            <w:tcW w:w="389" w:type="pct"/>
          </w:tcPr>
          <w:p w:rsidR="006F3678" w:rsidRPr="00214D6B" w:rsidRDefault="006F3678" w:rsidP="006F3678">
            <w:pPr>
              <w:pStyle w:val="ListParagraph"/>
              <w:numPr>
                <w:ilvl w:val="0"/>
                <w:numId w:val="6"/>
              </w:numPr>
              <w:spacing w:after="0" w:line="240" w:lineRule="auto"/>
              <w:rPr>
                <w:szCs w:val="20"/>
              </w:rPr>
            </w:pPr>
          </w:p>
        </w:tc>
        <w:tc>
          <w:tcPr>
            <w:tcW w:w="576" w:type="pct"/>
          </w:tcPr>
          <w:p w:rsidR="006F3678" w:rsidRPr="00214D6B" w:rsidRDefault="006F3678" w:rsidP="006F3678">
            <w:pPr>
              <w:rPr>
                <w:szCs w:val="20"/>
              </w:rPr>
            </w:pPr>
            <w:r w:rsidRPr="00214D6B">
              <w:rPr>
                <w:szCs w:val="20"/>
              </w:rPr>
              <w:t>3B.4</w:t>
            </w:r>
          </w:p>
        </w:tc>
        <w:tc>
          <w:tcPr>
            <w:tcW w:w="4035" w:type="pct"/>
          </w:tcPr>
          <w:p w:rsidR="006F3678" w:rsidRPr="00214D6B" w:rsidRDefault="006F3678" w:rsidP="006F3678">
            <w:pPr>
              <w:rPr>
                <w:szCs w:val="20"/>
              </w:rPr>
            </w:pPr>
            <w:r w:rsidRPr="00214D6B">
              <w:rPr>
                <w:szCs w:val="20"/>
              </w:rPr>
              <w:t>The definition of “Term</w:t>
            </w:r>
            <w:r w:rsidRPr="00214D6B">
              <w:rPr>
                <w:szCs w:val="20"/>
                <w:vertAlign w:val="subscript"/>
              </w:rPr>
              <w:t>t</w:t>
            </w:r>
            <w:r w:rsidRPr="00214D6B">
              <w:rPr>
                <w:szCs w:val="20"/>
              </w:rPr>
              <w:t xml:space="preserve">” will be amended as follows: </w:t>
            </w:r>
          </w:p>
          <w:p w:rsidR="006F3678" w:rsidRPr="00214D6B" w:rsidRDefault="006F3678" w:rsidP="006F3678">
            <w:pPr>
              <w:rPr>
                <w:szCs w:val="20"/>
              </w:rPr>
            </w:pPr>
          </w:p>
          <w:p w:rsidR="006F3678" w:rsidRPr="00214D6B" w:rsidRDefault="006F3678" w:rsidP="006F3678">
            <w:pPr>
              <w:rPr>
                <w:szCs w:val="20"/>
              </w:rPr>
            </w:pPr>
            <w:r w:rsidRPr="00214D6B">
              <w:rPr>
                <w:szCs w:val="20"/>
              </w:rPr>
              <w:t xml:space="preserve">“means the adjustment equal to the income received by the licensee in Relevant Year t in respect of users who </w:t>
            </w:r>
            <w:r w:rsidRPr="00214D6B">
              <w:rPr>
                <w:color w:val="FF0000"/>
                <w:szCs w:val="20"/>
              </w:rPr>
              <w:t>reduce TEC or developer capacity (as defined in the CUSC) or who</w:t>
            </w:r>
            <w:r w:rsidRPr="00214D6B">
              <w:rPr>
                <w:szCs w:val="20"/>
              </w:rPr>
              <w:t xml:space="preserve"> terminate relevant bilateral agreements for connection and/or access rights to the National Electricity Transmission System </w:t>
            </w:r>
            <w:r w:rsidRPr="00214D6B">
              <w:rPr>
                <w:strike/>
                <w:color w:val="FF0000"/>
                <w:szCs w:val="20"/>
              </w:rPr>
              <w:t xml:space="preserve">before commencing use of the National Electricity Transmission System </w:t>
            </w:r>
            <w:r w:rsidRPr="00214D6B">
              <w:rPr>
                <w:szCs w:val="20"/>
              </w:rPr>
              <w:t>(and is net of any amounts that are treated as capital contributions).”</w:t>
            </w:r>
          </w:p>
          <w:p w:rsidR="006F3678" w:rsidRPr="00214D6B" w:rsidRDefault="006F3678" w:rsidP="006F3678">
            <w:pPr>
              <w:rPr>
                <w:szCs w:val="20"/>
              </w:rPr>
            </w:pPr>
          </w:p>
          <w:p w:rsidR="006F3678" w:rsidRPr="00214D6B" w:rsidRDefault="006F3678" w:rsidP="006F3678">
            <w:pPr>
              <w:rPr>
                <w:szCs w:val="20"/>
              </w:rPr>
            </w:pPr>
            <w:r w:rsidRPr="00214D6B">
              <w:rPr>
                <w:szCs w:val="20"/>
              </w:rPr>
              <w:t>Rationale: This change is necessary to update the licence condition so that it is consistent with new cancellation charging arrangements for post-commissioning users introduced into the CUSC as a result of CMP192.</w:t>
            </w:r>
          </w:p>
          <w:p w:rsidR="006F3678" w:rsidRPr="00214D6B" w:rsidRDefault="006F3678" w:rsidP="006F3678">
            <w:pPr>
              <w:rPr>
                <w:szCs w:val="20"/>
              </w:rPr>
            </w:pPr>
          </w:p>
        </w:tc>
      </w:tr>
      <w:tr w:rsidR="006F3678" w:rsidRPr="00214D6B" w:rsidTr="006F3678">
        <w:trPr>
          <w:trHeight w:val="600"/>
        </w:trPr>
        <w:tc>
          <w:tcPr>
            <w:tcW w:w="389" w:type="pct"/>
          </w:tcPr>
          <w:p w:rsidR="006F3678" w:rsidRPr="00214D6B" w:rsidRDefault="006F3678" w:rsidP="006F3678">
            <w:pPr>
              <w:pStyle w:val="ListParagraph"/>
              <w:numPr>
                <w:ilvl w:val="0"/>
                <w:numId w:val="6"/>
              </w:numPr>
              <w:spacing w:after="0" w:line="240" w:lineRule="auto"/>
              <w:rPr>
                <w:szCs w:val="20"/>
              </w:rPr>
            </w:pPr>
          </w:p>
        </w:tc>
        <w:tc>
          <w:tcPr>
            <w:tcW w:w="576" w:type="pct"/>
          </w:tcPr>
          <w:p w:rsidR="006F3678" w:rsidRPr="00214D6B" w:rsidRDefault="006F3678" w:rsidP="006F3678">
            <w:pPr>
              <w:rPr>
                <w:szCs w:val="20"/>
              </w:rPr>
            </w:pPr>
            <w:r w:rsidRPr="00214D6B">
              <w:rPr>
                <w:szCs w:val="20"/>
              </w:rPr>
              <w:t>6F.8</w:t>
            </w:r>
          </w:p>
        </w:tc>
        <w:tc>
          <w:tcPr>
            <w:tcW w:w="4035" w:type="pct"/>
          </w:tcPr>
          <w:p w:rsidR="006F3678" w:rsidRPr="00214D6B" w:rsidRDefault="006F3678" w:rsidP="006F3678">
            <w:pPr>
              <w:rPr>
                <w:szCs w:val="20"/>
              </w:rPr>
            </w:pPr>
            <w:r w:rsidRPr="00214D6B">
              <w:rPr>
                <w:szCs w:val="20"/>
              </w:rPr>
              <w:t>The definition of the term “</w:t>
            </w:r>
            <w:proofErr w:type="spellStart"/>
            <w:r w:rsidRPr="00214D6B">
              <w:rPr>
                <w:szCs w:val="20"/>
              </w:rPr>
              <w:t>TPG</w:t>
            </w:r>
            <w:r w:rsidRPr="00214D6B">
              <w:rPr>
                <w:szCs w:val="20"/>
                <w:vertAlign w:val="subscript"/>
              </w:rPr>
              <w:t>n</w:t>
            </w:r>
            <w:proofErr w:type="spellEnd"/>
            <w:r w:rsidRPr="00214D6B">
              <w:rPr>
                <w:szCs w:val="20"/>
              </w:rPr>
              <w:t>” will be amended as follows:</w:t>
            </w:r>
          </w:p>
          <w:p w:rsidR="006F3678" w:rsidRPr="00214D6B" w:rsidRDefault="006F3678" w:rsidP="006F3678">
            <w:pPr>
              <w:rPr>
                <w:szCs w:val="20"/>
              </w:rPr>
            </w:pPr>
          </w:p>
          <w:p w:rsidR="006F3678" w:rsidRPr="00214D6B" w:rsidRDefault="006F3678" w:rsidP="006F3678">
            <w:pPr>
              <w:rPr>
                <w:szCs w:val="20"/>
              </w:rPr>
            </w:pPr>
            <w:r w:rsidRPr="00214D6B">
              <w:rPr>
                <w:szCs w:val="20"/>
              </w:rPr>
              <w:t xml:space="preserve">“means the total expenditure efficiently incurred by the licensee (in 2009/10 prices) in respect of Generation Connections where the users </w:t>
            </w:r>
            <w:r w:rsidRPr="00214D6B">
              <w:rPr>
                <w:color w:val="FF0000"/>
                <w:szCs w:val="20"/>
              </w:rPr>
              <w:t xml:space="preserve">reduce TEC or developer capacity (as defined in the CUSC) or </w:t>
            </w:r>
            <w:r w:rsidRPr="00214D6B">
              <w:rPr>
                <w:szCs w:val="20"/>
              </w:rPr>
              <w:t xml:space="preserve">terminate the relevant bilateral agreements in year n prior to commencing use of the Generation Connection.” </w:t>
            </w:r>
          </w:p>
          <w:p w:rsidR="006F3678" w:rsidRPr="00214D6B" w:rsidRDefault="006F3678" w:rsidP="006F3678">
            <w:pPr>
              <w:rPr>
                <w:szCs w:val="20"/>
              </w:rPr>
            </w:pPr>
          </w:p>
          <w:p w:rsidR="006F3678" w:rsidRPr="00214D6B" w:rsidRDefault="006F3678" w:rsidP="006F3678">
            <w:pPr>
              <w:rPr>
                <w:szCs w:val="20"/>
              </w:rPr>
            </w:pPr>
            <w:r w:rsidRPr="00214D6B">
              <w:rPr>
                <w:szCs w:val="20"/>
              </w:rPr>
              <w:t>Rationale: This change is necessary to update the licence condition so that it is consistent with new cancellation charging arrangements for post-commissioning users introduced into the CUSC as a result of CMP192.</w:t>
            </w:r>
          </w:p>
          <w:p w:rsidR="006F3678" w:rsidRPr="00214D6B" w:rsidRDefault="006F3678" w:rsidP="006F3678">
            <w:pPr>
              <w:rPr>
                <w:szCs w:val="20"/>
              </w:rPr>
            </w:pPr>
          </w:p>
        </w:tc>
      </w:tr>
      <w:tr w:rsidR="006F3678" w:rsidRPr="00214D6B" w:rsidTr="006F3678">
        <w:trPr>
          <w:trHeight w:val="600"/>
        </w:trPr>
        <w:tc>
          <w:tcPr>
            <w:tcW w:w="389" w:type="pct"/>
          </w:tcPr>
          <w:p w:rsidR="006F3678" w:rsidRPr="00214D6B" w:rsidRDefault="006F3678" w:rsidP="006F3678">
            <w:pPr>
              <w:pStyle w:val="ListParagraph"/>
              <w:numPr>
                <w:ilvl w:val="0"/>
                <w:numId w:val="6"/>
              </w:numPr>
              <w:spacing w:after="0" w:line="240" w:lineRule="auto"/>
              <w:rPr>
                <w:szCs w:val="20"/>
              </w:rPr>
            </w:pPr>
          </w:p>
        </w:tc>
        <w:tc>
          <w:tcPr>
            <w:tcW w:w="576" w:type="pct"/>
          </w:tcPr>
          <w:p w:rsidR="006F3678" w:rsidRPr="00214D6B" w:rsidRDefault="006F3678" w:rsidP="006F3678">
            <w:pPr>
              <w:rPr>
                <w:szCs w:val="20"/>
              </w:rPr>
            </w:pPr>
            <w:r w:rsidRPr="00214D6B">
              <w:rPr>
                <w:szCs w:val="20"/>
              </w:rPr>
              <w:t>6F.8</w:t>
            </w:r>
          </w:p>
        </w:tc>
        <w:tc>
          <w:tcPr>
            <w:tcW w:w="4035" w:type="pct"/>
          </w:tcPr>
          <w:p w:rsidR="006F3678" w:rsidRPr="00214D6B" w:rsidRDefault="006F3678" w:rsidP="006F3678">
            <w:pPr>
              <w:rPr>
                <w:szCs w:val="20"/>
              </w:rPr>
            </w:pPr>
            <w:r w:rsidRPr="00214D6B">
              <w:rPr>
                <w:szCs w:val="20"/>
              </w:rPr>
              <w:t>The definition of the term “</w:t>
            </w:r>
            <w:proofErr w:type="spellStart"/>
            <w:r w:rsidRPr="00214D6B">
              <w:rPr>
                <w:szCs w:val="20"/>
              </w:rPr>
              <w:t>TPRG</w:t>
            </w:r>
            <w:r w:rsidRPr="00214D6B">
              <w:rPr>
                <w:szCs w:val="20"/>
                <w:vertAlign w:val="subscript"/>
              </w:rPr>
              <w:t>n</w:t>
            </w:r>
            <w:proofErr w:type="spellEnd"/>
            <w:r w:rsidRPr="00214D6B">
              <w:rPr>
                <w:szCs w:val="20"/>
              </w:rPr>
              <w:t>” will be amended as follows:</w:t>
            </w:r>
          </w:p>
          <w:p w:rsidR="006F3678" w:rsidRPr="00214D6B" w:rsidRDefault="006F3678" w:rsidP="006F3678">
            <w:pPr>
              <w:rPr>
                <w:szCs w:val="20"/>
              </w:rPr>
            </w:pPr>
          </w:p>
          <w:p w:rsidR="006F3678" w:rsidRPr="00214D6B" w:rsidRDefault="006F3678" w:rsidP="006F3678">
            <w:pPr>
              <w:rPr>
                <w:szCs w:val="20"/>
              </w:rPr>
            </w:pPr>
            <w:r w:rsidRPr="00214D6B">
              <w:rPr>
                <w:szCs w:val="20"/>
              </w:rPr>
              <w:t>“</w:t>
            </w:r>
            <w:proofErr w:type="gramStart"/>
            <w:r w:rsidRPr="00214D6B">
              <w:rPr>
                <w:szCs w:val="20"/>
              </w:rPr>
              <w:t>means</w:t>
            </w:r>
            <w:proofErr w:type="gramEnd"/>
            <w:r w:rsidRPr="00214D6B">
              <w:rPr>
                <w:szCs w:val="20"/>
              </w:rPr>
              <w:t xml:space="preserve"> an amount equal to the </w:t>
            </w:r>
            <w:r w:rsidRPr="00214D6B">
              <w:rPr>
                <w:color w:val="FF0000"/>
                <w:szCs w:val="20"/>
              </w:rPr>
              <w:t>actual income from</w:t>
            </w:r>
            <w:r w:rsidRPr="00214D6B">
              <w:rPr>
                <w:szCs w:val="20"/>
              </w:rPr>
              <w:t xml:space="preserve"> termination receipts received, in the form of revenues or capital contributions, in respect of </w:t>
            </w:r>
            <w:proofErr w:type="spellStart"/>
            <w:r w:rsidRPr="00214D6B">
              <w:rPr>
                <w:szCs w:val="20"/>
              </w:rPr>
              <w:t>TP</w:t>
            </w:r>
            <w:r w:rsidRPr="00214D6B">
              <w:rPr>
                <w:szCs w:val="20"/>
                <w:vertAlign w:val="subscript"/>
              </w:rPr>
              <w:t>n</w:t>
            </w:r>
            <w:proofErr w:type="spellEnd"/>
            <w:r w:rsidRPr="00214D6B">
              <w:rPr>
                <w:szCs w:val="20"/>
              </w:rPr>
              <w:t xml:space="preserve"> in year n.”</w:t>
            </w:r>
          </w:p>
          <w:p w:rsidR="006F3678" w:rsidRPr="00214D6B" w:rsidRDefault="006F3678" w:rsidP="006F3678">
            <w:pPr>
              <w:rPr>
                <w:szCs w:val="20"/>
              </w:rPr>
            </w:pPr>
            <w:r w:rsidRPr="00214D6B">
              <w:rPr>
                <w:szCs w:val="20"/>
              </w:rPr>
              <w:t xml:space="preserve"> </w:t>
            </w:r>
          </w:p>
          <w:p w:rsidR="006F3678" w:rsidRPr="00214D6B" w:rsidRDefault="006F3678" w:rsidP="006F3678">
            <w:pPr>
              <w:rPr>
                <w:szCs w:val="20"/>
              </w:rPr>
            </w:pPr>
            <w:r w:rsidRPr="00214D6B">
              <w:rPr>
                <w:szCs w:val="20"/>
              </w:rPr>
              <w:t xml:space="preserve">Rationale: To clarify that the definition relates to the revenue actually obtained rather than the amount that is invoiced for. </w:t>
            </w:r>
          </w:p>
          <w:p w:rsidR="006F3678" w:rsidRPr="00214D6B" w:rsidRDefault="006F3678" w:rsidP="006F3678">
            <w:pPr>
              <w:rPr>
                <w:szCs w:val="20"/>
              </w:rPr>
            </w:pPr>
          </w:p>
        </w:tc>
      </w:tr>
    </w:tbl>
    <w:p w:rsidR="006F3678" w:rsidRPr="002733F4" w:rsidRDefault="006F3678" w:rsidP="006F3678">
      <w:pPr>
        <w:rPr>
          <w:b/>
        </w:rPr>
      </w:pPr>
    </w:p>
    <w:p w:rsidR="00E91336" w:rsidRDefault="00E91336" w:rsidP="00E91336">
      <w:pPr>
        <w:pStyle w:val="Text-LeftAilgned"/>
        <w:rPr>
          <w:rStyle w:val="Text-Bold"/>
        </w:rPr>
      </w:pPr>
    </w:p>
    <w:p w:rsidR="002F6EE7" w:rsidRDefault="002F6EE7"/>
    <w:sectPr w:rsidR="002F6EE7" w:rsidSect="002F6EE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682" w:rsidRDefault="004A3682" w:rsidP="007A1D9A">
      <w:r>
        <w:separator/>
      </w:r>
    </w:p>
  </w:endnote>
  <w:endnote w:type="continuationSeparator" w:id="0">
    <w:p w:rsidR="004A3682" w:rsidRDefault="004A3682" w:rsidP="007A1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682" w:rsidRDefault="004A3682" w:rsidP="007A1D9A">
      <w:r>
        <w:separator/>
      </w:r>
    </w:p>
  </w:footnote>
  <w:footnote w:type="continuationSeparator" w:id="0">
    <w:p w:rsidR="004A3682" w:rsidRDefault="004A3682" w:rsidP="007A1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5EC"/>
    <w:multiLevelType w:val="hybridMultilevel"/>
    <w:tmpl w:val="8ECA428E"/>
    <w:lvl w:ilvl="0" w:tplc="A496C158">
      <w:start w:val="1"/>
      <w:numFmt w:val="decimal"/>
      <w:pStyle w:val="Text-Numbered"/>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AD26D69"/>
    <w:multiLevelType w:val="hybridMultilevel"/>
    <w:tmpl w:val="A7225984"/>
    <w:lvl w:ilvl="0" w:tplc="9E2437AC">
      <w:start w:val="1"/>
      <w:numFmt w:val="decimal"/>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D16260"/>
    <w:multiLevelType w:val="hybridMultilevel"/>
    <w:tmpl w:val="BEFC79F6"/>
    <w:lvl w:ilvl="0" w:tplc="77A80BC0">
      <w:start w:val="1"/>
      <w:numFmt w:val="decimal"/>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316115"/>
    <w:multiLevelType w:val="hybridMultilevel"/>
    <w:tmpl w:val="695C7212"/>
    <w:lvl w:ilvl="0" w:tplc="7F5C848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30D7EB9"/>
    <w:multiLevelType w:val="hybridMultilevel"/>
    <w:tmpl w:val="17987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E91336"/>
    <w:rsid w:val="00002E8B"/>
    <w:rsid w:val="00012154"/>
    <w:rsid w:val="00015F0E"/>
    <w:rsid w:val="00016724"/>
    <w:rsid w:val="00022A25"/>
    <w:rsid w:val="00044026"/>
    <w:rsid w:val="000573ED"/>
    <w:rsid w:val="000634E4"/>
    <w:rsid w:val="0009188E"/>
    <w:rsid w:val="000C22C6"/>
    <w:rsid w:val="000E21CB"/>
    <w:rsid w:val="000E3E76"/>
    <w:rsid w:val="000F137E"/>
    <w:rsid w:val="00104B17"/>
    <w:rsid w:val="00110BC7"/>
    <w:rsid w:val="00115F4F"/>
    <w:rsid w:val="0014323B"/>
    <w:rsid w:val="00143F4B"/>
    <w:rsid w:val="00151D88"/>
    <w:rsid w:val="0016791D"/>
    <w:rsid w:val="00174457"/>
    <w:rsid w:val="00174E6A"/>
    <w:rsid w:val="00197558"/>
    <w:rsid w:val="001E19B7"/>
    <w:rsid w:val="001E214C"/>
    <w:rsid w:val="001E4BBB"/>
    <w:rsid w:val="001F4821"/>
    <w:rsid w:val="001F4F25"/>
    <w:rsid w:val="00207999"/>
    <w:rsid w:val="00207C0C"/>
    <w:rsid w:val="00214D6B"/>
    <w:rsid w:val="0024017F"/>
    <w:rsid w:val="002547C1"/>
    <w:rsid w:val="002804CD"/>
    <w:rsid w:val="00284F75"/>
    <w:rsid w:val="0028518B"/>
    <w:rsid w:val="00291EF2"/>
    <w:rsid w:val="002A47E9"/>
    <w:rsid w:val="002C1F3A"/>
    <w:rsid w:val="002D7A65"/>
    <w:rsid w:val="002E328E"/>
    <w:rsid w:val="002E4DB8"/>
    <w:rsid w:val="002F3703"/>
    <w:rsid w:val="002F6EE7"/>
    <w:rsid w:val="00311AD4"/>
    <w:rsid w:val="00313567"/>
    <w:rsid w:val="0032104A"/>
    <w:rsid w:val="00325B1F"/>
    <w:rsid w:val="0033007E"/>
    <w:rsid w:val="00354640"/>
    <w:rsid w:val="00365881"/>
    <w:rsid w:val="00375146"/>
    <w:rsid w:val="00386973"/>
    <w:rsid w:val="003A32A6"/>
    <w:rsid w:val="003B358F"/>
    <w:rsid w:val="003B4C8F"/>
    <w:rsid w:val="003C2C9A"/>
    <w:rsid w:val="003D2A14"/>
    <w:rsid w:val="003E6516"/>
    <w:rsid w:val="003E6B0A"/>
    <w:rsid w:val="003E7575"/>
    <w:rsid w:val="003F203C"/>
    <w:rsid w:val="003F44C5"/>
    <w:rsid w:val="00407882"/>
    <w:rsid w:val="00423160"/>
    <w:rsid w:val="0042329F"/>
    <w:rsid w:val="00451892"/>
    <w:rsid w:val="0046376B"/>
    <w:rsid w:val="00474EEC"/>
    <w:rsid w:val="00475A6C"/>
    <w:rsid w:val="0047741C"/>
    <w:rsid w:val="00477972"/>
    <w:rsid w:val="004A3682"/>
    <w:rsid w:val="004B0292"/>
    <w:rsid w:val="004B44F1"/>
    <w:rsid w:val="004B697D"/>
    <w:rsid w:val="004D04A0"/>
    <w:rsid w:val="004D37CE"/>
    <w:rsid w:val="004F1910"/>
    <w:rsid w:val="00506C81"/>
    <w:rsid w:val="0053052E"/>
    <w:rsid w:val="00531947"/>
    <w:rsid w:val="00535642"/>
    <w:rsid w:val="00540EDF"/>
    <w:rsid w:val="005509A8"/>
    <w:rsid w:val="00564DDF"/>
    <w:rsid w:val="00574BA0"/>
    <w:rsid w:val="00583C0F"/>
    <w:rsid w:val="005B5504"/>
    <w:rsid w:val="005B7501"/>
    <w:rsid w:val="005C4533"/>
    <w:rsid w:val="005D5452"/>
    <w:rsid w:val="005E04D1"/>
    <w:rsid w:val="005F6A7E"/>
    <w:rsid w:val="00612147"/>
    <w:rsid w:val="006137C6"/>
    <w:rsid w:val="00630907"/>
    <w:rsid w:val="00632758"/>
    <w:rsid w:val="0065733A"/>
    <w:rsid w:val="00662CB6"/>
    <w:rsid w:val="00697FFC"/>
    <w:rsid w:val="006B7605"/>
    <w:rsid w:val="006C08C4"/>
    <w:rsid w:val="006D2879"/>
    <w:rsid w:val="006F3678"/>
    <w:rsid w:val="00700F36"/>
    <w:rsid w:val="00704AE1"/>
    <w:rsid w:val="00713341"/>
    <w:rsid w:val="00721EEF"/>
    <w:rsid w:val="00723991"/>
    <w:rsid w:val="007312E6"/>
    <w:rsid w:val="00736E77"/>
    <w:rsid w:val="00740387"/>
    <w:rsid w:val="00755A1A"/>
    <w:rsid w:val="00757E88"/>
    <w:rsid w:val="00770206"/>
    <w:rsid w:val="00784EA6"/>
    <w:rsid w:val="00793F16"/>
    <w:rsid w:val="0079568F"/>
    <w:rsid w:val="0079619C"/>
    <w:rsid w:val="00796D55"/>
    <w:rsid w:val="007A1D9A"/>
    <w:rsid w:val="007A4E1A"/>
    <w:rsid w:val="007C5EA3"/>
    <w:rsid w:val="007F7A7E"/>
    <w:rsid w:val="0081179B"/>
    <w:rsid w:val="008148EC"/>
    <w:rsid w:val="0083732C"/>
    <w:rsid w:val="00842C2B"/>
    <w:rsid w:val="00851C4D"/>
    <w:rsid w:val="00866238"/>
    <w:rsid w:val="008670E7"/>
    <w:rsid w:val="00867407"/>
    <w:rsid w:val="00886D69"/>
    <w:rsid w:val="008A722A"/>
    <w:rsid w:val="008B2C95"/>
    <w:rsid w:val="008B6C70"/>
    <w:rsid w:val="008C7D48"/>
    <w:rsid w:val="008D09B7"/>
    <w:rsid w:val="008D1DCE"/>
    <w:rsid w:val="008D2CED"/>
    <w:rsid w:val="008E6659"/>
    <w:rsid w:val="008E674C"/>
    <w:rsid w:val="008E7536"/>
    <w:rsid w:val="00933C65"/>
    <w:rsid w:val="0094098D"/>
    <w:rsid w:val="00973E4C"/>
    <w:rsid w:val="00977F95"/>
    <w:rsid w:val="00982519"/>
    <w:rsid w:val="00983717"/>
    <w:rsid w:val="00987AF7"/>
    <w:rsid w:val="009A342C"/>
    <w:rsid w:val="009A4FD7"/>
    <w:rsid w:val="009B162B"/>
    <w:rsid w:val="009C4727"/>
    <w:rsid w:val="009C6154"/>
    <w:rsid w:val="009D1868"/>
    <w:rsid w:val="009D2E17"/>
    <w:rsid w:val="009D2E2E"/>
    <w:rsid w:val="00A0064B"/>
    <w:rsid w:val="00A01CA4"/>
    <w:rsid w:val="00A031B3"/>
    <w:rsid w:val="00A0450D"/>
    <w:rsid w:val="00A125AA"/>
    <w:rsid w:val="00A13AA6"/>
    <w:rsid w:val="00A24198"/>
    <w:rsid w:val="00A538F4"/>
    <w:rsid w:val="00A62B95"/>
    <w:rsid w:val="00A67AC9"/>
    <w:rsid w:val="00A7248E"/>
    <w:rsid w:val="00A7527E"/>
    <w:rsid w:val="00AA2D30"/>
    <w:rsid w:val="00AA30AE"/>
    <w:rsid w:val="00AD3836"/>
    <w:rsid w:val="00B1364B"/>
    <w:rsid w:val="00B14800"/>
    <w:rsid w:val="00B26C3C"/>
    <w:rsid w:val="00B273E9"/>
    <w:rsid w:val="00B31912"/>
    <w:rsid w:val="00B63069"/>
    <w:rsid w:val="00B7248A"/>
    <w:rsid w:val="00B76CF7"/>
    <w:rsid w:val="00B8176A"/>
    <w:rsid w:val="00B82E0F"/>
    <w:rsid w:val="00BC0F66"/>
    <w:rsid w:val="00BF53BA"/>
    <w:rsid w:val="00BF5BF8"/>
    <w:rsid w:val="00C04644"/>
    <w:rsid w:val="00C2471C"/>
    <w:rsid w:val="00C37007"/>
    <w:rsid w:val="00C43278"/>
    <w:rsid w:val="00C5079A"/>
    <w:rsid w:val="00C52B94"/>
    <w:rsid w:val="00C55395"/>
    <w:rsid w:val="00C759DE"/>
    <w:rsid w:val="00C77CF2"/>
    <w:rsid w:val="00C82615"/>
    <w:rsid w:val="00CA4232"/>
    <w:rsid w:val="00CA429F"/>
    <w:rsid w:val="00CA4335"/>
    <w:rsid w:val="00CB463E"/>
    <w:rsid w:val="00CD6A8E"/>
    <w:rsid w:val="00CF01F9"/>
    <w:rsid w:val="00D04CB3"/>
    <w:rsid w:val="00D071A5"/>
    <w:rsid w:val="00D16AED"/>
    <w:rsid w:val="00D35D8C"/>
    <w:rsid w:val="00D50AE2"/>
    <w:rsid w:val="00D60EEA"/>
    <w:rsid w:val="00D650D4"/>
    <w:rsid w:val="00D71566"/>
    <w:rsid w:val="00D9663E"/>
    <w:rsid w:val="00D97E55"/>
    <w:rsid w:val="00DB115B"/>
    <w:rsid w:val="00DB2BAE"/>
    <w:rsid w:val="00DB7A23"/>
    <w:rsid w:val="00DC0234"/>
    <w:rsid w:val="00DD6020"/>
    <w:rsid w:val="00E03D8A"/>
    <w:rsid w:val="00E14E87"/>
    <w:rsid w:val="00E201A6"/>
    <w:rsid w:val="00E23420"/>
    <w:rsid w:val="00E352BA"/>
    <w:rsid w:val="00E50A94"/>
    <w:rsid w:val="00E66DBE"/>
    <w:rsid w:val="00E72477"/>
    <w:rsid w:val="00E7560E"/>
    <w:rsid w:val="00E83C67"/>
    <w:rsid w:val="00E91336"/>
    <w:rsid w:val="00EA5CBB"/>
    <w:rsid w:val="00EB5CDB"/>
    <w:rsid w:val="00EB677E"/>
    <w:rsid w:val="00ED29A9"/>
    <w:rsid w:val="00F33B14"/>
    <w:rsid w:val="00F615D9"/>
    <w:rsid w:val="00F615EF"/>
    <w:rsid w:val="00F64471"/>
    <w:rsid w:val="00F73383"/>
    <w:rsid w:val="00F75533"/>
    <w:rsid w:val="00F945F5"/>
    <w:rsid w:val="00F9628E"/>
    <w:rsid w:val="00FA19D1"/>
    <w:rsid w:val="00FA1BD1"/>
    <w:rsid w:val="00FB2625"/>
    <w:rsid w:val="00FE4C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133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umbered">
    <w:name w:val="Text - Numbered"/>
    <w:basedOn w:val="Normal"/>
    <w:qFormat/>
    <w:rsid w:val="00E91336"/>
    <w:pPr>
      <w:numPr>
        <w:numId w:val="1"/>
      </w:numPr>
    </w:pPr>
  </w:style>
  <w:style w:type="character" w:customStyle="1" w:styleId="Text-Bold">
    <w:name w:val="Text - Bold"/>
    <w:basedOn w:val="DefaultParagraphFont"/>
    <w:rsid w:val="00E91336"/>
    <w:rPr>
      <w:rFonts w:ascii="Verdana" w:hAnsi="Verdana"/>
      <w:b/>
      <w:bCs/>
      <w:sz w:val="20"/>
    </w:rPr>
  </w:style>
  <w:style w:type="character" w:styleId="Hyperlink">
    <w:name w:val="Hyperlink"/>
    <w:aliases w:val="TOC - Hyperlink"/>
    <w:basedOn w:val="DefaultParagraphFont"/>
    <w:rsid w:val="00E91336"/>
    <w:rPr>
      <w:rFonts w:ascii="Verdana" w:hAnsi="Verdana"/>
      <w:color w:val="0000FF"/>
      <w:sz w:val="22"/>
      <w:u w:val="single"/>
    </w:rPr>
  </w:style>
  <w:style w:type="paragraph" w:customStyle="1" w:styleId="Text-LeftAilgned">
    <w:name w:val="Text - Left Ailgned"/>
    <w:basedOn w:val="Normal"/>
    <w:link w:val="Text-LeftAilgnedChar"/>
    <w:rsid w:val="00E91336"/>
    <w:pPr>
      <w:tabs>
        <w:tab w:val="left" w:pos="2581"/>
      </w:tabs>
    </w:pPr>
  </w:style>
  <w:style w:type="character" w:customStyle="1" w:styleId="Text-LeftAilgnedChar">
    <w:name w:val="Text - Left Ailgned Char"/>
    <w:basedOn w:val="DefaultParagraphFont"/>
    <w:link w:val="Text-LeftAilgned"/>
    <w:rsid w:val="00E91336"/>
    <w:rPr>
      <w:rFonts w:eastAsia="Times New Roman" w:cs="Times New Roman"/>
      <w:szCs w:val="24"/>
    </w:rPr>
  </w:style>
  <w:style w:type="paragraph" w:customStyle="1" w:styleId="Text-Centered">
    <w:name w:val="Text - Centered"/>
    <w:basedOn w:val="Normal"/>
    <w:rsid w:val="00E91336"/>
    <w:pPr>
      <w:jc w:val="center"/>
    </w:pPr>
    <w:rPr>
      <w:szCs w:val="20"/>
    </w:rPr>
  </w:style>
  <w:style w:type="paragraph" w:styleId="BodyText">
    <w:name w:val="Body Text"/>
    <w:basedOn w:val="Normal"/>
    <w:link w:val="BodyTextChar"/>
    <w:rsid w:val="00E91336"/>
    <w:rPr>
      <w:rFonts w:ascii="CG Omega" w:hAnsi="CG Omega"/>
      <w:sz w:val="22"/>
      <w:szCs w:val="20"/>
    </w:rPr>
  </w:style>
  <w:style w:type="character" w:customStyle="1" w:styleId="BodyTextChar">
    <w:name w:val="Body Text Char"/>
    <w:basedOn w:val="DefaultParagraphFont"/>
    <w:link w:val="BodyText"/>
    <w:rsid w:val="00E91336"/>
    <w:rPr>
      <w:rFonts w:ascii="CG Omega" w:eastAsia="Times New Roman" w:hAnsi="CG Omega" w:cs="Times New Roman"/>
      <w:sz w:val="22"/>
      <w:szCs w:val="20"/>
    </w:rPr>
  </w:style>
  <w:style w:type="paragraph" w:styleId="ListParagraph">
    <w:name w:val="List Paragraph"/>
    <w:basedOn w:val="Normal"/>
    <w:link w:val="ListParagraphChar"/>
    <w:uiPriority w:val="99"/>
    <w:qFormat/>
    <w:rsid w:val="007A1D9A"/>
    <w:pPr>
      <w:spacing w:after="200" w:line="276" w:lineRule="auto"/>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99"/>
    <w:rsid w:val="007A1D9A"/>
  </w:style>
  <w:style w:type="paragraph" w:styleId="FootnoteText">
    <w:name w:val="footnote text"/>
    <w:link w:val="FootnoteTextChar"/>
    <w:uiPriority w:val="99"/>
    <w:rsid w:val="007A1D9A"/>
    <w:pPr>
      <w:widowControl w:val="0"/>
      <w:spacing w:after="0" w:line="240" w:lineRule="auto"/>
    </w:pPr>
    <w:rPr>
      <w:rFonts w:eastAsia="Times New Roman" w:cs="Times New Roman"/>
      <w:sz w:val="18"/>
      <w:szCs w:val="20"/>
    </w:rPr>
  </w:style>
  <w:style w:type="character" w:customStyle="1" w:styleId="FootnoteTextChar">
    <w:name w:val="Footnote Text Char"/>
    <w:basedOn w:val="DefaultParagraphFont"/>
    <w:link w:val="FootnoteText"/>
    <w:uiPriority w:val="99"/>
    <w:rsid w:val="007A1D9A"/>
    <w:rPr>
      <w:rFonts w:eastAsia="Times New Roman" w:cs="Times New Roman"/>
      <w:sz w:val="18"/>
      <w:szCs w:val="20"/>
    </w:rPr>
  </w:style>
  <w:style w:type="character" w:styleId="FootnoteReference">
    <w:name w:val="footnote reference"/>
    <w:basedOn w:val="DefaultParagraphFont"/>
    <w:uiPriority w:val="99"/>
    <w:semiHidden/>
    <w:rsid w:val="007A1D9A"/>
    <w:rPr>
      <w:rFonts w:ascii="Verdana" w:hAnsi="Verdana"/>
      <w:vertAlign w:val="superscript"/>
    </w:rPr>
  </w:style>
  <w:style w:type="character" w:styleId="CommentReference">
    <w:name w:val="annotation reference"/>
    <w:basedOn w:val="DefaultParagraphFont"/>
    <w:uiPriority w:val="99"/>
    <w:semiHidden/>
    <w:unhideWhenUsed/>
    <w:rsid w:val="004F1910"/>
    <w:rPr>
      <w:sz w:val="16"/>
      <w:szCs w:val="16"/>
    </w:rPr>
  </w:style>
  <w:style w:type="paragraph" w:styleId="CommentText">
    <w:name w:val="annotation text"/>
    <w:basedOn w:val="Normal"/>
    <w:link w:val="CommentTextChar"/>
    <w:uiPriority w:val="99"/>
    <w:semiHidden/>
    <w:unhideWhenUsed/>
    <w:rsid w:val="004F1910"/>
    <w:rPr>
      <w:szCs w:val="20"/>
    </w:rPr>
  </w:style>
  <w:style w:type="character" w:customStyle="1" w:styleId="CommentTextChar">
    <w:name w:val="Comment Text Char"/>
    <w:basedOn w:val="DefaultParagraphFont"/>
    <w:link w:val="CommentText"/>
    <w:uiPriority w:val="99"/>
    <w:semiHidden/>
    <w:rsid w:val="004F1910"/>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4F1910"/>
    <w:rPr>
      <w:b/>
      <w:bCs/>
    </w:rPr>
  </w:style>
  <w:style w:type="character" w:customStyle="1" w:styleId="CommentSubjectChar">
    <w:name w:val="Comment Subject Char"/>
    <w:basedOn w:val="CommentTextChar"/>
    <w:link w:val="CommentSubject"/>
    <w:uiPriority w:val="99"/>
    <w:semiHidden/>
    <w:rsid w:val="004F1910"/>
    <w:rPr>
      <w:rFonts w:eastAsia="Times New Roman" w:cs="Times New Roman"/>
      <w:b/>
      <w:bCs/>
      <w:szCs w:val="20"/>
    </w:rPr>
  </w:style>
  <w:style w:type="paragraph" w:styleId="BalloonText">
    <w:name w:val="Balloon Text"/>
    <w:basedOn w:val="Normal"/>
    <w:link w:val="BalloonTextChar"/>
    <w:uiPriority w:val="99"/>
    <w:semiHidden/>
    <w:unhideWhenUsed/>
    <w:rsid w:val="004F1910"/>
    <w:rPr>
      <w:rFonts w:ascii="Tahoma" w:hAnsi="Tahoma" w:cs="Tahoma"/>
      <w:sz w:val="16"/>
      <w:szCs w:val="16"/>
    </w:rPr>
  </w:style>
  <w:style w:type="character" w:customStyle="1" w:styleId="BalloonTextChar">
    <w:name w:val="Balloon Text Char"/>
    <w:basedOn w:val="DefaultParagraphFont"/>
    <w:link w:val="BalloonText"/>
    <w:uiPriority w:val="99"/>
    <w:semiHidden/>
    <w:rsid w:val="004F1910"/>
    <w:rPr>
      <w:rFonts w:ascii="Tahoma" w:eastAsia="Times New Roman" w:hAnsi="Tahoma" w:cs="Tahoma"/>
      <w:sz w:val="16"/>
      <w:szCs w:val="16"/>
    </w:rPr>
  </w:style>
  <w:style w:type="table" w:styleId="TableGrid">
    <w:name w:val="Table Grid"/>
    <w:basedOn w:val="TableNormal"/>
    <w:uiPriority w:val="99"/>
    <w:rsid w:val="006F3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IOInterpreation-TermName">
    <w:name w:val="RIIO Interpreation - Term Name"/>
    <w:basedOn w:val="Normal"/>
    <w:uiPriority w:val="3"/>
    <w:qFormat/>
    <w:rsid w:val="006F3678"/>
    <w:pPr>
      <w:tabs>
        <w:tab w:val="left" w:pos="-1440"/>
        <w:tab w:val="left" w:pos="-720"/>
        <w:tab w:val="left" w:pos="720"/>
        <w:tab w:val="left" w:pos="1447"/>
        <w:tab w:val="left" w:pos="2170"/>
        <w:tab w:val="left" w:pos="2894"/>
        <w:tab w:val="left" w:pos="3600"/>
        <w:tab w:val="left" w:pos="4320"/>
        <w:tab w:val="left" w:pos="4992"/>
        <w:tab w:val="left" w:pos="5788"/>
      </w:tabs>
      <w:spacing w:after="120"/>
    </w:pPr>
    <w:rPr>
      <w:rFonts w:ascii="Times New Roman" w:hAnsi="Times New Roman"/>
      <w:b/>
      <w:spacing w:val="-3"/>
      <w:sz w:val="24"/>
      <w:szCs w:val="20"/>
    </w:rPr>
  </w:style>
  <w:style w:type="paragraph" w:customStyle="1" w:styleId="RIIOInterpretation-Termtext">
    <w:name w:val="RIIO Interpretation - Term text"/>
    <w:basedOn w:val="Normal"/>
    <w:uiPriority w:val="3"/>
    <w:qFormat/>
    <w:rsid w:val="006F3678"/>
    <w:pPr>
      <w:tabs>
        <w:tab w:val="left" w:pos="-1440"/>
        <w:tab w:val="left" w:pos="-720"/>
        <w:tab w:val="left" w:pos="720"/>
        <w:tab w:val="left" w:pos="1447"/>
        <w:tab w:val="left" w:pos="2170"/>
        <w:tab w:val="left" w:pos="2894"/>
        <w:tab w:val="left" w:pos="3600"/>
        <w:tab w:val="left" w:pos="4320"/>
        <w:tab w:val="left" w:pos="4992"/>
        <w:tab w:val="left" w:pos="5788"/>
      </w:tabs>
      <w:spacing w:after="120"/>
    </w:pPr>
    <w:rPr>
      <w:rFonts w:ascii="Times New Roman" w:hAnsi="Times New Roman"/>
      <w:spacing w:val="-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133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umbered">
    <w:name w:val="Text - Numbered"/>
    <w:basedOn w:val="Normal"/>
    <w:qFormat/>
    <w:rsid w:val="00E91336"/>
    <w:pPr>
      <w:numPr>
        <w:numId w:val="1"/>
      </w:numPr>
    </w:pPr>
  </w:style>
  <w:style w:type="character" w:customStyle="1" w:styleId="Text-Bold">
    <w:name w:val="Text - Bold"/>
    <w:basedOn w:val="DefaultParagraphFont"/>
    <w:rsid w:val="00E91336"/>
    <w:rPr>
      <w:rFonts w:ascii="Verdana" w:hAnsi="Verdana"/>
      <w:b/>
      <w:bCs/>
      <w:sz w:val="20"/>
    </w:rPr>
  </w:style>
  <w:style w:type="character" w:styleId="Hyperlink">
    <w:name w:val="Hyperlink"/>
    <w:aliases w:val="TOC - Hyperlink"/>
    <w:basedOn w:val="DefaultParagraphFont"/>
    <w:rsid w:val="00E91336"/>
    <w:rPr>
      <w:rFonts w:ascii="Verdana" w:hAnsi="Verdana"/>
      <w:color w:val="0000FF"/>
      <w:sz w:val="22"/>
      <w:u w:val="single"/>
    </w:rPr>
  </w:style>
  <w:style w:type="paragraph" w:customStyle="1" w:styleId="Text-LeftAilgned">
    <w:name w:val="Text - Left Ailgned"/>
    <w:basedOn w:val="Normal"/>
    <w:link w:val="Text-LeftAilgnedChar"/>
    <w:rsid w:val="00E91336"/>
    <w:pPr>
      <w:tabs>
        <w:tab w:val="left" w:pos="2581"/>
      </w:tabs>
    </w:pPr>
  </w:style>
  <w:style w:type="character" w:customStyle="1" w:styleId="Text-LeftAilgnedChar">
    <w:name w:val="Text - Left Ailgned Char"/>
    <w:basedOn w:val="DefaultParagraphFont"/>
    <w:link w:val="Text-LeftAilgned"/>
    <w:rsid w:val="00E91336"/>
    <w:rPr>
      <w:rFonts w:eastAsia="Times New Roman" w:cs="Times New Roman"/>
      <w:szCs w:val="24"/>
    </w:rPr>
  </w:style>
  <w:style w:type="paragraph" w:customStyle="1" w:styleId="Text-Centered">
    <w:name w:val="Text - Centered"/>
    <w:basedOn w:val="Normal"/>
    <w:rsid w:val="00E91336"/>
    <w:pPr>
      <w:jc w:val="center"/>
    </w:pPr>
    <w:rPr>
      <w:szCs w:val="20"/>
    </w:rPr>
  </w:style>
  <w:style w:type="paragraph" w:styleId="BodyText">
    <w:name w:val="Body Text"/>
    <w:basedOn w:val="Normal"/>
    <w:link w:val="BodyTextChar"/>
    <w:rsid w:val="00E91336"/>
    <w:rPr>
      <w:rFonts w:ascii="CG Omega" w:hAnsi="CG Omega"/>
      <w:sz w:val="22"/>
      <w:szCs w:val="20"/>
    </w:rPr>
  </w:style>
  <w:style w:type="character" w:customStyle="1" w:styleId="BodyTextChar">
    <w:name w:val="Body Text Char"/>
    <w:basedOn w:val="DefaultParagraphFont"/>
    <w:link w:val="BodyText"/>
    <w:rsid w:val="00E91336"/>
    <w:rPr>
      <w:rFonts w:ascii="CG Omega" w:eastAsia="Times New Roman" w:hAnsi="CG Omega" w:cs="Times New Roman"/>
      <w:sz w:val="22"/>
      <w:szCs w:val="20"/>
    </w:rPr>
  </w:style>
  <w:style w:type="paragraph" w:styleId="ListParagraph">
    <w:name w:val="List Paragraph"/>
    <w:basedOn w:val="Normal"/>
    <w:link w:val="ListParagraphChar"/>
    <w:qFormat/>
    <w:rsid w:val="007A1D9A"/>
    <w:pPr>
      <w:spacing w:after="200" w:line="276" w:lineRule="auto"/>
      <w:ind w:left="720"/>
      <w:contextualSpacing/>
    </w:pPr>
    <w:rPr>
      <w:rFonts w:eastAsiaTheme="minorHAnsi" w:cstheme="minorBidi"/>
      <w:szCs w:val="22"/>
    </w:rPr>
  </w:style>
  <w:style w:type="character" w:customStyle="1" w:styleId="ListParagraphChar">
    <w:name w:val="List Paragraph Char"/>
    <w:basedOn w:val="DefaultParagraphFont"/>
    <w:link w:val="ListParagraph"/>
    <w:rsid w:val="007A1D9A"/>
  </w:style>
  <w:style w:type="paragraph" w:styleId="FootnoteText">
    <w:name w:val="footnote text"/>
    <w:link w:val="FootnoteTextChar"/>
    <w:uiPriority w:val="99"/>
    <w:rsid w:val="007A1D9A"/>
    <w:pPr>
      <w:widowControl w:val="0"/>
      <w:spacing w:after="0" w:line="240" w:lineRule="auto"/>
    </w:pPr>
    <w:rPr>
      <w:rFonts w:eastAsia="Times New Roman" w:cs="Times New Roman"/>
      <w:sz w:val="18"/>
      <w:szCs w:val="20"/>
    </w:rPr>
  </w:style>
  <w:style w:type="character" w:customStyle="1" w:styleId="FootnoteTextChar">
    <w:name w:val="Footnote Text Char"/>
    <w:basedOn w:val="DefaultParagraphFont"/>
    <w:link w:val="FootnoteText"/>
    <w:uiPriority w:val="99"/>
    <w:rsid w:val="007A1D9A"/>
    <w:rPr>
      <w:rFonts w:eastAsia="Times New Roman" w:cs="Times New Roman"/>
      <w:sz w:val="18"/>
      <w:szCs w:val="20"/>
    </w:rPr>
  </w:style>
  <w:style w:type="character" w:styleId="FootnoteReference">
    <w:name w:val="footnote reference"/>
    <w:basedOn w:val="DefaultParagraphFont"/>
    <w:uiPriority w:val="99"/>
    <w:semiHidden/>
    <w:rsid w:val="007A1D9A"/>
    <w:rPr>
      <w:rFonts w:ascii="Verdana" w:hAnsi="Verdana"/>
      <w:vertAlign w:val="superscript"/>
    </w:rPr>
  </w:style>
  <w:style w:type="character" w:styleId="CommentReference">
    <w:name w:val="annotation reference"/>
    <w:basedOn w:val="DefaultParagraphFont"/>
    <w:uiPriority w:val="99"/>
    <w:semiHidden/>
    <w:unhideWhenUsed/>
    <w:rsid w:val="004F1910"/>
    <w:rPr>
      <w:sz w:val="16"/>
      <w:szCs w:val="16"/>
    </w:rPr>
  </w:style>
  <w:style w:type="paragraph" w:styleId="CommentText">
    <w:name w:val="annotation text"/>
    <w:basedOn w:val="Normal"/>
    <w:link w:val="CommentTextChar"/>
    <w:uiPriority w:val="99"/>
    <w:semiHidden/>
    <w:unhideWhenUsed/>
    <w:rsid w:val="004F1910"/>
    <w:rPr>
      <w:szCs w:val="20"/>
    </w:rPr>
  </w:style>
  <w:style w:type="character" w:customStyle="1" w:styleId="CommentTextChar">
    <w:name w:val="Comment Text Char"/>
    <w:basedOn w:val="DefaultParagraphFont"/>
    <w:link w:val="CommentText"/>
    <w:uiPriority w:val="99"/>
    <w:semiHidden/>
    <w:rsid w:val="004F1910"/>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4F1910"/>
    <w:rPr>
      <w:b/>
      <w:bCs/>
    </w:rPr>
  </w:style>
  <w:style w:type="character" w:customStyle="1" w:styleId="CommentSubjectChar">
    <w:name w:val="Comment Subject Char"/>
    <w:basedOn w:val="CommentTextChar"/>
    <w:link w:val="CommentSubject"/>
    <w:uiPriority w:val="99"/>
    <w:semiHidden/>
    <w:rsid w:val="004F1910"/>
    <w:rPr>
      <w:rFonts w:eastAsia="Times New Roman" w:cs="Times New Roman"/>
      <w:b/>
      <w:bCs/>
      <w:szCs w:val="20"/>
    </w:rPr>
  </w:style>
  <w:style w:type="paragraph" w:styleId="BalloonText">
    <w:name w:val="Balloon Text"/>
    <w:basedOn w:val="Normal"/>
    <w:link w:val="BalloonTextChar"/>
    <w:uiPriority w:val="99"/>
    <w:semiHidden/>
    <w:unhideWhenUsed/>
    <w:rsid w:val="004F1910"/>
    <w:rPr>
      <w:rFonts w:ascii="Tahoma" w:hAnsi="Tahoma" w:cs="Tahoma"/>
      <w:sz w:val="16"/>
      <w:szCs w:val="16"/>
    </w:rPr>
  </w:style>
  <w:style w:type="character" w:customStyle="1" w:styleId="BalloonTextChar">
    <w:name w:val="Balloon Text Char"/>
    <w:basedOn w:val="DefaultParagraphFont"/>
    <w:link w:val="BalloonText"/>
    <w:uiPriority w:val="99"/>
    <w:semiHidden/>
    <w:rsid w:val="004F191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9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fge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Status xmlns="http://schemas.microsoft.com/sharepoint/v3/fields">Draft</_Status>
    <Classification xmlns="eecedeb9-13b3-4e62-b003-046c92e1668a">Unclassified</Classification>
    <Descriptor xmlns="eecedeb9-13b3-4e62-b003-046c92e1668a" xsi:nil="true"/>
    <Organisation xmlns="eecedeb9-13b3-4e62-b003-046c92e1668a" xsi:nil="true"/>
    <_x003a_ xmlns="eecedeb9-13b3-4e62-b003-046c92e1668a" xsi:nil="true"/>
    <_x003a__x003a_ xmlns="eecedeb9-13b3-4e62-b003-046c92e1668a">-Main Document</_x003a_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773578-b348-4185-91b0-0c3a7eda8d2a" ContentTypeId="0x01010033282546F0D44441B574BEAA5FBE93E4" PreviousValue="false"/>
</file>

<file path=customXml/item4.xml><?xml version="1.0" encoding="utf-8"?>
<ct:contentTypeSchema xmlns:ct="http://schemas.microsoft.com/office/2006/metadata/contentType" xmlns:ma="http://schemas.microsoft.com/office/2006/metadata/properties/metaAttributes" ct:_="" ma:_="" ma:contentTypeName="Information" ma:contentTypeID="0x01010033282546F0D44441B574BEAA5FBE93E400B5D00ADF32515C43962B3E35A337A82F" ma:contentTypeVersion="0" ma:contentTypeDescription="" ma:contentTypeScope="" ma:versionID="eef815d84ec4e83d9866f1f8b2ebb66b">
  <xsd:schema xmlns:xsd="http://www.w3.org/2001/XMLSchema" xmlns:p="http://schemas.microsoft.com/office/2006/metadata/properties" xmlns:ns2="eecedeb9-13b3-4e62-b003-046c92e1668a" xmlns:ns3="http://schemas.microsoft.com/sharepoint/v3/fields" targetNamespace="http://schemas.microsoft.com/office/2006/metadata/properties" ma:root="true" ma:fieldsID="ca2c42015ba16f3c0d315a22f153672e" ns2:_="" ns3:_="">
    <xsd:import namespace="eecedeb9-13b3-4e62-b003-046c92e1668a"/>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xsd:element ref="ns2:Descriptor" minOccurs="0"/>
              </xsd:all>
            </xsd:complexType>
          </xsd:element>
        </xsd:sequence>
      </xsd:complexType>
    </xsd:element>
  </xsd:schema>
  <xsd:schema xmlns:xsd="http://www.w3.org/2001/XMLSchema" xmlns:dms="http://schemas.microsoft.com/office/2006/documentManagement/types" targetNamespace="eecedeb9-13b3-4e62-b003-046c92e1668a" elementFormDefault="qualified">
    <xsd:import namespace="http://schemas.microsoft.com/office/2006/documentManagement/type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3"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3F86C-4F6E-4DBD-A34E-F7FDDB8C33B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ecedeb9-13b3-4e62-b003-046c92e1668a"/>
    <ds:schemaRef ds:uri="http://schemas.microsoft.com/sharepoint/v3/fields"/>
    <ds:schemaRef ds:uri="http://schemas.openxmlformats.org/package/2006/metadata/core-properties"/>
  </ds:schemaRefs>
</ds:datastoreItem>
</file>

<file path=customXml/itemProps2.xml><?xml version="1.0" encoding="utf-8"?>
<ds:datastoreItem xmlns:ds="http://schemas.openxmlformats.org/officeDocument/2006/customXml" ds:itemID="{0A465C78-2712-483B-AEA0-68E38544BD76}">
  <ds:schemaRefs>
    <ds:schemaRef ds:uri="http://schemas.microsoft.com/sharepoint/v3/contenttype/forms"/>
  </ds:schemaRefs>
</ds:datastoreItem>
</file>

<file path=customXml/itemProps3.xml><?xml version="1.0" encoding="utf-8"?>
<ds:datastoreItem xmlns:ds="http://schemas.openxmlformats.org/officeDocument/2006/customXml" ds:itemID="{DC1E3F72-53F0-49B9-A44A-B134F8503FA3}">
  <ds:schemaRefs>
    <ds:schemaRef ds:uri="Microsoft.SharePoint.Taxonomy.ContentTypeSync"/>
  </ds:schemaRefs>
</ds:datastoreItem>
</file>

<file path=customXml/itemProps4.xml><?xml version="1.0" encoding="utf-8"?>
<ds:datastoreItem xmlns:ds="http://schemas.openxmlformats.org/officeDocument/2006/customXml" ds:itemID="{BBDECD38-E02F-47AF-9B23-391272AFA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deb9-13b3-4e62-b003-046c92e1668a"/>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6546740-AC2A-4FA4-BEA0-571EF158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Notice under Section 11A(2) of the Electricity Act 1989</vt:lpstr>
    </vt:vector>
  </TitlesOfParts>
  <Company>Ofgem</Company>
  <LinksUpToDate>false</LinksUpToDate>
  <CharactersWithSpaces>19615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under Section 11A(2) of the Electricity Act 1989</dc:title>
  <dc:creator>install</dc:creator>
  <cp:lastModifiedBy>Kulhavya</cp:lastModifiedBy>
  <cp:revision>6</cp:revision>
  <dcterms:created xsi:type="dcterms:W3CDTF">2015-02-25T12:40:00Z</dcterms:created>
  <dcterms:modified xsi:type="dcterms:W3CDTF">2015-02-26T10:53:00Z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0x01010033282546F0D44441B574BEAA5FBE93E400B5D00ADF32515C43962B3E35A337A82F</vt:lpwstr>
  </property>
  <property fmtid="{D5CDD505-2E9C-101B-9397-08002B2CF9AE}" pid="3" name="Select Content Type Above">
    <vt:lpwstr/>
  </property>
  <property fmtid="{D5CDD505-2E9C-101B-9397-08002B2CF9AE}" pid="4" name="Order">
    <vt:r8>4268400</vt:r8>
  </property>
  <property fmtid="{D5CDD505-2E9C-101B-9397-08002B2CF9AE}" pid="5" name="From">
    <vt:lpwstr/>
  </property>
  <property fmtid="{D5CDD505-2E9C-101B-9397-08002B2CF9AE}" pid="6" name="BCC">
    <vt:lpwstr/>
  </property>
  <property fmtid="{D5CDD505-2E9C-101B-9397-08002B2CF9AE}" pid="7" name="xd_ProgID">
    <vt:lpwstr/>
  </property>
  <property fmtid="{D5CDD505-2E9C-101B-9397-08002B2CF9AE}" pid="8" name="Project Manager">
    <vt:lpwstr/>
  </property>
  <property fmtid="{D5CDD505-2E9C-101B-9397-08002B2CF9AE}" pid="9" name="Importance">
    <vt:lpwstr/>
  </property>
  <property fmtid="{D5CDD505-2E9C-101B-9397-08002B2CF9AE}" pid="10" name="Applicable Duration">
    <vt:lpwstr/>
  </property>
  <property fmtid="{D5CDD505-2E9C-101B-9397-08002B2CF9AE}" pid="11" name="Ref No">
    <vt:lpwstr/>
  </property>
  <property fmtid="{D5CDD505-2E9C-101B-9397-08002B2CF9AE}" pid="12" name="Project Owner">
    <vt:lpwstr/>
  </property>
  <property fmtid="{D5CDD505-2E9C-101B-9397-08002B2CF9AE}" pid="13" name="TemplateUrl">
    <vt:lpwstr/>
  </property>
  <property fmtid="{D5CDD505-2E9C-101B-9397-08002B2CF9AE}" pid="14" name="CC">
    <vt:lpwstr/>
  </property>
  <property fmtid="{D5CDD505-2E9C-101B-9397-08002B2CF9AE}" pid="15" name="Notes0">
    <vt:lpwstr>TEMPLATE</vt:lpwstr>
  </property>
  <property fmtid="{D5CDD505-2E9C-101B-9397-08002B2CF9AE}" pid="16" name="To">
    <vt:lpwstr/>
  </property>
  <property fmtid="{D5CDD505-2E9C-101B-9397-08002B2CF9AE}" pid="17" name="Attach Count">
    <vt:lpwstr/>
  </property>
  <property fmtid="{D5CDD505-2E9C-101B-9397-08002B2CF9AE}" pid="18" name="Project Sponsor">
    <vt:lpwstr/>
  </property>
  <property fmtid="{D5CDD505-2E9C-101B-9397-08002B2CF9AE}" pid="19" name="Project Name">
    <vt:lpwstr/>
  </property>
  <property fmtid="{D5CDD505-2E9C-101B-9397-08002B2CF9AE}" pid="20" name="Recipient">
    <vt:lpwstr/>
  </property>
</Properties>
</file>