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33D443" w14:textId="4CB70F4C" w:rsidR="006F2FCC" w:rsidRPr="006F2FCC" w:rsidRDefault="006F2FCC" w:rsidP="006F2FCC">
      <w:pPr>
        <w:jc w:val="center"/>
        <w:rPr>
          <w:b/>
          <w:u w:val="single"/>
        </w:rPr>
      </w:pPr>
      <w:r w:rsidRPr="006F2FCC">
        <w:rPr>
          <w:b/>
          <w:u w:val="single"/>
        </w:rPr>
        <w:t>LCNF workshops</w:t>
      </w:r>
    </w:p>
    <w:tbl>
      <w:tblPr>
        <w:tblStyle w:val="TableGrid"/>
        <w:tblW w:w="9242" w:type="dxa"/>
        <w:tblLook w:val="04A0" w:firstRow="1" w:lastRow="0" w:firstColumn="1" w:lastColumn="0" w:noHBand="0" w:noVBand="1"/>
      </w:tblPr>
      <w:tblGrid>
        <w:gridCol w:w="6487"/>
        <w:gridCol w:w="2755"/>
      </w:tblGrid>
      <w:tr w:rsidR="00BC379E" w14:paraId="5926EFC1" w14:textId="77777777" w:rsidTr="004F45FE">
        <w:tc>
          <w:tcPr>
            <w:tcW w:w="6487" w:type="dxa"/>
            <w:shd w:val="clear" w:color="auto" w:fill="auto"/>
          </w:tcPr>
          <w:p w14:paraId="319B660B" w14:textId="34857993" w:rsidR="00BC379E" w:rsidRPr="00BC379E" w:rsidRDefault="00DE1D5A">
            <w:pPr>
              <w:rPr>
                <w:b/>
              </w:rPr>
            </w:pPr>
            <w:r>
              <w:rPr>
                <w:b/>
              </w:rPr>
              <w:t>Learning points</w:t>
            </w:r>
          </w:p>
        </w:tc>
        <w:tc>
          <w:tcPr>
            <w:tcW w:w="2755" w:type="dxa"/>
            <w:shd w:val="clear" w:color="auto" w:fill="auto"/>
          </w:tcPr>
          <w:p w14:paraId="31A67017" w14:textId="77777777" w:rsidR="00BC379E" w:rsidRPr="00BC379E" w:rsidRDefault="00BC379E">
            <w:pPr>
              <w:rPr>
                <w:b/>
              </w:rPr>
            </w:pPr>
            <w:r w:rsidRPr="00BC379E">
              <w:rPr>
                <w:b/>
              </w:rPr>
              <w:t>Subgroup</w:t>
            </w:r>
            <w:r>
              <w:rPr>
                <w:b/>
              </w:rPr>
              <w:t>(s)</w:t>
            </w:r>
            <w:r w:rsidRPr="00BC379E">
              <w:rPr>
                <w:b/>
              </w:rPr>
              <w:t xml:space="preserve"> that will investigate</w:t>
            </w:r>
            <w:r w:rsidR="00284A98">
              <w:rPr>
                <w:b/>
              </w:rPr>
              <w:t>?</w:t>
            </w:r>
          </w:p>
        </w:tc>
      </w:tr>
      <w:tr w:rsidR="00BC379E" w14:paraId="3F46D048" w14:textId="77777777" w:rsidTr="004F45FE">
        <w:tc>
          <w:tcPr>
            <w:tcW w:w="9242" w:type="dxa"/>
            <w:gridSpan w:val="2"/>
            <w:shd w:val="clear" w:color="auto" w:fill="auto"/>
          </w:tcPr>
          <w:p w14:paraId="45C8B14E" w14:textId="015CBCA2" w:rsidR="00BC379E" w:rsidRPr="00BC379E" w:rsidRDefault="00BC379E" w:rsidP="00AA4BD7">
            <w:pPr>
              <w:pStyle w:val="ListParagraph"/>
              <w:ind w:left="1080"/>
              <w:rPr>
                <w:b/>
              </w:rPr>
            </w:pPr>
            <w:r w:rsidRPr="00BC379E">
              <w:rPr>
                <w:b/>
              </w:rPr>
              <w:t>S</w:t>
            </w:r>
            <w:r w:rsidR="002B42B4">
              <w:rPr>
                <w:b/>
              </w:rPr>
              <w:t xml:space="preserve">marter </w:t>
            </w:r>
            <w:r w:rsidRPr="00BC379E">
              <w:rPr>
                <w:b/>
              </w:rPr>
              <w:t>N</w:t>
            </w:r>
            <w:r w:rsidR="002B42B4">
              <w:rPr>
                <w:b/>
              </w:rPr>
              <w:t xml:space="preserve">etwork </w:t>
            </w:r>
            <w:r w:rsidRPr="00BC379E">
              <w:rPr>
                <w:b/>
              </w:rPr>
              <w:t>S</w:t>
            </w:r>
            <w:r w:rsidR="002B42B4">
              <w:rPr>
                <w:b/>
              </w:rPr>
              <w:t>torage</w:t>
            </w:r>
          </w:p>
        </w:tc>
      </w:tr>
      <w:tr w:rsidR="00BC379E" w14:paraId="537E8D6E" w14:textId="77777777" w:rsidTr="004F45FE">
        <w:tc>
          <w:tcPr>
            <w:tcW w:w="6487" w:type="dxa"/>
            <w:shd w:val="clear" w:color="auto" w:fill="auto"/>
          </w:tcPr>
          <w:p w14:paraId="1AB136EC" w14:textId="77777777" w:rsidR="00BC379E" w:rsidRDefault="00BC379E" w:rsidP="00640CA5">
            <w:r>
              <w:t>P</w:t>
            </w:r>
            <w:r w:rsidRPr="00EC13F4">
              <w:t xml:space="preserve">otential double charging of </w:t>
            </w:r>
            <w:proofErr w:type="spellStart"/>
            <w:r w:rsidRPr="00EC13F4">
              <w:t>FiT</w:t>
            </w:r>
            <w:proofErr w:type="spellEnd"/>
            <w:r w:rsidRPr="00EC13F4">
              <w:t xml:space="preserve"> and RO payments on energy temporarily held by electrical storage. This disadvantages storage </w:t>
            </w:r>
            <w:proofErr w:type="gramStart"/>
            <w:r w:rsidRPr="00EC13F4">
              <w:t>operators</w:t>
            </w:r>
            <w:proofErr w:type="gramEnd"/>
            <w:r w:rsidRPr="00EC13F4">
              <w:t xml:space="preserve"> vs generators due to additional </w:t>
            </w:r>
            <w:proofErr w:type="spellStart"/>
            <w:r w:rsidRPr="00EC13F4">
              <w:t>opex</w:t>
            </w:r>
            <w:proofErr w:type="spellEnd"/>
            <w:r w:rsidRPr="00EC13F4">
              <w:t xml:space="preserve"> costs. </w:t>
            </w:r>
          </w:p>
        </w:tc>
        <w:tc>
          <w:tcPr>
            <w:tcW w:w="2755" w:type="dxa"/>
            <w:shd w:val="clear" w:color="auto" w:fill="auto"/>
          </w:tcPr>
          <w:p w14:paraId="272127BE" w14:textId="09862392" w:rsidR="009E22FE" w:rsidRDefault="009E22FE" w:rsidP="009E22FE">
            <w:r>
              <w:t>SNS to propose solution but inform following groups:</w:t>
            </w:r>
          </w:p>
          <w:p w14:paraId="1B94AA44" w14:textId="3DFE70E6" w:rsidR="00BC379E" w:rsidRDefault="00BC379E" w:rsidP="009E22FE">
            <w:pPr>
              <w:pStyle w:val="ListParagraph"/>
              <w:numPr>
                <w:ilvl w:val="0"/>
                <w:numId w:val="2"/>
              </w:numPr>
            </w:pPr>
            <w:r>
              <w:t>Distribution of Value</w:t>
            </w:r>
          </w:p>
          <w:p w14:paraId="3154C4D3" w14:textId="77777777" w:rsidR="00BC379E" w:rsidRDefault="00BC379E" w:rsidP="00BC379E">
            <w:pPr>
              <w:pStyle w:val="ListParagraph"/>
              <w:numPr>
                <w:ilvl w:val="0"/>
                <w:numId w:val="2"/>
              </w:numPr>
            </w:pPr>
            <w:r>
              <w:t>DG and Storage</w:t>
            </w:r>
          </w:p>
          <w:p w14:paraId="1C0FAF7E" w14:textId="77777777" w:rsidR="00BC379E" w:rsidRDefault="00BC379E" w:rsidP="00BC379E">
            <w:pPr>
              <w:pStyle w:val="ListParagraph"/>
              <w:numPr>
                <w:ilvl w:val="0"/>
                <w:numId w:val="2"/>
              </w:numPr>
            </w:pPr>
            <w:r>
              <w:t>Visibility</w:t>
            </w:r>
          </w:p>
          <w:p w14:paraId="20CC2A46" w14:textId="77777777" w:rsidR="00BC379E" w:rsidRDefault="00BC379E"/>
        </w:tc>
      </w:tr>
      <w:tr w:rsidR="00BC379E" w14:paraId="324F4B5D" w14:textId="77777777" w:rsidTr="004F45FE">
        <w:tc>
          <w:tcPr>
            <w:tcW w:w="6487" w:type="dxa"/>
            <w:shd w:val="clear" w:color="auto" w:fill="auto"/>
          </w:tcPr>
          <w:p w14:paraId="3904922C" w14:textId="77777777" w:rsidR="00BC379E" w:rsidRPr="00BC379E" w:rsidRDefault="00BC379E">
            <w:pPr>
              <w:rPr>
                <w:color w:val="0070C0"/>
              </w:rPr>
            </w:pPr>
            <w:r w:rsidRPr="00EC13F4">
              <w:t>The C</w:t>
            </w:r>
            <w:r>
              <w:t xml:space="preserve">limate </w:t>
            </w:r>
            <w:r w:rsidRPr="00EC13F4">
              <w:t>C</w:t>
            </w:r>
            <w:r>
              <w:t xml:space="preserve">harge </w:t>
            </w:r>
            <w:r w:rsidRPr="00EC13F4">
              <w:t>L</w:t>
            </w:r>
            <w:r>
              <w:t>evy (CCL)</w:t>
            </w:r>
            <w:r w:rsidRPr="00EC13F4">
              <w:t xml:space="preserve"> is applied by default to storage operators on import. On subsequent export CCL is levied a second time on subsequent consumption. This results in double charging of CCL on energy held by storage operators.</w:t>
            </w:r>
          </w:p>
        </w:tc>
        <w:tc>
          <w:tcPr>
            <w:tcW w:w="2755" w:type="dxa"/>
            <w:shd w:val="clear" w:color="auto" w:fill="auto"/>
          </w:tcPr>
          <w:p w14:paraId="7184BE94" w14:textId="77777777" w:rsidR="009E22FE" w:rsidRDefault="009E22FE" w:rsidP="009E22FE">
            <w:r>
              <w:t>SNS to propose solution but inform following groups:</w:t>
            </w:r>
          </w:p>
          <w:p w14:paraId="7F687A52" w14:textId="77777777" w:rsidR="00BC379E" w:rsidRDefault="00BC379E" w:rsidP="00BC379E">
            <w:pPr>
              <w:pStyle w:val="ListParagraph"/>
              <w:numPr>
                <w:ilvl w:val="0"/>
                <w:numId w:val="2"/>
              </w:numPr>
            </w:pPr>
            <w:r>
              <w:t>Distribution of Value</w:t>
            </w:r>
          </w:p>
          <w:p w14:paraId="6629A1E9" w14:textId="77777777" w:rsidR="00BC379E" w:rsidRDefault="00BC379E" w:rsidP="00BC379E">
            <w:pPr>
              <w:pStyle w:val="ListParagraph"/>
              <w:numPr>
                <w:ilvl w:val="0"/>
                <w:numId w:val="2"/>
              </w:numPr>
            </w:pPr>
            <w:r>
              <w:t>DG and Storage</w:t>
            </w:r>
          </w:p>
          <w:p w14:paraId="663546E0" w14:textId="77777777" w:rsidR="00BC379E" w:rsidRDefault="00BC379E" w:rsidP="00BC379E">
            <w:pPr>
              <w:pStyle w:val="ListParagraph"/>
              <w:numPr>
                <w:ilvl w:val="0"/>
                <w:numId w:val="2"/>
              </w:numPr>
            </w:pPr>
            <w:r>
              <w:t>Visibility</w:t>
            </w:r>
          </w:p>
          <w:p w14:paraId="24ECFA69" w14:textId="77777777" w:rsidR="00BC379E" w:rsidRDefault="00BC379E"/>
        </w:tc>
      </w:tr>
      <w:tr w:rsidR="00BC379E" w14:paraId="5F7D3879" w14:textId="77777777" w:rsidTr="004F45FE">
        <w:tc>
          <w:tcPr>
            <w:tcW w:w="6487" w:type="dxa"/>
            <w:shd w:val="clear" w:color="auto" w:fill="auto"/>
          </w:tcPr>
          <w:p w14:paraId="270AF19F" w14:textId="77777777" w:rsidR="00BC379E" w:rsidRDefault="00BC379E">
            <w:r w:rsidRPr="00EC13F4">
              <w:t>Reactive power charges are levied by DNOs, but there is no mechanism for recognising the provision of reactive power when it is delivered for network support</w:t>
            </w:r>
            <w:r>
              <w:t>.</w:t>
            </w:r>
          </w:p>
        </w:tc>
        <w:tc>
          <w:tcPr>
            <w:tcW w:w="2755" w:type="dxa"/>
            <w:shd w:val="clear" w:color="auto" w:fill="auto"/>
          </w:tcPr>
          <w:p w14:paraId="779F4255" w14:textId="77777777" w:rsidR="009E22FE" w:rsidRDefault="009E22FE" w:rsidP="009E22FE">
            <w:r>
              <w:t>SNS to propose solution but inform following groups:</w:t>
            </w:r>
          </w:p>
          <w:p w14:paraId="73CB7610" w14:textId="184D880D" w:rsidR="00BC379E" w:rsidRDefault="009E22FE" w:rsidP="00BC379E">
            <w:pPr>
              <w:pStyle w:val="ListParagraph"/>
              <w:numPr>
                <w:ilvl w:val="0"/>
                <w:numId w:val="2"/>
              </w:numPr>
            </w:pPr>
            <w:r>
              <w:t>DG and Storage</w:t>
            </w:r>
          </w:p>
        </w:tc>
      </w:tr>
      <w:tr w:rsidR="00BC379E" w14:paraId="0A5097C3" w14:textId="77777777" w:rsidTr="004F45FE">
        <w:tc>
          <w:tcPr>
            <w:tcW w:w="6487" w:type="dxa"/>
            <w:shd w:val="clear" w:color="auto" w:fill="auto"/>
          </w:tcPr>
          <w:p w14:paraId="61EC731D" w14:textId="77777777" w:rsidR="00BC379E" w:rsidRDefault="00640CA5" w:rsidP="00BC379E">
            <w:r>
              <w:t>How to</w:t>
            </w:r>
            <w:r w:rsidR="00BC379E">
              <w:t xml:space="preserve"> make DUoS work for storage </w:t>
            </w:r>
            <w:r>
              <w:t>– the need for charging to be more</w:t>
            </w:r>
            <w:r w:rsidR="00BC379E">
              <w:t xml:space="preserve"> reflective of location.</w:t>
            </w:r>
          </w:p>
          <w:p w14:paraId="470914B9" w14:textId="77777777" w:rsidR="00BC379E" w:rsidRDefault="00BC379E"/>
        </w:tc>
        <w:tc>
          <w:tcPr>
            <w:tcW w:w="2755" w:type="dxa"/>
            <w:shd w:val="clear" w:color="auto" w:fill="auto"/>
          </w:tcPr>
          <w:p w14:paraId="1875B8DA" w14:textId="77777777" w:rsidR="009E22FE" w:rsidRDefault="009E22FE" w:rsidP="009E22FE">
            <w:r>
              <w:t>SNS to propose solution but inform following groups:</w:t>
            </w:r>
          </w:p>
          <w:p w14:paraId="65013357" w14:textId="77777777" w:rsidR="00BC379E" w:rsidRDefault="00BC379E" w:rsidP="00BC379E">
            <w:pPr>
              <w:pStyle w:val="ListParagraph"/>
              <w:numPr>
                <w:ilvl w:val="0"/>
                <w:numId w:val="2"/>
              </w:numPr>
            </w:pPr>
            <w:r>
              <w:t>DG and Storage</w:t>
            </w:r>
          </w:p>
          <w:p w14:paraId="7A1B747B" w14:textId="7741383E" w:rsidR="00BC379E" w:rsidRDefault="00BC379E" w:rsidP="009E22FE"/>
        </w:tc>
      </w:tr>
      <w:tr w:rsidR="00BC379E" w14:paraId="07840459" w14:textId="77777777" w:rsidTr="004F45FE">
        <w:tc>
          <w:tcPr>
            <w:tcW w:w="6487" w:type="dxa"/>
            <w:shd w:val="clear" w:color="auto" w:fill="auto"/>
          </w:tcPr>
          <w:p w14:paraId="50DAB7BB" w14:textId="77777777" w:rsidR="00BC379E" w:rsidRDefault="00BC379E" w:rsidP="00BC379E">
            <w:r>
              <w:t>Who has priority to use storage –DNO or National Grid?</w:t>
            </w:r>
          </w:p>
          <w:p w14:paraId="71C75AFF" w14:textId="77777777" w:rsidR="00BC379E" w:rsidRDefault="00BC379E" w:rsidP="00BC379E"/>
        </w:tc>
        <w:tc>
          <w:tcPr>
            <w:tcW w:w="2755" w:type="dxa"/>
            <w:shd w:val="clear" w:color="auto" w:fill="auto"/>
          </w:tcPr>
          <w:p w14:paraId="07FACF38" w14:textId="77777777" w:rsidR="00BC379E" w:rsidRDefault="00BC379E" w:rsidP="00BC379E">
            <w:pPr>
              <w:pStyle w:val="ListParagraph"/>
              <w:numPr>
                <w:ilvl w:val="0"/>
                <w:numId w:val="2"/>
              </w:numPr>
            </w:pPr>
            <w:r>
              <w:t>Distribution of Value</w:t>
            </w:r>
          </w:p>
          <w:p w14:paraId="3BEC3E15" w14:textId="77777777" w:rsidR="00BC379E" w:rsidRDefault="00BC379E" w:rsidP="00BC379E">
            <w:pPr>
              <w:pStyle w:val="ListParagraph"/>
              <w:numPr>
                <w:ilvl w:val="0"/>
                <w:numId w:val="2"/>
              </w:numPr>
            </w:pPr>
            <w:r>
              <w:t>DG and Storage</w:t>
            </w:r>
          </w:p>
          <w:p w14:paraId="711681F2" w14:textId="77777777" w:rsidR="00BC379E" w:rsidRDefault="00BC379E" w:rsidP="00BC379E">
            <w:pPr>
              <w:pStyle w:val="ListParagraph"/>
              <w:numPr>
                <w:ilvl w:val="0"/>
                <w:numId w:val="2"/>
              </w:numPr>
            </w:pPr>
            <w:r>
              <w:t>Visibility</w:t>
            </w:r>
          </w:p>
        </w:tc>
      </w:tr>
      <w:tr w:rsidR="00BC379E" w14:paraId="2ACBBD49" w14:textId="77777777" w:rsidTr="004F45FE">
        <w:tc>
          <w:tcPr>
            <w:tcW w:w="9242" w:type="dxa"/>
            <w:gridSpan w:val="2"/>
            <w:shd w:val="clear" w:color="auto" w:fill="auto"/>
          </w:tcPr>
          <w:p w14:paraId="6EA77F4E" w14:textId="77777777" w:rsidR="00BC379E" w:rsidRPr="00B576F5" w:rsidRDefault="00AA4BD7" w:rsidP="00B576F5">
            <w:pPr>
              <w:ind w:left="720"/>
              <w:rPr>
                <w:b/>
              </w:rPr>
            </w:pPr>
            <w:r w:rsidRPr="00B576F5">
              <w:rPr>
                <w:b/>
              </w:rPr>
              <w:t>Solvent Achieving Value from Efficiency</w:t>
            </w:r>
          </w:p>
        </w:tc>
      </w:tr>
      <w:tr w:rsidR="003A3592" w14:paraId="452DF4DB" w14:textId="77777777" w:rsidTr="004F45FE">
        <w:tc>
          <w:tcPr>
            <w:tcW w:w="6487" w:type="dxa"/>
            <w:shd w:val="clear" w:color="auto" w:fill="auto"/>
          </w:tcPr>
          <w:p w14:paraId="65296D5D" w14:textId="77777777" w:rsidR="003A3592" w:rsidRPr="00AA4BD7" w:rsidRDefault="003A3592" w:rsidP="00BC379E">
            <w:pPr>
              <w:contextualSpacing/>
            </w:pPr>
            <w:r>
              <w:t>Would be useful to understand how customers chose to use the LED lights given to them in the project i.e. do they install them and in which rooms.</w:t>
            </w:r>
          </w:p>
        </w:tc>
        <w:tc>
          <w:tcPr>
            <w:tcW w:w="2755" w:type="dxa"/>
            <w:shd w:val="clear" w:color="auto" w:fill="auto"/>
          </w:tcPr>
          <w:p w14:paraId="01556C72" w14:textId="77777777" w:rsidR="003A3592" w:rsidRDefault="003A3592" w:rsidP="00AA4BD7">
            <w:pPr>
              <w:pStyle w:val="ListParagraph"/>
              <w:numPr>
                <w:ilvl w:val="0"/>
                <w:numId w:val="2"/>
              </w:numPr>
            </w:pPr>
            <w:r>
              <w:t xml:space="preserve">SSE to feed into </w:t>
            </w:r>
            <w:r w:rsidR="005812C4">
              <w:t>Community Energy &amp; Energy efficiency group</w:t>
            </w:r>
          </w:p>
        </w:tc>
      </w:tr>
      <w:tr w:rsidR="00BC379E" w14:paraId="5EA5ED20" w14:textId="77777777" w:rsidTr="004F45FE">
        <w:tc>
          <w:tcPr>
            <w:tcW w:w="6487" w:type="dxa"/>
            <w:shd w:val="clear" w:color="auto" w:fill="auto"/>
          </w:tcPr>
          <w:p w14:paraId="0F174C2E" w14:textId="77777777" w:rsidR="00BC379E" w:rsidRPr="00AA4BD7" w:rsidRDefault="00640CA5" w:rsidP="00BC379E">
            <w:pPr>
              <w:contextualSpacing/>
            </w:pPr>
            <w:r w:rsidRPr="00AA4BD7">
              <w:t xml:space="preserve">A DNO rebate could go through the supplier bill or </w:t>
            </w:r>
            <w:r>
              <w:t>through a purpose built</w:t>
            </w:r>
            <w:r w:rsidRPr="00AA4BD7">
              <w:t xml:space="preserve"> DNO syste</w:t>
            </w:r>
            <w:r>
              <w:t>m. There needs to be a balance between the best way to magnify the signal and the expense of doing this.</w:t>
            </w:r>
            <w:r w:rsidRPr="00AA4BD7">
              <w:t xml:space="preserve"> In a smart new world it will need to be seen how the supplier and DNO interact and complement each other.</w:t>
            </w:r>
          </w:p>
        </w:tc>
        <w:tc>
          <w:tcPr>
            <w:tcW w:w="2755" w:type="dxa"/>
            <w:shd w:val="clear" w:color="auto" w:fill="auto"/>
          </w:tcPr>
          <w:p w14:paraId="0BD23EC1" w14:textId="77777777" w:rsidR="00AA4BD7" w:rsidRDefault="00AA4BD7" w:rsidP="00AA4BD7">
            <w:pPr>
              <w:pStyle w:val="ListParagraph"/>
              <w:numPr>
                <w:ilvl w:val="0"/>
                <w:numId w:val="2"/>
              </w:numPr>
            </w:pPr>
            <w:r>
              <w:t>Distribution of Value</w:t>
            </w:r>
          </w:p>
          <w:p w14:paraId="1BBE34E0" w14:textId="77777777" w:rsidR="00AA4BD7" w:rsidRDefault="00AA4BD7" w:rsidP="00AA4BD7">
            <w:pPr>
              <w:pStyle w:val="ListParagraph"/>
              <w:numPr>
                <w:ilvl w:val="0"/>
                <w:numId w:val="2"/>
              </w:numPr>
            </w:pPr>
            <w:r>
              <w:t>Visibility</w:t>
            </w:r>
          </w:p>
          <w:p w14:paraId="6AFF4924" w14:textId="77777777" w:rsidR="00BC379E" w:rsidRDefault="00BC379E" w:rsidP="00BC379E">
            <w:pPr>
              <w:pStyle w:val="ListParagraph"/>
              <w:ind w:left="360"/>
            </w:pPr>
          </w:p>
        </w:tc>
      </w:tr>
      <w:tr w:rsidR="006F2FCC" w14:paraId="592E6559" w14:textId="77777777" w:rsidTr="004F45FE">
        <w:tc>
          <w:tcPr>
            <w:tcW w:w="9242" w:type="dxa"/>
            <w:gridSpan w:val="2"/>
            <w:shd w:val="clear" w:color="auto" w:fill="auto"/>
          </w:tcPr>
          <w:p w14:paraId="3F9BDB07" w14:textId="77777777" w:rsidR="006F2FCC" w:rsidRPr="00B576F5" w:rsidRDefault="006F2FCC" w:rsidP="00230489">
            <w:pPr>
              <w:rPr>
                <w:b/>
              </w:rPr>
            </w:pPr>
            <w:r>
              <w:rPr>
                <w:b/>
              </w:rPr>
              <w:t xml:space="preserve">  Flexible plug &amp; play</w:t>
            </w:r>
          </w:p>
        </w:tc>
      </w:tr>
      <w:tr w:rsidR="006F2FCC" w14:paraId="75C50B1F" w14:textId="77777777" w:rsidTr="004F45FE">
        <w:tc>
          <w:tcPr>
            <w:tcW w:w="6487" w:type="dxa"/>
            <w:shd w:val="clear" w:color="auto" w:fill="auto"/>
          </w:tcPr>
          <w:p w14:paraId="63F2DDF3" w14:textId="77777777" w:rsidR="006F2FCC" w:rsidRPr="00305349" w:rsidRDefault="006F2FCC" w:rsidP="00230489">
            <w:r w:rsidRPr="00305349">
              <w:t xml:space="preserve">Generators </w:t>
            </w:r>
            <w:r>
              <w:t xml:space="preserve">had not been willing to commit to fund future reinforcement, even where reinforcement would lead to lower overall constraint costs. </w:t>
            </w:r>
          </w:p>
        </w:tc>
        <w:tc>
          <w:tcPr>
            <w:tcW w:w="2755" w:type="dxa"/>
            <w:shd w:val="clear" w:color="auto" w:fill="auto"/>
          </w:tcPr>
          <w:p w14:paraId="77398C37" w14:textId="77777777" w:rsidR="006F2FCC" w:rsidRPr="00305349" w:rsidRDefault="006F2FCC" w:rsidP="00230489">
            <w:pPr>
              <w:pStyle w:val="ListParagraph"/>
              <w:numPr>
                <w:ilvl w:val="0"/>
                <w:numId w:val="12"/>
              </w:numPr>
              <w:ind w:left="317" w:hanging="283"/>
            </w:pPr>
            <w:r w:rsidRPr="00305349">
              <w:t>DG and storage</w:t>
            </w:r>
          </w:p>
        </w:tc>
      </w:tr>
      <w:tr w:rsidR="00640CA5" w14:paraId="363F3F1F" w14:textId="77777777" w:rsidTr="004F45FE">
        <w:tc>
          <w:tcPr>
            <w:tcW w:w="9242" w:type="dxa"/>
            <w:gridSpan w:val="2"/>
            <w:shd w:val="clear" w:color="auto" w:fill="auto"/>
          </w:tcPr>
          <w:p w14:paraId="1E86D8FE" w14:textId="476D6A4A" w:rsidR="00640CA5" w:rsidRDefault="00640CA5" w:rsidP="00B576F5">
            <w:pPr>
              <w:pStyle w:val="ListParagraph"/>
              <w:ind w:left="360"/>
            </w:pPr>
            <w:r w:rsidRPr="00AA4BD7">
              <w:rPr>
                <w:b/>
              </w:rPr>
              <w:t>T</w:t>
            </w:r>
            <w:r w:rsidR="002D2F65">
              <w:rPr>
                <w:b/>
              </w:rPr>
              <w:t xml:space="preserve">hames </w:t>
            </w:r>
            <w:r w:rsidRPr="00AA4BD7">
              <w:rPr>
                <w:b/>
              </w:rPr>
              <w:t>V</w:t>
            </w:r>
            <w:r w:rsidR="002D2F65">
              <w:rPr>
                <w:b/>
              </w:rPr>
              <w:t xml:space="preserve">alley  </w:t>
            </w:r>
            <w:r w:rsidRPr="00AA4BD7">
              <w:rPr>
                <w:b/>
              </w:rPr>
              <w:t>V</w:t>
            </w:r>
            <w:r w:rsidR="002D2F65">
              <w:rPr>
                <w:b/>
              </w:rPr>
              <w:t>ision</w:t>
            </w:r>
          </w:p>
        </w:tc>
      </w:tr>
      <w:tr w:rsidR="00640CA5" w14:paraId="5D44320D" w14:textId="77777777" w:rsidTr="004F45FE">
        <w:tc>
          <w:tcPr>
            <w:tcW w:w="6487" w:type="dxa"/>
            <w:shd w:val="clear" w:color="auto" w:fill="auto"/>
          </w:tcPr>
          <w:p w14:paraId="3365609A" w14:textId="77777777" w:rsidR="00640CA5" w:rsidRPr="00AA4BD7" w:rsidRDefault="00640CA5" w:rsidP="00BC379E">
            <w:pPr>
              <w:contextualSpacing/>
              <w:rPr>
                <w:b/>
              </w:rPr>
            </w:pPr>
            <w:r w:rsidRPr="00AA4BD7">
              <w:t>There is a need to balance customers expectation of hot water availability wit</w:t>
            </w:r>
            <w:r>
              <w:t>h what is needed on the network</w:t>
            </w:r>
          </w:p>
        </w:tc>
        <w:tc>
          <w:tcPr>
            <w:tcW w:w="2755" w:type="dxa"/>
            <w:shd w:val="clear" w:color="auto" w:fill="auto"/>
          </w:tcPr>
          <w:p w14:paraId="5337D3B4" w14:textId="77777777" w:rsidR="00640CA5" w:rsidRDefault="00640CA5" w:rsidP="00640CA5">
            <w:pPr>
              <w:pStyle w:val="ListParagraph"/>
              <w:numPr>
                <w:ilvl w:val="0"/>
                <w:numId w:val="2"/>
              </w:numPr>
            </w:pPr>
            <w:r>
              <w:t>Consumer Protection</w:t>
            </w:r>
          </w:p>
          <w:p w14:paraId="1FC17F7A" w14:textId="77777777" w:rsidR="00640CA5" w:rsidRDefault="00640CA5" w:rsidP="00640CA5">
            <w:pPr>
              <w:pStyle w:val="ListParagraph"/>
              <w:numPr>
                <w:ilvl w:val="0"/>
                <w:numId w:val="2"/>
              </w:numPr>
            </w:pPr>
            <w:r>
              <w:t>Distribution of Value</w:t>
            </w:r>
          </w:p>
        </w:tc>
      </w:tr>
      <w:tr w:rsidR="00B576F5" w14:paraId="05F1A4F3" w14:textId="77777777" w:rsidTr="004F45FE">
        <w:tc>
          <w:tcPr>
            <w:tcW w:w="9242" w:type="dxa"/>
            <w:gridSpan w:val="2"/>
            <w:shd w:val="clear" w:color="auto" w:fill="auto"/>
          </w:tcPr>
          <w:p w14:paraId="1C41088C" w14:textId="66DE1F6F" w:rsidR="00B576F5" w:rsidRDefault="00B576F5" w:rsidP="002D2F65">
            <w:pPr>
              <w:pStyle w:val="ListParagraph"/>
              <w:ind w:left="360"/>
            </w:pPr>
            <w:r w:rsidRPr="00B576F5">
              <w:rPr>
                <w:b/>
              </w:rPr>
              <w:t xml:space="preserve">Nines </w:t>
            </w:r>
          </w:p>
        </w:tc>
      </w:tr>
      <w:tr w:rsidR="00B576F5" w14:paraId="4050B1DD" w14:textId="77777777" w:rsidTr="004F45FE">
        <w:tc>
          <w:tcPr>
            <w:tcW w:w="6487" w:type="dxa"/>
            <w:shd w:val="clear" w:color="auto" w:fill="auto"/>
          </w:tcPr>
          <w:p w14:paraId="2251B9B3" w14:textId="77777777" w:rsidR="00B576F5" w:rsidRPr="00AA4BD7" w:rsidRDefault="00B576F5" w:rsidP="00BC379E">
            <w:pPr>
              <w:contextualSpacing/>
            </w:pPr>
            <w:r w:rsidRPr="00B576F5">
              <w:t>Responsibility of maintenance/fixing of equipment</w:t>
            </w:r>
          </w:p>
        </w:tc>
        <w:tc>
          <w:tcPr>
            <w:tcW w:w="2755" w:type="dxa"/>
            <w:shd w:val="clear" w:color="auto" w:fill="auto"/>
          </w:tcPr>
          <w:p w14:paraId="344DBD14" w14:textId="77777777" w:rsidR="00B576F5" w:rsidRDefault="00B576F5" w:rsidP="00B576F5">
            <w:pPr>
              <w:pStyle w:val="ListParagraph"/>
              <w:numPr>
                <w:ilvl w:val="0"/>
                <w:numId w:val="2"/>
              </w:numPr>
            </w:pPr>
            <w:r>
              <w:t>Consumer Protection</w:t>
            </w:r>
          </w:p>
          <w:p w14:paraId="255B72D2" w14:textId="77777777" w:rsidR="00B576F5" w:rsidRDefault="00B576F5" w:rsidP="00B576F5">
            <w:pPr>
              <w:pStyle w:val="ListParagraph"/>
              <w:numPr>
                <w:ilvl w:val="0"/>
                <w:numId w:val="2"/>
              </w:numPr>
            </w:pPr>
            <w:r>
              <w:t>Distribution of value</w:t>
            </w:r>
          </w:p>
        </w:tc>
      </w:tr>
      <w:tr w:rsidR="00640CA5" w14:paraId="2160C6AE" w14:textId="77777777" w:rsidTr="004F45FE">
        <w:tc>
          <w:tcPr>
            <w:tcW w:w="6487" w:type="dxa"/>
            <w:shd w:val="clear" w:color="auto" w:fill="auto"/>
          </w:tcPr>
          <w:p w14:paraId="25E0E334" w14:textId="137B23EB" w:rsidR="00640CA5" w:rsidRPr="00602780" w:rsidRDefault="00640CA5" w:rsidP="002B42B4">
            <w:pPr>
              <w:contextualSpacing/>
            </w:pPr>
            <w:r w:rsidRPr="00602780">
              <w:t xml:space="preserve">There are arrangements in place for the end of each trial, which has been set out in the consumer engagement strategy. Once consumers come off these trials, they will revert to the original tariff they were on. </w:t>
            </w:r>
            <w:r w:rsidR="002B42B4">
              <w:t xml:space="preserve"> Customers may be charged more under this tariff and so thought needs to be given to enduring arrangements. </w:t>
            </w:r>
          </w:p>
        </w:tc>
        <w:tc>
          <w:tcPr>
            <w:tcW w:w="2755" w:type="dxa"/>
            <w:shd w:val="clear" w:color="auto" w:fill="auto"/>
          </w:tcPr>
          <w:p w14:paraId="3F790926" w14:textId="35F71C85" w:rsidR="00640CA5" w:rsidRDefault="002B42B4" w:rsidP="002B42B4">
            <w:pPr>
              <w:pStyle w:val="ListParagraph"/>
              <w:numPr>
                <w:ilvl w:val="0"/>
                <w:numId w:val="8"/>
              </w:numPr>
            </w:pPr>
            <w:r>
              <w:t>SSE to propose solution in consultation with C</w:t>
            </w:r>
            <w:r w:rsidR="00640CA5" w:rsidRPr="00602780">
              <w:t>onsumer Protection</w:t>
            </w:r>
            <w:r>
              <w:t xml:space="preserve"> group</w:t>
            </w:r>
          </w:p>
        </w:tc>
      </w:tr>
      <w:tr w:rsidR="002D2F65" w14:paraId="4F1D6F21" w14:textId="77777777" w:rsidTr="004F45FE">
        <w:tc>
          <w:tcPr>
            <w:tcW w:w="9242" w:type="dxa"/>
            <w:gridSpan w:val="2"/>
            <w:shd w:val="clear" w:color="auto" w:fill="auto"/>
          </w:tcPr>
          <w:p w14:paraId="66867402" w14:textId="1B286BC9" w:rsidR="002D2F65" w:rsidRDefault="002D2F65" w:rsidP="002D2F65">
            <w:pPr>
              <w:pStyle w:val="ListParagraph"/>
              <w:ind w:left="360"/>
            </w:pPr>
            <w:r>
              <w:rPr>
                <w:b/>
              </w:rPr>
              <w:t>ARC</w:t>
            </w:r>
          </w:p>
        </w:tc>
      </w:tr>
      <w:tr w:rsidR="002D2F65" w14:paraId="55791225" w14:textId="77777777" w:rsidTr="004F45FE">
        <w:tc>
          <w:tcPr>
            <w:tcW w:w="6487" w:type="dxa"/>
            <w:shd w:val="clear" w:color="auto" w:fill="auto"/>
          </w:tcPr>
          <w:p w14:paraId="373D2F3D" w14:textId="22A1487A" w:rsidR="002D2F65" w:rsidRPr="00AA4BD7" w:rsidRDefault="00DF78A9" w:rsidP="002D2F65">
            <w:pPr>
              <w:contextualSpacing/>
              <w:rPr>
                <w:b/>
              </w:rPr>
            </w:pPr>
            <w:r>
              <w:t xml:space="preserve">The connection charging tool doesn’t include an updates for the impact of </w:t>
            </w:r>
            <w:proofErr w:type="spellStart"/>
            <w:r>
              <w:t>microgeneration</w:t>
            </w:r>
            <w:proofErr w:type="spellEnd"/>
            <w:r>
              <w:t>. It was felt that this should be added</w:t>
            </w:r>
          </w:p>
        </w:tc>
        <w:tc>
          <w:tcPr>
            <w:tcW w:w="2755" w:type="dxa"/>
            <w:shd w:val="clear" w:color="auto" w:fill="auto"/>
          </w:tcPr>
          <w:p w14:paraId="414A005E" w14:textId="09725B0B" w:rsidR="002D2F65" w:rsidRDefault="00DF78A9" w:rsidP="00DF78A9">
            <w:pPr>
              <w:pStyle w:val="ListParagraph"/>
              <w:ind w:left="34"/>
            </w:pPr>
            <w:r>
              <w:t>SPEN to keep the DG &amp; Storage subgroup updated</w:t>
            </w:r>
          </w:p>
          <w:p w14:paraId="4EFCDB62" w14:textId="031B7045" w:rsidR="002D2F65" w:rsidRDefault="002D2F65" w:rsidP="00DF78A9"/>
        </w:tc>
      </w:tr>
    </w:tbl>
    <w:p w14:paraId="1E682BF8" w14:textId="66378A1D" w:rsidR="00284A98" w:rsidRPr="00DF78A9" w:rsidRDefault="00DF78A9">
      <w:pPr>
        <w:rPr>
          <w:b/>
          <w:u w:val="single"/>
        </w:rPr>
      </w:pPr>
      <w:r w:rsidRPr="00DF78A9">
        <w:rPr>
          <w:b/>
          <w:u w:val="single"/>
        </w:rPr>
        <w:lastRenderedPageBreak/>
        <w:t>16 October event</w:t>
      </w:r>
    </w:p>
    <w:tbl>
      <w:tblPr>
        <w:tblStyle w:val="TableGrid"/>
        <w:tblW w:w="9606" w:type="dxa"/>
        <w:tblLook w:val="04A0" w:firstRow="1" w:lastRow="0" w:firstColumn="1" w:lastColumn="0" w:noHBand="0" w:noVBand="1"/>
      </w:tblPr>
      <w:tblGrid>
        <w:gridCol w:w="6487"/>
        <w:gridCol w:w="3119"/>
      </w:tblGrid>
      <w:tr w:rsidR="00284A98" w14:paraId="04EBF204" w14:textId="77777777" w:rsidTr="004F45FE">
        <w:tc>
          <w:tcPr>
            <w:tcW w:w="6487" w:type="dxa"/>
            <w:shd w:val="clear" w:color="auto" w:fill="auto"/>
          </w:tcPr>
          <w:p w14:paraId="379F5F2B" w14:textId="36D41CC3" w:rsidR="00284A98" w:rsidRPr="00BC379E" w:rsidRDefault="00DE1D5A" w:rsidP="00DE1D5A">
            <w:pPr>
              <w:rPr>
                <w:b/>
              </w:rPr>
            </w:pPr>
            <w:r>
              <w:rPr>
                <w:b/>
              </w:rPr>
              <w:t>Learning points</w:t>
            </w:r>
            <w:r w:rsidR="00284A98" w:rsidRPr="00BC379E">
              <w:rPr>
                <w:b/>
              </w:rPr>
              <w:t xml:space="preserve"> </w:t>
            </w:r>
          </w:p>
        </w:tc>
        <w:tc>
          <w:tcPr>
            <w:tcW w:w="3119" w:type="dxa"/>
            <w:shd w:val="clear" w:color="auto" w:fill="auto"/>
          </w:tcPr>
          <w:p w14:paraId="7812D114" w14:textId="77777777" w:rsidR="00284A98" w:rsidRPr="00BC379E" w:rsidRDefault="00284A98" w:rsidP="002D2F65">
            <w:pPr>
              <w:rPr>
                <w:b/>
              </w:rPr>
            </w:pPr>
            <w:r w:rsidRPr="00BC379E">
              <w:rPr>
                <w:b/>
              </w:rPr>
              <w:t>Subgroup</w:t>
            </w:r>
            <w:r>
              <w:rPr>
                <w:b/>
              </w:rPr>
              <w:t>(s)</w:t>
            </w:r>
            <w:r w:rsidRPr="00BC379E">
              <w:rPr>
                <w:b/>
              </w:rPr>
              <w:t xml:space="preserve"> that will investigate</w:t>
            </w:r>
            <w:r w:rsidR="00855692">
              <w:rPr>
                <w:b/>
              </w:rPr>
              <w:t>?</w:t>
            </w:r>
          </w:p>
        </w:tc>
      </w:tr>
      <w:tr w:rsidR="00284A98" w14:paraId="068B4AE0" w14:textId="77777777" w:rsidTr="004F45FE">
        <w:tc>
          <w:tcPr>
            <w:tcW w:w="9606" w:type="dxa"/>
            <w:gridSpan w:val="2"/>
            <w:shd w:val="clear" w:color="auto" w:fill="auto"/>
          </w:tcPr>
          <w:p w14:paraId="6AB03FC5" w14:textId="77777777" w:rsidR="00284A98" w:rsidRPr="00D83903" w:rsidRDefault="00D83903" w:rsidP="00D83903">
            <w:pPr>
              <w:rPr>
                <w:b/>
              </w:rPr>
            </w:pPr>
            <w:r>
              <w:rPr>
                <w:b/>
              </w:rPr>
              <w:t xml:space="preserve">       </w:t>
            </w:r>
            <w:r w:rsidR="00284A98" w:rsidRPr="00D83903">
              <w:rPr>
                <w:b/>
              </w:rPr>
              <w:t>C</w:t>
            </w:r>
            <w:r w:rsidR="005812C4" w:rsidRPr="00D83903">
              <w:rPr>
                <w:b/>
              </w:rPr>
              <w:t xml:space="preserve">ustomer </w:t>
            </w:r>
            <w:r w:rsidR="00284A98" w:rsidRPr="00D83903">
              <w:rPr>
                <w:b/>
              </w:rPr>
              <w:t>L</w:t>
            </w:r>
            <w:r w:rsidR="005812C4" w:rsidRPr="00D83903">
              <w:rPr>
                <w:b/>
              </w:rPr>
              <w:t xml:space="preserve">ed </w:t>
            </w:r>
            <w:r w:rsidR="00284A98" w:rsidRPr="00D83903">
              <w:rPr>
                <w:b/>
              </w:rPr>
              <w:t>N</w:t>
            </w:r>
            <w:r w:rsidR="005812C4" w:rsidRPr="00D83903">
              <w:rPr>
                <w:b/>
              </w:rPr>
              <w:t xml:space="preserve">etwork </w:t>
            </w:r>
            <w:r w:rsidR="00284A98" w:rsidRPr="00D83903">
              <w:rPr>
                <w:b/>
              </w:rPr>
              <w:t>R</w:t>
            </w:r>
            <w:r w:rsidR="005812C4" w:rsidRPr="00D83903">
              <w:rPr>
                <w:b/>
              </w:rPr>
              <w:t>evolution</w:t>
            </w:r>
          </w:p>
        </w:tc>
      </w:tr>
      <w:tr w:rsidR="00284A98" w14:paraId="2DBC6E4D" w14:textId="77777777" w:rsidTr="004F45FE">
        <w:tc>
          <w:tcPr>
            <w:tcW w:w="6487" w:type="dxa"/>
            <w:shd w:val="clear" w:color="auto" w:fill="auto"/>
          </w:tcPr>
          <w:p w14:paraId="28C432D7" w14:textId="379AC7FD" w:rsidR="00284A98" w:rsidRDefault="00284A98" w:rsidP="001B0EBD">
            <w:r w:rsidRPr="00EC13F4">
              <w:t xml:space="preserve"> </w:t>
            </w:r>
            <w:r>
              <w:t xml:space="preserve">40% of customers </w:t>
            </w:r>
            <w:r w:rsidR="001B0EBD">
              <w:t>would have been worse off through</w:t>
            </w:r>
            <w:r>
              <w:t xml:space="preserve"> </w:t>
            </w:r>
            <w:r w:rsidR="001B0EBD">
              <w:t xml:space="preserve">the </w:t>
            </w:r>
            <w:r>
              <w:t xml:space="preserve">ToU </w:t>
            </w:r>
            <w:r w:rsidR="001B0EBD">
              <w:t xml:space="preserve">on the </w:t>
            </w:r>
            <w:r>
              <w:t>trial. Need to understand if wider system savings would counterbalance this.</w:t>
            </w:r>
          </w:p>
        </w:tc>
        <w:tc>
          <w:tcPr>
            <w:tcW w:w="3119" w:type="dxa"/>
            <w:shd w:val="clear" w:color="auto" w:fill="auto"/>
          </w:tcPr>
          <w:p w14:paraId="09DF362E" w14:textId="77777777" w:rsidR="00284A98" w:rsidRDefault="00284A98" w:rsidP="002D2F65">
            <w:pPr>
              <w:pStyle w:val="ListParagraph"/>
              <w:numPr>
                <w:ilvl w:val="0"/>
                <w:numId w:val="2"/>
              </w:numPr>
            </w:pPr>
            <w:r>
              <w:t>Distribution of Value</w:t>
            </w:r>
          </w:p>
          <w:p w14:paraId="532E2E8B" w14:textId="77777777" w:rsidR="00284A98" w:rsidRDefault="00284A98" w:rsidP="00284A98">
            <w:pPr>
              <w:pStyle w:val="ListParagraph"/>
              <w:numPr>
                <w:ilvl w:val="0"/>
                <w:numId w:val="2"/>
              </w:numPr>
            </w:pPr>
            <w:r>
              <w:t>Consumer Protection</w:t>
            </w:r>
          </w:p>
        </w:tc>
      </w:tr>
      <w:tr w:rsidR="00284A98" w14:paraId="7AD0B6FB" w14:textId="77777777" w:rsidTr="004F45FE">
        <w:tc>
          <w:tcPr>
            <w:tcW w:w="6487" w:type="dxa"/>
            <w:shd w:val="clear" w:color="auto" w:fill="auto"/>
          </w:tcPr>
          <w:p w14:paraId="30E057B7" w14:textId="77777777" w:rsidR="00284A98" w:rsidRPr="00284A98" w:rsidRDefault="00284A98" w:rsidP="002D2F65">
            <w:r>
              <w:t>Trial produced a 10% peak reduction and an average saving of 3%. Worth sharing this experien</w:t>
            </w:r>
            <w:r w:rsidR="003A3592">
              <w:t>ce with LCL and understanding locations where it could be applied in the future</w:t>
            </w:r>
          </w:p>
        </w:tc>
        <w:tc>
          <w:tcPr>
            <w:tcW w:w="3119" w:type="dxa"/>
            <w:shd w:val="clear" w:color="auto" w:fill="auto"/>
          </w:tcPr>
          <w:p w14:paraId="2991D5DB" w14:textId="77777777" w:rsidR="00284A98" w:rsidRDefault="00284A98" w:rsidP="002D2F65">
            <w:pPr>
              <w:pStyle w:val="ListParagraph"/>
              <w:numPr>
                <w:ilvl w:val="0"/>
                <w:numId w:val="2"/>
              </w:numPr>
            </w:pPr>
            <w:r>
              <w:t>Distribution of Value</w:t>
            </w:r>
          </w:p>
          <w:p w14:paraId="5AC60C3F" w14:textId="77777777" w:rsidR="00284A98" w:rsidRDefault="00284A98" w:rsidP="003A3592">
            <w:pPr>
              <w:pStyle w:val="ListParagraph"/>
              <w:ind w:left="360"/>
            </w:pPr>
          </w:p>
        </w:tc>
      </w:tr>
      <w:tr w:rsidR="006F2FCC" w14:paraId="2DCC6912" w14:textId="77777777" w:rsidTr="004F45FE">
        <w:tc>
          <w:tcPr>
            <w:tcW w:w="6487" w:type="dxa"/>
            <w:shd w:val="clear" w:color="auto" w:fill="auto"/>
          </w:tcPr>
          <w:p w14:paraId="76AA37C9" w14:textId="553C4CF2" w:rsidR="006F2FCC" w:rsidRDefault="006F2FCC" w:rsidP="00230489">
            <w:r>
              <w:t>I&amp;C:</w:t>
            </w:r>
          </w:p>
          <w:p w14:paraId="48AE0108" w14:textId="7B2B17BF" w:rsidR="006F2FCC" w:rsidRDefault="006F2FCC" w:rsidP="00230489">
            <w:r>
              <w:t>Engagement direct with customers and via aggregators</w:t>
            </w:r>
          </w:p>
          <w:p w14:paraId="6063E1B4" w14:textId="6EFE39A7" w:rsidR="006F2FCC" w:rsidRDefault="006F2FCC" w:rsidP="002D2F65">
            <w:r>
              <w:t xml:space="preserve">Implications of different contract forms and response types for notification and learning on feedback on level and timing of response provided through </w:t>
            </w:r>
            <w:proofErr w:type="spellStart"/>
            <w:r>
              <w:t>Flexitricity</w:t>
            </w:r>
            <w:proofErr w:type="spellEnd"/>
          </w:p>
        </w:tc>
        <w:tc>
          <w:tcPr>
            <w:tcW w:w="3119" w:type="dxa"/>
            <w:shd w:val="clear" w:color="auto" w:fill="auto"/>
          </w:tcPr>
          <w:p w14:paraId="3F3AF2A6" w14:textId="77777777" w:rsidR="006F2FCC" w:rsidRDefault="006F2FCC" w:rsidP="006F2FCC">
            <w:pPr>
              <w:pStyle w:val="ListParagraph"/>
              <w:ind w:left="360"/>
            </w:pPr>
          </w:p>
          <w:p w14:paraId="5D9B805F" w14:textId="77777777" w:rsidR="006F2FCC" w:rsidRDefault="006F2FCC" w:rsidP="00230489">
            <w:pPr>
              <w:pStyle w:val="ListParagraph"/>
              <w:numPr>
                <w:ilvl w:val="0"/>
                <w:numId w:val="2"/>
              </w:numPr>
            </w:pPr>
            <w:r>
              <w:t>Consumer participation group</w:t>
            </w:r>
          </w:p>
          <w:p w14:paraId="72D69985" w14:textId="2FAF312C" w:rsidR="006F2FCC" w:rsidRDefault="006F2FCC" w:rsidP="004F79A2">
            <w:pPr>
              <w:pStyle w:val="ListParagraph"/>
              <w:numPr>
                <w:ilvl w:val="0"/>
                <w:numId w:val="2"/>
              </w:numPr>
            </w:pPr>
            <w:r>
              <w:t>Visibility</w:t>
            </w:r>
          </w:p>
        </w:tc>
      </w:tr>
      <w:tr w:rsidR="004F79A2" w14:paraId="3197495D" w14:textId="77777777" w:rsidTr="004F45FE">
        <w:tc>
          <w:tcPr>
            <w:tcW w:w="6487" w:type="dxa"/>
            <w:shd w:val="clear" w:color="auto" w:fill="auto"/>
          </w:tcPr>
          <w:p w14:paraId="6038D182" w14:textId="6C77A4E1" w:rsidR="004F79A2" w:rsidRDefault="004F79A2" w:rsidP="00230489">
            <w:r>
              <w:t>Learning on different forms of contract (benchmark vs floor) incentivising response and overall level of pricing comparable to STOR</w:t>
            </w:r>
          </w:p>
        </w:tc>
        <w:tc>
          <w:tcPr>
            <w:tcW w:w="3119" w:type="dxa"/>
            <w:shd w:val="clear" w:color="auto" w:fill="auto"/>
          </w:tcPr>
          <w:p w14:paraId="64625F4B" w14:textId="77777777" w:rsidR="004F79A2" w:rsidRDefault="004F79A2" w:rsidP="00230489">
            <w:pPr>
              <w:pStyle w:val="ListParagraph"/>
              <w:ind w:left="360"/>
            </w:pPr>
          </w:p>
          <w:p w14:paraId="7ECA4A74" w14:textId="0B24BBF9" w:rsidR="004F79A2" w:rsidRDefault="004F79A2" w:rsidP="004F79A2">
            <w:pPr>
              <w:pStyle w:val="ListParagraph"/>
              <w:numPr>
                <w:ilvl w:val="0"/>
                <w:numId w:val="2"/>
              </w:numPr>
            </w:pPr>
            <w:r>
              <w:t>Distribution of Value</w:t>
            </w:r>
          </w:p>
        </w:tc>
      </w:tr>
      <w:tr w:rsidR="004F79A2" w14:paraId="4F348943" w14:textId="77777777" w:rsidTr="004F45FE">
        <w:tc>
          <w:tcPr>
            <w:tcW w:w="9606" w:type="dxa"/>
            <w:gridSpan w:val="2"/>
            <w:shd w:val="clear" w:color="auto" w:fill="auto"/>
          </w:tcPr>
          <w:p w14:paraId="3408C32E" w14:textId="77777777" w:rsidR="004F79A2" w:rsidRPr="005812C4" w:rsidRDefault="004F79A2" w:rsidP="005812C4">
            <w:pPr>
              <w:pStyle w:val="ListParagraph"/>
              <w:ind w:left="360"/>
              <w:rPr>
                <w:b/>
              </w:rPr>
            </w:pPr>
            <w:r w:rsidRPr="005812C4">
              <w:rPr>
                <w:b/>
              </w:rPr>
              <w:t>Low Carbon London</w:t>
            </w:r>
          </w:p>
        </w:tc>
      </w:tr>
      <w:tr w:rsidR="004F79A2" w14:paraId="1697148F" w14:textId="77777777" w:rsidTr="004F45FE">
        <w:tc>
          <w:tcPr>
            <w:tcW w:w="6487" w:type="dxa"/>
            <w:shd w:val="clear" w:color="auto" w:fill="auto"/>
          </w:tcPr>
          <w:p w14:paraId="566E19AF" w14:textId="363DBD97" w:rsidR="004F79A2" w:rsidRDefault="004F79A2" w:rsidP="002D2F65">
            <w:r>
              <w:t xml:space="preserve">Should DNOs release data on G83 and G59 installs to other parties? This would allow other parties to know who had flexible load. </w:t>
            </w:r>
          </w:p>
          <w:p w14:paraId="58DC2D95" w14:textId="77777777" w:rsidR="004F79A2" w:rsidRDefault="004F79A2" w:rsidP="002D2F65"/>
        </w:tc>
        <w:tc>
          <w:tcPr>
            <w:tcW w:w="3119" w:type="dxa"/>
            <w:shd w:val="clear" w:color="auto" w:fill="auto"/>
          </w:tcPr>
          <w:p w14:paraId="799F147B" w14:textId="77777777" w:rsidR="004F79A2" w:rsidRDefault="004F79A2" w:rsidP="002D2F65">
            <w:pPr>
              <w:pStyle w:val="ListParagraph"/>
              <w:numPr>
                <w:ilvl w:val="0"/>
                <w:numId w:val="2"/>
              </w:numPr>
            </w:pPr>
            <w:r>
              <w:t>Visibility</w:t>
            </w:r>
          </w:p>
          <w:p w14:paraId="11CD9342" w14:textId="66E1AF96" w:rsidR="004F79A2" w:rsidRDefault="004F79A2" w:rsidP="002D2F65">
            <w:pPr>
              <w:pStyle w:val="ListParagraph"/>
              <w:numPr>
                <w:ilvl w:val="0"/>
                <w:numId w:val="2"/>
              </w:numPr>
            </w:pPr>
            <w:r>
              <w:t>Consumer Protection</w:t>
            </w:r>
          </w:p>
        </w:tc>
      </w:tr>
      <w:tr w:rsidR="004F79A2" w14:paraId="34773FAF" w14:textId="77777777" w:rsidTr="004F45FE">
        <w:tc>
          <w:tcPr>
            <w:tcW w:w="6487" w:type="dxa"/>
            <w:shd w:val="clear" w:color="auto" w:fill="auto"/>
          </w:tcPr>
          <w:p w14:paraId="3CFC73A9" w14:textId="24E05672" w:rsidR="004F79A2" w:rsidRDefault="004F79A2" w:rsidP="002D2F65">
            <w:r>
              <w:t>DNOs may ToU tariff to be mandatory to secure a sufficient level of re</w:t>
            </w:r>
            <w:r w:rsidR="00471826">
              <w:t>s</w:t>
            </w:r>
            <w:r>
              <w:t>ponse to avoid reinforcement</w:t>
            </w:r>
          </w:p>
        </w:tc>
        <w:tc>
          <w:tcPr>
            <w:tcW w:w="3119" w:type="dxa"/>
            <w:shd w:val="clear" w:color="auto" w:fill="auto"/>
          </w:tcPr>
          <w:p w14:paraId="3BEDFFB3" w14:textId="77777777" w:rsidR="004F79A2" w:rsidRDefault="004F79A2" w:rsidP="00855692">
            <w:pPr>
              <w:pStyle w:val="ListParagraph"/>
              <w:numPr>
                <w:ilvl w:val="0"/>
                <w:numId w:val="2"/>
              </w:numPr>
            </w:pPr>
            <w:r>
              <w:t>Consumer Protection</w:t>
            </w:r>
          </w:p>
        </w:tc>
      </w:tr>
      <w:tr w:rsidR="004F79A2" w14:paraId="3C18F6E6" w14:textId="77777777" w:rsidTr="004F45FE">
        <w:tc>
          <w:tcPr>
            <w:tcW w:w="6487" w:type="dxa"/>
            <w:shd w:val="clear" w:color="auto" w:fill="auto"/>
          </w:tcPr>
          <w:p w14:paraId="46F07CB6" w14:textId="62C30EB4" w:rsidR="004F79A2" w:rsidRPr="00D83903" w:rsidRDefault="004F79A2" w:rsidP="002D2F65">
            <w:pPr>
              <w:rPr>
                <w:b/>
              </w:rPr>
            </w:pPr>
            <w:r>
              <w:t>Trial paid prices higher than STOR and UK</w:t>
            </w:r>
            <w:bookmarkStart w:id="0" w:name="_GoBack"/>
            <w:bookmarkEnd w:id="0"/>
            <w:r>
              <w:t xml:space="preserve">PN confident they can compete with STOR prices. </w:t>
            </w:r>
          </w:p>
        </w:tc>
        <w:tc>
          <w:tcPr>
            <w:tcW w:w="3119" w:type="dxa"/>
            <w:shd w:val="clear" w:color="auto" w:fill="auto"/>
          </w:tcPr>
          <w:p w14:paraId="7017FBCF" w14:textId="77777777" w:rsidR="004F79A2" w:rsidRDefault="004F79A2" w:rsidP="002D2F65">
            <w:r>
              <w:t xml:space="preserve">UKPN to feed into </w:t>
            </w:r>
          </w:p>
          <w:p w14:paraId="027776E6" w14:textId="63242E08" w:rsidR="004F79A2" w:rsidRPr="002D2F65" w:rsidRDefault="004F79A2" w:rsidP="002D2F65">
            <w:pPr>
              <w:pStyle w:val="ListParagraph"/>
              <w:numPr>
                <w:ilvl w:val="0"/>
                <w:numId w:val="2"/>
              </w:numPr>
              <w:rPr>
                <w:b/>
              </w:rPr>
            </w:pPr>
            <w:r>
              <w:t>Distribution of Value</w:t>
            </w:r>
          </w:p>
        </w:tc>
      </w:tr>
      <w:tr w:rsidR="004F79A2" w14:paraId="47B13DDD" w14:textId="77777777" w:rsidTr="004F45FE">
        <w:tc>
          <w:tcPr>
            <w:tcW w:w="6487" w:type="dxa"/>
            <w:shd w:val="clear" w:color="auto" w:fill="auto"/>
          </w:tcPr>
          <w:p w14:paraId="4E5CF022" w14:textId="35388BC1" w:rsidR="004F79A2" w:rsidRPr="00D83903" w:rsidRDefault="004F79A2" w:rsidP="00D83903">
            <w:pPr>
              <w:rPr>
                <w:b/>
              </w:rPr>
            </w:pPr>
            <w:r>
              <w:t>Research shows that 20% of conflict events may have a negative impact on DNOs. To feed analysis on conflicts and synergies between DNO &amp; supplier DSR to Distribution of value group</w:t>
            </w:r>
          </w:p>
        </w:tc>
        <w:tc>
          <w:tcPr>
            <w:tcW w:w="3119" w:type="dxa"/>
            <w:shd w:val="clear" w:color="auto" w:fill="auto"/>
          </w:tcPr>
          <w:p w14:paraId="666F53C7" w14:textId="77777777" w:rsidR="004F79A2" w:rsidRDefault="004F79A2" w:rsidP="002D2F65">
            <w:pPr>
              <w:pStyle w:val="ListParagraph"/>
              <w:numPr>
                <w:ilvl w:val="0"/>
                <w:numId w:val="2"/>
              </w:numPr>
            </w:pPr>
            <w:r>
              <w:t>Distribution of Value</w:t>
            </w:r>
          </w:p>
          <w:p w14:paraId="57EDEC4F" w14:textId="77777777" w:rsidR="004F79A2" w:rsidRDefault="004F79A2" w:rsidP="002D2F65">
            <w:pPr>
              <w:pStyle w:val="ListParagraph"/>
              <w:numPr>
                <w:ilvl w:val="0"/>
                <w:numId w:val="2"/>
              </w:numPr>
            </w:pPr>
            <w:r>
              <w:t>DG and Storage</w:t>
            </w:r>
          </w:p>
          <w:p w14:paraId="77E5D88B" w14:textId="5D8F6592" w:rsidR="004F79A2" w:rsidRPr="002D2F65" w:rsidRDefault="004F79A2" w:rsidP="002D2F65">
            <w:pPr>
              <w:pStyle w:val="ListParagraph"/>
              <w:numPr>
                <w:ilvl w:val="0"/>
                <w:numId w:val="2"/>
              </w:numPr>
              <w:rPr>
                <w:b/>
              </w:rPr>
            </w:pPr>
            <w:r>
              <w:t>Visibility</w:t>
            </w:r>
          </w:p>
        </w:tc>
      </w:tr>
      <w:tr w:rsidR="004F79A2" w14:paraId="278F899F" w14:textId="77777777" w:rsidTr="004F45FE">
        <w:tc>
          <w:tcPr>
            <w:tcW w:w="6487" w:type="dxa"/>
            <w:shd w:val="clear" w:color="auto" w:fill="auto"/>
          </w:tcPr>
          <w:p w14:paraId="24A35D0F" w14:textId="613867D5" w:rsidR="004F79A2" w:rsidRPr="00D83903" w:rsidRDefault="004F79A2" w:rsidP="00D83903">
            <w:pPr>
              <w:rPr>
                <w:b/>
              </w:rPr>
            </w:pPr>
            <w:r>
              <w:t>DNOs will need a robust process for heat pump notification. Current process is linked to RHI but there may need to be adapted</w:t>
            </w:r>
          </w:p>
        </w:tc>
        <w:tc>
          <w:tcPr>
            <w:tcW w:w="3119" w:type="dxa"/>
            <w:shd w:val="clear" w:color="auto" w:fill="auto"/>
          </w:tcPr>
          <w:p w14:paraId="24C4A8E1" w14:textId="4BF42F65" w:rsidR="004F79A2" w:rsidRPr="002D2F65" w:rsidRDefault="004F79A2" w:rsidP="002D2F65">
            <w:pPr>
              <w:pStyle w:val="ListParagraph"/>
              <w:numPr>
                <w:ilvl w:val="0"/>
                <w:numId w:val="11"/>
              </w:numPr>
              <w:ind w:left="317" w:hanging="283"/>
              <w:rPr>
                <w:b/>
              </w:rPr>
            </w:pPr>
            <w:r>
              <w:t>Visibility</w:t>
            </w:r>
          </w:p>
        </w:tc>
      </w:tr>
      <w:tr w:rsidR="004F79A2" w14:paraId="7EB1CFCB" w14:textId="77777777" w:rsidTr="004F45FE">
        <w:tc>
          <w:tcPr>
            <w:tcW w:w="9606" w:type="dxa"/>
            <w:gridSpan w:val="2"/>
            <w:shd w:val="clear" w:color="auto" w:fill="auto"/>
          </w:tcPr>
          <w:p w14:paraId="5DD2E541" w14:textId="77777777" w:rsidR="004F79A2" w:rsidRPr="00D83903" w:rsidRDefault="004F79A2" w:rsidP="00D83903">
            <w:pPr>
              <w:rPr>
                <w:b/>
              </w:rPr>
            </w:pPr>
            <w:r w:rsidRPr="00D83903">
              <w:rPr>
                <w:b/>
              </w:rPr>
              <w:t xml:space="preserve">       Sola Bristol</w:t>
            </w:r>
          </w:p>
        </w:tc>
      </w:tr>
      <w:tr w:rsidR="004F79A2" w14:paraId="1F1379BD" w14:textId="77777777" w:rsidTr="004F45FE">
        <w:tc>
          <w:tcPr>
            <w:tcW w:w="6487" w:type="dxa"/>
            <w:shd w:val="clear" w:color="auto" w:fill="auto"/>
          </w:tcPr>
          <w:p w14:paraId="067D8F24" w14:textId="77777777" w:rsidR="004F79A2" w:rsidRDefault="004F79A2" w:rsidP="002D2F65">
            <w:r>
              <w:t>One customer claimed that DC lighting saved £5 a week. Worth pursuing further</w:t>
            </w:r>
          </w:p>
        </w:tc>
        <w:tc>
          <w:tcPr>
            <w:tcW w:w="3119" w:type="dxa"/>
            <w:shd w:val="clear" w:color="auto" w:fill="auto"/>
          </w:tcPr>
          <w:p w14:paraId="19E91D3D" w14:textId="77777777" w:rsidR="004F79A2" w:rsidRDefault="004F79A2" w:rsidP="002D2F65">
            <w:pPr>
              <w:pStyle w:val="ListParagraph"/>
              <w:numPr>
                <w:ilvl w:val="0"/>
                <w:numId w:val="2"/>
              </w:numPr>
            </w:pPr>
            <w:r>
              <w:t>WPD to confirm and follow up with Community Energy &amp; Energy efficiency groups</w:t>
            </w:r>
          </w:p>
        </w:tc>
      </w:tr>
      <w:tr w:rsidR="004F79A2" w14:paraId="30436AB6" w14:textId="77777777" w:rsidTr="004F45FE">
        <w:tc>
          <w:tcPr>
            <w:tcW w:w="6487" w:type="dxa"/>
            <w:shd w:val="clear" w:color="auto" w:fill="auto"/>
          </w:tcPr>
          <w:p w14:paraId="49321390" w14:textId="77777777" w:rsidR="004F79A2" w:rsidRDefault="004F79A2" w:rsidP="002D2F65">
            <w:r>
              <w:t>Customers incentivised to join through free equipment (tablet computer) and rebate on the bill. Are these viable propositions for roll-out?</w:t>
            </w:r>
          </w:p>
        </w:tc>
        <w:tc>
          <w:tcPr>
            <w:tcW w:w="3119" w:type="dxa"/>
            <w:shd w:val="clear" w:color="auto" w:fill="auto"/>
          </w:tcPr>
          <w:p w14:paraId="2125553B" w14:textId="77777777" w:rsidR="004F79A2" w:rsidRDefault="004F79A2" w:rsidP="002D2F65">
            <w:pPr>
              <w:pStyle w:val="ListParagraph"/>
              <w:numPr>
                <w:ilvl w:val="0"/>
                <w:numId w:val="2"/>
              </w:numPr>
            </w:pPr>
            <w:r>
              <w:t xml:space="preserve">Consumer protection group </w:t>
            </w:r>
          </w:p>
        </w:tc>
      </w:tr>
      <w:tr w:rsidR="004F79A2" w14:paraId="2CDFAD91" w14:textId="77777777" w:rsidTr="004F45FE">
        <w:tc>
          <w:tcPr>
            <w:tcW w:w="9606" w:type="dxa"/>
            <w:gridSpan w:val="2"/>
            <w:shd w:val="clear" w:color="auto" w:fill="auto"/>
          </w:tcPr>
          <w:p w14:paraId="25619D63" w14:textId="77777777" w:rsidR="004F79A2" w:rsidRPr="007323BA" w:rsidRDefault="004F79A2" w:rsidP="007323BA">
            <w:pPr>
              <w:pStyle w:val="ListParagraph"/>
              <w:ind w:left="360"/>
              <w:rPr>
                <w:b/>
              </w:rPr>
            </w:pPr>
            <w:r w:rsidRPr="007323BA">
              <w:rPr>
                <w:b/>
              </w:rPr>
              <w:t>Customer Load Active System Services</w:t>
            </w:r>
          </w:p>
        </w:tc>
      </w:tr>
      <w:tr w:rsidR="004F79A2" w14:paraId="09FFC936" w14:textId="77777777" w:rsidTr="004F45FE">
        <w:tc>
          <w:tcPr>
            <w:tcW w:w="6487" w:type="dxa"/>
            <w:shd w:val="clear" w:color="auto" w:fill="auto"/>
          </w:tcPr>
          <w:p w14:paraId="1C125BE9" w14:textId="77777777" w:rsidR="004F79A2" w:rsidRDefault="004F79A2" w:rsidP="008721A5">
            <w:r>
              <w:t xml:space="preserve">Customers don’t notice changes in voltage on the network and yet the changes in voltage can lead to large savings for System Operator. Is this is a viable solution to be rolled out as customers would not be able to opt out. </w:t>
            </w:r>
          </w:p>
        </w:tc>
        <w:tc>
          <w:tcPr>
            <w:tcW w:w="3119" w:type="dxa"/>
            <w:shd w:val="clear" w:color="auto" w:fill="auto"/>
          </w:tcPr>
          <w:p w14:paraId="075CB105" w14:textId="77777777" w:rsidR="004F79A2" w:rsidRDefault="004F79A2" w:rsidP="002D2F65">
            <w:pPr>
              <w:pStyle w:val="ListParagraph"/>
              <w:numPr>
                <w:ilvl w:val="0"/>
                <w:numId w:val="2"/>
              </w:numPr>
            </w:pPr>
            <w:r>
              <w:t>Consumer protection group</w:t>
            </w:r>
          </w:p>
        </w:tc>
      </w:tr>
      <w:tr w:rsidR="004F79A2" w14:paraId="5EF81345" w14:textId="77777777" w:rsidTr="004F45FE">
        <w:tc>
          <w:tcPr>
            <w:tcW w:w="9606" w:type="dxa"/>
            <w:gridSpan w:val="2"/>
            <w:tcBorders>
              <w:top w:val="single" w:sz="4" w:space="0" w:color="auto"/>
              <w:left w:val="single" w:sz="4" w:space="0" w:color="auto"/>
              <w:bottom w:val="single" w:sz="4" w:space="0" w:color="auto"/>
              <w:right w:val="single" w:sz="4" w:space="0" w:color="auto"/>
            </w:tcBorders>
            <w:shd w:val="clear" w:color="auto" w:fill="auto"/>
            <w:hideMark/>
          </w:tcPr>
          <w:p w14:paraId="63EB8FCA" w14:textId="4D37DA1E" w:rsidR="004F79A2" w:rsidRDefault="004F79A2" w:rsidP="002B45EA">
            <w:pPr>
              <w:rPr>
                <w:b/>
              </w:rPr>
            </w:pPr>
            <w:r>
              <w:rPr>
                <w:b/>
              </w:rPr>
              <w:t xml:space="preserve">       Energy control for household optimisation </w:t>
            </w:r>
          </w:p>
        </w:tc>
      </w:tr>
      <w:tr w:rsidR="004F79A2" w14:paraId="5E6981A0" w14:textId="77777777" w:rsidTr="004F45FE">
        <w:tc>
          <w:tcPr>
            <w:tcW w:w="6487" w:type="dxa"/>
            <w:tcBorders>
              <w:top w:val="single" w:sz="4" w:space="0" w:color="auto"/>
              <w:left w:val="single" w:sz="4" w:space="0" w:color="auto"/>
              <w:bottom w:val="single" w:sz="4" w:space="0" w:color="auto"/>
              <w:right w:val="single" w:sz="4" w:space="0" w:color="auto"/>
            </w:tcBorders>
            <w:shd w:val="clear" w:color="auto" w:fill="auto"/>
            <w:hideMark/>
          </w:tcPr>
          <w:p w14:paraId="6E082491" w14:textId="48CFE108" w:rsidR="004F79A2" w:rsidRDefault="004F79A2">
            <w:r>
              <w:t>Trial will look at level of payments required for households to participate in DSR</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496FBB19" w14:textId="0663ACF4" w:rsidR="004F79A2" w:rsidRDefault="004F79A2" w:rsidP="002B45EA">
            <w:pPr>
              <w:pStyle w:val="ListParagraph"/>
              <w:numPr>
                <w:ilvl w:val="0"/>
                <w:numId w:val="9"/>
              </w:numPr>
            </w:pPr>
            <w:r>
              <w:t xml:space="preserve">WPD to feed into Distribution of value </w:t>
            </w:r>
          </w:p>
        </w:tc>
      </w:tr>
      <w:tr w:rsidR="004F79A2" w14:paraId="5D08EF07" w14:textId="77777777" w:rsidTr="004F45FE">
        <w:tc>
          <w:tcPr>
            <w:tcW w:w="9606" w:type="dxa"/>
            <w:gridSpan w:val="2"/>
            <w:tcBorders>
              <w:top w:val="single" w:sz="4" w:space="0" w:color="auto"/>
              <w:left w:val="single" w:sz="4" w:space="0" w:color="auto"/>
              <w:bottom w:val="single" w:sz="4" w:space="0" w:color="auto"/>
              <w:right w:val="single" w:sz="4" w:space="0" w:color="auto"/>
            </w:tcBorders>
            <w:shd w:val="clear" w:color="auto" w:fill="auto"/>
          </w:tcPr>
          <w:p w14:paraId="6B0C96FA" w14:textId="41C42768" w:rsidR="004F79A2" w:rsidRPr="00C73CF4" w:rsidRDefault="004F79A2" w:rsidP="00C73CF4">
            <w:pPr>
              <w:pStyle w:val="ListParagraph"/>
              <w:ind w:left="360"/>
              <w:rPr>
                <w:b/>
              </w:rPr>
            </w:pPr>
            <w:r w:rsidRPr="00C73CF4">
              <w:rPr>
                <w:b/>
              </w:rPr>
              <w:t>Vulnerable customers and energy efficiency</w:t>
            </w:r>
          </w:p>
        </w:tc>
      </w:tr>
      <w:tr w:rsidR="004F79A2" w14:paraId="22E6F22E" w14:textId="77777777" w:rsidTr="004F45FE">
        <w:tc>
          <w:tcPr>
            <w:tcW w:w="6487" w:type="dxa"/>
            <w:tcBorders>
              <w:top w:val="single" w:sz="4" w:space="0" w:color="auto"/>
              <w:left w:val="single" w:sz="4" w:space="0" w:color="auto"/>
              <w:bottom w:val="single" w:sz="4" w:space="0" w:color="auto"/>
              <w:right w:val="single" w:sz="4" w:space="0" w:color="auto"/>
            </w:tcBorders>
            <w:shd w:val="clear" w:color="auto" w:fill="auto"/>
            <w:hideMark/>
          </w:tcPr>
          <w:p w14:paraId="109EC546" w14:textId="7B6D8B6A" w:rsidR="004F79A2" w:rsidRDefault="004F79A2">
            <w:r>
              <w:t>Trial still being developed but will involve DNOs working directly with vulnerable customers and providing advice on energy efficiency</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348A5101" w14:textId="448EFC87" w:rsidR="004F79A2" w:rsidRDefault="004F79A2" w:rsidP="00C73CF4">
            <w:r>
              <w:t xml:space="preserve">UKPN to feed learning into </w:t>
            </w:r>
          </w:p>
          <w:p w14:paraId="1D28A1AA" w14:textId="2C20B3ED" w:rsidR="004F79A2" w:rsidRDefault="004F79A2" w:rsidP="002B45EA">
            <w:pPr>
              <w:pStyle w:val="ListParagraph"/>
              <w:numPr>
                <w:ilvl w:val="0"/>
                <w:numId w:val="9"/>
              </w:numPr>
            </w:pPr>
            <w:r>
              <w:t xml:space="preserve">Consumer protection </w:t>
            </w:r>
          </w:p>
          <w:p w14:paraId="3602C25B" w14:textId="3ACECB47" w:rsidR="004F79A2" w:rsidRDefault="004F79A2" w:rsidP="002B45EA">
            <w:pPr>
              <w:pStyle w:val="ListParagraph"/>
              <w:numPr>
                <w:ilvl w:val="0"/>
                <w:numId w:val="9"/>
              </w:numPr>
            </w:pPr>
            <w:r>
              <w:t xml:space="preserve">Community energy and energy efficiency </w:t>
            </w:r>
          </w:p>
        </w:tc>
      </w:tr>
      <w:tr w:rsidR="004F79A2" w14:paraId="0BC9D56F" w14:textId="77777777" w:rsidTr="004F45FE">
        <w:tc>
          <w:tcPr>
            <w:tcW w:w="9606" w:type="dxa"/>
            <w:gridSpan w:val="2"/>
            <w:shd w:val="clear" w:color="auto" w:fill="auto"/>
          </w:tcPr>
          <w:p w14:paraId="2163C6AE" w14:textId="77777777" w:rsidR="004F79A2" w:rsidRPr="007323BA" w:rsidRDefault="004F79A2" w:rsidP="00230489">
            <w:pPr>
              <w:pStyle w:val="ListParagraph"/>
              <w:ind w:left="360"/>
              <w:rPr>
                <w:b/>
              </w:rPr>
            </w:pPr>
            <w:r>
              <w:rPr>
                <w:b/>
              </w:rPr>
              <w:t>Community Energy Action</w:t>
            </w:r>
          </w:p>
        </w:tc>
      </w:tr>
      <w:tr w:rsidR="004F79A2" w14:paraId="749C2BA5" w14:textId="77777777" w:rsidTr="004F45FE">
        <w:tc>
          <w:tcPr>
            <w:tcW w:w="6487" w:type="dxa"/>
            <w:shd w:val="clear" w:color="auto" w:fill="auto"/>
          </w:tcPr>
          <w:p w14:paraId="590DBD18" w14:textId="77777777" w:rsidR="004F79A2" w:rsidRDefault="004F79A2" w:rsidP="00230489">
            <w:r>
              <w:t>Engagement needs to be tailored to community and financial incentives have not been as strong a driver as expected, with communities not necessarily aligning with network grouped areas</w:t>
            </w:r>
          </w:p>
        </w:tc>
        <w:tc>
          <w:tcPr>
            <w:tcW w:w="3119" w:type="dxa"/>
            <w:shd w:val="clear" w:color="auto" w:fill="auto"/>
          </w:tcPr>
          <w:p w14:paraId="7F1C1D47" w14:textId="77777777" w:rsidR="004F79A2" w:rsidRDefault="004F79A2" w:rsidP="00230489">
            <w:pPr>
              <w:pStyle w:val="ListParagraph"/>
              <w:numPr>
                <w:ilvl w:val="0"/>
                <w:numId w:val="2"/>
              </w:numPr>
            </w:pPr>
            <w:r>
              <w:t xml:space="preserve">Community Energy group </w:t>
            </w:r>
          </w:p>
        </w:tc>
      </w:tr>
    </w:tbl>
    <w:p w14:paraId="250E5A48" w14:textId="65AA0643" w:rsidR="00284A98" w:rsidRDefault="00284A98" w:rsidP="00C44030"/>
    <w:sectPr w:rsidR="00284A98" w:rsidSect="006F2FC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E595D"/>
    <w:multiLevelType w:val="hybridMultilevel"/>
    <w:tmpl w:val="A7F87D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920503B"/>
    <w:multiLevelType w:val="hybridMultilevel"/>
    <w:tmpl w:val="754EB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F67547"/>
    <w:multiLevelType w:val="hybridMultilevel"/>
    <w:tmpl w:val="D52473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2A6B78BC"/>
    <w:multiLevelType w:val="hybridMultilevel"/>
    <w:tmpl w:val="450EBC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9D86466"/>
    <w:multiLevelType w:val="hybridMultilevel"/>
    <w:tmpl w:val="C8B45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29336FF"/>
    <w:multiLevelType w:val="hybridMultilevel"/>
    <w:tmpl w:val="0CEC08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44ED7614"/>
    <w:multiLevelType w:val="hybridMultilevel"/>
    <w:tmpl w:val="5BD8EF2A"/>
    <w:lvl w:ilvl="0" w:tplc="66740E3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46BE2B3F"/>
    <w:multiLevelType w:val="hybridMultilevel"/>
    <w:tmpl w:val="B5947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2F55741"/>
    <w:multiLevelType w:val="hybridMultilevel"/>
    <w:tmpl w:val="31608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D8E5FBC"/>
    <w:multiLevelType w:val="hybridMultilevel"/>
    <w:tmpl w:val="034A8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1603E50"/>
    <w:multiLevelType w:val="hybridMultilevel"/>
    <w:tmpl w:val="7D98A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4250893"/>
    <w:multiLevelType w:val="hybridMultilevel"/>
    <w:tmpl w:val="274844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0"/>
  </w:num>
  <w:num w:numId="3">
    <w:abstractNumId w:val="6"/>
  </w:num>
  <w:num w:numId="4">
    <w:abstractNumId w:val="9"/>
  </w:num>
  <w:num w:numId="5">
    <w:abstractNumId w:val="10"/>
  </w:num>
  <w:num w:numId="6">
    <w:abstractNumId w:val="5"/>
  </w:num>
  <w:num w:numId="7">
    <w:abstractNumId w:val="3"/>
  </w:num>
  <w:num w:numId="8">
    <w:abstractNumId w:val="11"/>
  </w:num>
  <w:num w:numId="9">
    <w:abstractNumId w:val="0"/>
  </w:num>
  <w:num w:numId="10">
    <w:abstractNumId w:val="7"/>
  </w:num>
  <w:num w:numId="11">
    <w:abstractNumId w:val="4"/>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79E"/>
    <w:rsid w:val="00062B8B"/>
    <w:rsid w:val="00106688"/>
    <w:rsid w:val="001B0EBD"/>
    <w:rsid w:val="00284A98"/>
    <w:rsid w:val="002B42B4"/>
    <w:rsid w:val="002B45EA"/>
    <w:rsid w:val="002D2F65"/>
    <w:rsid w:val="003A3592"/>
    <w:rsid w:val="003F6585"/>
    <w:rsid w:val="00471826"/>
    <w:rsid w:val="004F45FE"/>
    <w:rsid w:val="004F79A2"/>
    <w:rsid w:val="005812C4"/>
    <w:rsid w:val="00602780"/>
    <w:rsid w:val="00640CA5"/>
    <w:rsid w:val="006819A1"/>
    <w:rsid w:val="006F2FCC"/>
    <w:rsid w:val="007323BA"/>
    <w:rsid w:val="007E0D5D"/>
    <w:rsid w:val="00855692"/>
    <w:rsid w:val="008721A5"/>
    <w:rsid w:val="0093396C"/>
    <w:rsid w:val="009E22FE"/>
    <w:rsid w:val="00A55BE5"/>
    <w:rsid w:val="00AA4BD7"/>
    <w:rsid w:val="00B576F5"/>
    <w:rsid w:val="00BC379E"/>
    <w:rsid w:val="00C44030"/>
    <w:rsid w:val="00C73CF4"/>
    <w:rsid w:val="00D76683"/>
    <w:rsid w:val="00D83903"/>
    <w:rsid w:val="00DB79C8"/>
    <w:rsid w:val="00DE1D5A"/>
    <w:rsid w:val="00DF78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D1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3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37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3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37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11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customXml" Target="../customXml/item4.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resentation" ma:contentTypeID="0x010100FAFD54A5D6473B468DE06B48FEFEE6D90031207554042CCA4A8347436AD5EAD2D7" ma:contentTypeVersion="0" ma:contentTypeDescription="This should be used for producing PowerPoint presentations" ma:contentTypeScope="" ma:versionID="1128c096d0bda66d39166d7aaf2ba50d">
  <xsd:schema xmlns:xsd="http://www.w3.org/2001/XMLSchema" xmlns:xs="http://www.w3.org/2001/XMLSchema" xmlns:p="http://schemas.microsoft.com/office/2006/metadata/properties" xmlns:ns2="http://schemas.microsoft.com/sharepoint/v3/fields" xmlns:ns3="631298fc-6a88-4548-b7d9-3b164918c4a3" targetNamespace="http://schemas.microsoft.com/office/2006/metadata/properties" ma:root="true" ma:fieldsID="b25f5c2f77ad5eb4b8178db065f37d5b" ns2:_="" ns3:_="">
    <xsd:import namespace="http://schemas.microsoft.com/sharepoint/v3/fields"/>
    <xsd:import namespace="631298fc-6a88-4548-b7d9-3b164918c4a3"/>
    <xsd:element name="properties">
      <xsd:complexType>
        <xsd:sequence>
          <xsd:element name="documentManagement">
            <xsd:complexType>
              <xsd:all>
                <xsd:element ref="ns3:Recipient" minOccurs="0"/>
                <xsd:element ref="ns3:Organisation" minOccurs="0"/>
                <xsd:element ref="ns3:Meeting_x0020_Date" minOccurs="0"/>
                <xsd:element ref="ns2:_Status" minOccurs="0"/>
                <xsd:element ref="ns3:Publication_x0020_Date_x003a_" minOccurs="0"/>
                <xsd:element ref="ns3:Classification"/>
                <xsd:element ref="ns3:Descript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2" nillable="true" ma:displayName="Status" ma:default="Draft" ma:description="Choose the appropriate status from the drop-down" ma:format="Dropdown" ma:internalName="_Status">
      <xsd:simpleType>
        <xsd:restriction base="dms:Choice">
          <xsd:enumeration value="Draft"/>
          <xsd:enumeration value="For comment"/>
          <xsd:enumeration value="Peer Reviewed"/>
          <xsd:enumeration value="Head of Dept Reviewed"/>
          <xsd:enumeration value="Legally Reviewed"/>
          <xsd:enumeration value="MD Approved"/>
          <xsd:enumeration value="Final not for Registry"/>
          <xsd:enumeration value="Final and Sent to Registry"/>
          <xsd:enumeration value="Published"/>
          <xsd:enumeration value="For deletion review"/>
          <xsd:enumeration value="External Draft"/>
          <xsd:enumeration value="External for comment"/>
          <xsd:enumeration value="External for action"/>
          <xsd:enumeration value="External Final"/>
        </xsd:restriction>
      </xsd:simpleType>
    </xsd:element>
  </xsd:schema>
  <xsd:schema xmlns:xsd="http://www.w3.org/2001/XMLSchema" xmlns:xs="http://www.w3.org/2001/XMLSchema" xmlns:dms="http://schemas.microsoft.com/office/2006/documentManagement/types" xmlns:pc="http://schemas.microsoft.com/office/infopath/2007/PartnerControls" targetNamespace="631298fc-6a88-4548-b7d9-3b164918c4a3" elementFormDefault="qualified">
    <xsd:import namespace="http://schemas.microsoft.com/office/2006/documentManagement/types"/>
    <xsd:import namespace="http://schemas.microsoft.com/office/infopath/2007/PartnerControls"/>
    <xsd:element name="Recipient" ma:index="9" nillable="true" ma:displayName="Recipient" ma:default="" ma:description="Internal or external person(s) or group (eg Exec, SMT or Authority).  For Legal Advice put recipient of advice." ma:internalName="Recipient">
      <xsd:simpleType>
        <xsd:restriction base="dms:Text">
          <xsd:maxLength value="255"/>
        </xsd:restriction>
      </xsd:simpleType>
    </xsd:element>
    <xsd:element name="Organisation" ma:index="10" nillable="true" ma:displayName="Organisation" ma:default="Choose an Organisation" ma:description="Choose from the drop-down menu or fill in a value" ma:format="Dropdown" ma:internalName="Organisation">
      <xsd:simpleType>
        <xsd:union memberTypes="dms:Text">
          <xsd:simpleType>
            <xsd:restriction base="dms:Choice">
              <xsd:enumeration value="Choose an Organisation"/>
              <xsd:enumeration value="Assoc Elec Producers"/>
              <xsd:enumeration value="Atomic Energy Auth"/>
              <xsd:enumeration value="BERR"/>
              <xsd:enumeration value="British Energy"/>
              <xsd:enumeration value="Brit Wind Energy Assoc"/>
              <xsd:enumeration value="Building Research Est"/>
              <xsd:enumeration value="Carbon Trust"/>
              <xsd:enumeration value="Cavendish"/>
              <xsd:enumeration value="Centrica"/>
              <xsd:enumeration value="Central Networks"/>
              <xsd:enumeration value="CE"/>
              <xsd:enumeration value="CEER"/>
              <xsd:enumeration value="CHPA"/>
              <xsd:enumeration value="Competition Commission"/>
              <xsd:enumeration value="DCLG"/>
              <xsd:enumeration value="DCUSA Ltd"/>
              <xsd:enumeration value="DECC"/>
              <xsd:enumeration value="DEFRA"/>
              <xsd:enumeration value="DETI (Northern Ireland)"/>
              <xsd:enumeration value="European Commission"/>
              <xsd:enumeration value="EdF"/>
              <xsd:enumeration value="Elec DNO"/>
              <xsd:enumeration value="ELEXON"/>
              <xsd:enumeration value="eon"/>
              <xsd:enumeration value="Electricity North West"/>
              <xsd:enumeration value="Energy Networks Association"/>
              <xsd:enumeration value="Energy Retail Association"/>
              <xsd:enumeration value="Energy Saving Trust"/>
              <xsd:enumeration value="energywatch"/>
              <xsd:enumeration value="ERGEG"/>
              <xsd:enumeration value="Ernst &amp; Young"/>
              <xsd:enumeration value="ESTA"/>
              <xsd:enumeration value="Gas DNs"/>
              <xsd:enumeration value="Gas Forum"/>
              <xsd:enumeration value="Gaz de France"/>
              <xsd:enumeration value="Government"/>
              <xsd:enumeration value="HM Revenue &amp; Customs"/>
              <xsd:enumeration value="HM Treasury"/>
              <xsd:enumeration value="House of Commons"/>
              <xsd:enumeration value="HSE"/>
              <xsd:enumeration value="IDNO"/>
              <xsd:enumeration value="IGT"/>
              <xsd:enumeration value="National Grid Gas"/>
              <xsd:enumeration value="National Grid Elec"/>
              <xsd:enumeration value="nPower"/>
              <xsd:enumeration value="NWOperators"/>
              <xsd:enumeration value="NEDL &amp;  YEDL"/>
              <xsd:enumeration value="Northern Gas Networks"/>
              <xsd:enumeration value="OFGEM"/>
              <xsd:enumeration value="OFREG"/>
              <xsd:enumeration value="OFT"/>
              <xsd:enumeration value="Parity"/>
              <xsd:enumeration value="Parl Renew &amp; Sustain Energy Grp"/>
              <xsd:enumeration value="Renewble Energy Assoc"/>
              <xsd:enumeration value="RWE"/>
              <xsd:enumeration value="Scotia Gas Networks"/>
              <xsd:enumeration value="Scottish and Southern"/>
              <xsd:enumeration value="Scottish Executive"/>
              <xsd:enumeration value="Scottish Power"/>
              <xsd:enumeration value="SmartestEnergy"/>
              <xsd:enumeration value="Suppliers"/>
              <xsd:enumeration value="UK Power Networks"/>
              <xsd:enumeration value="Wales &amp; West Utilities"/>
              <xsd:enumeration value="Welsh Assembly"/>
              <xsd:enumeration value="WPD"/>
              <xsd:enumeration value="Xoserve"/>
              <xsd:enumeration value="-"/>
            </xsd:restriction>
          </xsd:simpleType>
        </xsd:union>
      </xsd:simpleType>
    </xsd:element>
    <xsd:element name="Meeting_x0020_Date" ma:index="11" nillable="true" ma:displayName="Meeting Date" ma:default="[today]" ma:description="Enter the date as DD/MM/YYYY" ma:format="DateOnly" ma:internalName="Meeting_x0020_Date">
      <xsd:simpleType>
        <xsd:restriction base="dms:DateTime"/>
      </xsd:simpleType>
    </xsd:element>
    <xsd:element name="Publication_x0020_Date_x003a_" ma:index="13" nillable="true" ma:displayName="Publication Date:" ma:default="[today]" ma:description="The Publication Date" ma:format="DateOnly" ma:internalName="Publication_x0020_Date_x003A_">
      <xsd:simpleType>
        <xsd:restriction base="dms:DateTime"/>
      </xsd:simpleType>
    </xsd:element>
    <xsd:element name="Classification" ma:index="14" ma:displayName="Classification" ma:default="Unclassified" ma:format="Dropdown" ma:internalName="Classification" ma:readOnly="false">
      <xsd:simpleType>
        <xsd:restriction base="dms:Choice">
          <xsd:enumeration value="Unclassified"/>
          <xsd:enumeration value="Protect"/>
          <xsd:enumeration value="Restricted"/>
        </xsd:restriction>
      </xsd:simpleType>
    </xsd:element>
    <xsd:element name="Descriptor" ma:index="15" nillable="true" ma:displayName="Descriptor" ma:format="Dropdown" ma:internalName="Descriptor">
      <xsd:simpleType>
        <xsd:restriction base="dms:Choice">
          <xsd:enumeration value="Commercial"/>
          <xsd:enumeration value="Management"/>
          <xsd:enumeration value="Market Sensitive"/>
          <xsd:enumeration value="Staff"/>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Status xmlns="http://schemas.microsoft.com/sharepoint/v3/fields">Draft</_Status>
    <Meeting_x0020_Date xmlns="631298fc-6a88-4548-b7d9-3b164918c4a3">2014-11-13T00:00:00+00:00</Meeting_x0020_Date>
    <Descriptor xmlns="631298fc-6a88-4548-b7d9-3b164918c4a3" xsi:nil="true"/>
    <Classification xmlns="631298fc-6a88-4548-b7d9-3b164918c4a3">Unclassified</Classification>
    <Recipient xmlns="631298fc-6a88-4548-b7d9-3b164918c4a3" xsi:nil="true"/>
    <Organisation xmlns="631298fc-6a88-4548-b7d9-3b164918c4a3">Choose an Organisation</Organisation>
    <Publication_x0020_Date_x003a_ xmlns="631298fc-6a88-4548-b7d9-3b164918c4a3">2014-11-13T00:00:00+00:00</Publication_x0020_Date_x003a_>
  </documentManagement>
</p:properties>
</file>

<file path=customXml/item4.xml><?xml version="1.0" encoding="utf-8"?>
<?mso-contentType ?>
<SharedContentType xmlns="Microsoft.SharePoint.Taxonomy.ContentTypeSync" SourceId="69773578-b348-4185-91b0-0c3a7eda8d2a" ContentTypeId="0x010100FAFD54A5D6473B468DE06B48FEFEE6D9" PreviousValue="false"/>
</file>

<file path=customXml/itemProps1.xml><?xml version="1.0" encoding="utf-8"?>
<ds:datastoreItem xmlns:ds="http://schemas.openxmlformats.org/officeDocument/2006/customXml" ds:itemID="{59574679-A8FE-40DF-AF3C-F2719158A766}"/>
</file>

<file path=customXml/itemProps2.xml><?xml version="1.0" encoding="utf-8"?>
<ds:datastoreItem xmlns:ds="http://schemas.openxmlformats.org/officeDocument/2006/customXml" ds:itemID="{1394A428-4B3F-4C1A-B8AD-1D2C561D6A2F}"/>
</file>

<file path=customXml/itemProps3.xml><?xml version="1.0" encoding="utf-8"?>
<ds:datastoreItem xmlns:ds="http://schemas.openxmlformats.org/officeDocument/2006/customXml" ds:itemID="{9FC9CF7B-8BCD-4DF3-8CBE-184083BF3150}"/>
</file>

<file path=customXml/itemProps4.xml><?xml version="1.0" encoding="utf-8"?>
<ds:datastoreItem xmlns:ds="http://schemas.openxmlformats.org/officeDocument/2006/customXml" ds:itemID="{9F80142F-6650-4DC3-A905-29D76E275014}"/>
</file>

<file path=docProps/app.xml><?xml version="1.0" encoding="utf-8"?>
<Properties xmlns="http://schemas.openxmlformats.org/officeDocument/2006/extended-properties" xmlns:vt="http://schemas.openxmlformats.org/officeDocument/2006/docPropsVTypes">
  <Template>3C1425B0</Template>
  <TotalTime>1</TotalTime>
  <Pages>2</Pages>
  <Words>874</Words>
  <Characters>4985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Ofgem</Company>
  <LinksUpToDate>false</LinksUpToDate>
  <CharactersWithSpaces>5848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LCNF learning and WS6 sub groups</dc:title>
  <dc:subject/>
  <dc:creator>Keavy Larkin</dc:creator>
  <cp:lastModifiedBy>Mark Askew</cp:lastModifiedBy>
  <cp:revision>4</cp:revision>
  <cp:lastPrinted>2014-11-11T13:34:00Z</cp:lastPrinted>
  <dcterms:created xsi:type="dcterms:W3CDTF">2014-11-13T14:21:00Z</dcterms:created>
  <dcterms:modified xsi:type="dcterms:W3CDTF">2014-11-13T14:22:00Z</dcterms:modified>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0x010100FAFD54A5D6473B468DE06B48FEFEE6D90031207554042CCA4A8347436AD5EAD2D7</vt:lpwstr>
  </property>
</Properties>
</file>