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18" w:space="0" w:color="808080"/>
        </w:tblBorders>
        <w:tblLook w:val="01E0" w:firstRow="1" w:lastRow="1" w:firstColumn="1" w:lastColumn="1" w:noHBand="0" w:noVBand="0"/>
      </w:tblPr>
      <w:tblGrid>
        <w:gridCol w:w="3757"/>
        <w:gridCol w:w="1689"/>
        <w:gridCol w:w="2027"/>
        <w:gridCol w:w="2027"/>
      </w:tblGrid>
      <w:tr w:rsidR="008B39EE" w14:paraId="11C2B152" w14:textId="77777777" w:rsidTr="00A15942">
        <w:tc>
          <w:tcPr>
            <w:tcW w:w="9500" w:type="dxa"/>
            <w:gridSpan w:val="4"/>
            <w:tcBorders>
              <w:top w:val="nil"/>
              <w:bottom w:val="single" w:sz="18" w:space="0" w:color="666699"/>
            </w:tcBorders>
          </w:tcPr>
          <w:p w14:paraId="2192A4A2" w14:textId="3B338835" w:rsidR="008B39EE" w:rsidRPr="008B39EE" w:rsidRDefault="00B478CD" w:rsidP="00D15C3C">
            <w:pPr>
              <w:pStyle w:val="Title1"/>
            </w:pPr>
            <w:r>
              <w:t xml:space="preserve">Meeting </w:t>
            </w:r>
            <w:r w:rsidR="00D15C3C">
              <w:t>30</w:t>
            </w:r>
            <w:r>
              <w:t xml:space="preserve"> – Smart Grid Forum Work Stream 6</w:t>
            </w:r>
          </w:p>
        </w:tc>
      </w:tr>
      <w:tr w:rsidR="00F2661F" w14:paraId="52A37614" w14:textId="77777777" w:rsidTr="00A15942">
        <w:tc>
          <w:tcPr>
            <w:tcW w:w="3757" w:type="dxa"/>
            <w:vMerge w:val="restart"/>
            <w:tcBorders>
              <w:top w:val="single" w:sz="18" w:space="0" w:color="666699"/>
              <w:bottom w:val="nil"/>
            </w:tcBorders>
          </w:tcPr>
          <w:p w14:paraId="751961CA" w14:textId="02891181" w:rsidR="00F2661F" w:rsidRDefault="00B478CD" w:rsidP="00D15C3C">
            <w:r>
              <w:t xml:space="preserve">Minutes from the meeting of the Smart Grid Forum Work Stream Six on Tuesday </w:t>
            </w:r>
            <w:r w:rsidR="00D15C3C">
              <w:t>09</w:t>
            </w:r>
            <w:r w:rsidR="009C31B1">
              <w:t xml:space="preserve"> </w:t>
            </w:r>
            <w:r w:rsidR="00D15C3C">
              <w:t>December</w:t>
            </w:r>
          </w:p>
        </w:tc>
        <w:tc>
          <w:tcPr>
            <w:tcW w:w="1689" w:type="dxa"/>
            <w:tcBorders>
              <w:top w:val="single" w:sz="18" w:space="0" w:color="666699"/>
              <w:bottom w:val="nil"/>
            </w:tcBorders>
          </w:tcPr>
          <w:p w14:paraId="69C97BC4" w14:textId="77777777" w:rsidR="00F2661F" w:rsidRPr="00A15942" w:rsidRDefault="00F2661F" w:rsidP="00BA7019">
            <w:pPr>
              <w:rPr>
                <w:sz w:val="16"/>
                <w:szCs w:val="16"/>
              </w:rPr>
            </w:pPr>
            <w:r w:rsidRPr="00A15942">
              <w:rPr>
                <w:sz w:val="16"/>
                <w:szCs w:val="16"/>
              </w:rPr>
              <w:t>From</w:t>
            </w:r>
          </w:p>
        </w:tc>
        <w:tc>
          <w:tcPr>
            <w:tcW w:w="2027" w:type="dxa"/>
            <w:tcBorders>
              <w:top w:val="single" w:sz="18" w:space="0" w:color="666699"/>
              <w:bottom w:val="nil"/>
            </w:tcBorders>
          </w:tcPr>
          <w:p w14:paraId="719DF1EE" w14:textId="77777777" w:rsidR="00F2661F" w:rsidRPr="00A15942" w:rsidRDefault="00B478CD" w:rsidP="000E7F6B">
            <w:pPr>
              <w:rPr>
                <w:sz w:val="16"/>
                <w:szCs w:val="16"/>
              </w:rPr>
            </w:pPr>
            <w:r>
              <w:rPr>
                <w:sz w:val="16"/>
                <w:szCs w:val="16"/>
              </w:rPr>
              <w:t>Ofgem</w:t>
            </w:r>
          </w:p>
        </w:tc>
        <w:tc>
          <w:tcPr>
            <w:tcW w:w="2027" w:type="dxa"/>
            <w:tcBorders>
              <w:top w:val="single" w:sz="18" w:space="0" w:color="666699"/>
              <w:bottom w:val="nil"/>
            </w:tcBorders>
          </w:tcPr>
          <w:p w14:paraId="53572E99" w14:textId="459057AC" w:rsidR="00F2661F" w:rsidRPr="00A15942" w:rsidRDefault="00F2661F" w:rsidP="000E7F6B">
            <w:pPr>
              <w:rPr>
                <w:sz w:val="16"/>
                <w:szCs w:val="16"/>
              </w:rPr>
            </w:pPr>
          </w:p>
        </w:tc>
      </w:tr>
      <w:tr w:rsidR="00F2661F" w14:paraId="2EDC78A8" w14:textId="77777777" w:rsidTr="00A15942">
        <w:tc>
          <w:tcPr>
            <w:tcW w:w="3757" w:type="dxa"/>
            <w:vMerge/>
            <w:tcBorders>
              <w:top w:val="nil"/>
              <w:bottom w:val="nil"/>
            </w:tcBorders>
          </w:tcPr>
          <w:p w14:paraId="63F5B694" w14:textId="77777777" w:rsidR="00F2661F" w:rsidRDefault="00F2661F" w:rsidP="00BA7019"/>
        </w:tc>
        <w:tc>
          <w:tcPr>
            <w:tcW w:w="1689" w:type="dxa"/>
            <w:tcBorders>
              <w:top w:val="nil"/>
              <w:bottom w:val="nil"/>
            </w:tcBorders>
          </w:tcPr>
          <w:p w14:paraId="646A3962" w14:textId="77777777" w:rsidR="00F2661F" w:rsidRPr="00A15942" w:rsidRDefault="00F2661F" w:rsidP="00BA7019">
            <w:pPr>
              <w:rPr>
                <w:sz w:val="16"/>
                <w:szCs w:val="16"/>
              </w:rPr>
            </w:pPr>
            <w:r w:rsidRPr="00A15942">
              <w:rPr>
                <w:sz w:val="16"/>
                <w:szCs w:val="16"/>
              </w:rPr>
              <w:t>Date and time of Meeting</w:t>
            </w:r>
          </w:p>
        </w:tc>
        <w:tc>
          <w:tcPr>
            <w:tcW w:w="2027" w:type="dxa"/>
            <w:tcBorders>
              <w:top w:val="nil"/>
              <w:bottom w:val="nil"/>
            </w:tcBorders>
          </w:tcPr>
          <w:p w14:paraId="5A285AD6" w14:textId="7DB6E872" w:rsidR="00F2661F" w:rsidRDefault="00B478CD" w:rsidP="000E7F6B">
            <w:pPr>
              <w:rPr>
                <w:sz w:val="16"/>
                <w:szCs w:val="16"/>
              </w:rPr>
            </w:pPr>
            <w:r>
              <w:rPr>
                <w:sz w:val="16"/>
                <w:szCs w:val="16"/>
              </w:rPr>
              <w:t xml:space="preserve">Tuesday </w:t>
            </w:r>
            <w:r w:rsidR="00D15C3C">
              <w:rPr>
                <w:sz w:val="16"/>
                <w:szCs w:val="16"/>
              </w:rPr>
              <w:t>09</w:t>
            </w:r>
            <w:r w:rsidR="009C31B1">
              <w:rPr>
                <w:sz w:val="16"/>
                <w:szCs w:val="16"/>
              </w:rPr>
              <w:t xml:space="preserve"> </w:t>
            </w:r>
            <w:r w:rsidR="00D15C3C">
              <w:rPr>
                <w:sz w:val="16"/>
                <w:szCs w:val="16"/>
              </w:rPr>
              <w:t>December</w:t>
            </w:r>
          </w:p>
          <w:p w14:paraId="5931B5B5" w14:textId="77777777" w:rsidR="00B478CD" w:rsidRPr="00A15942" w:rsidRDefault="00B478CD" w:rsidP="000E7F6B">
            <w:pPr>
              <w:rPr>
                <w:sz w:val="16"/>
                <w:szCs w:val="16"/>
              </w:rPr>
            </w:pPr>
            <w:r>
              <w:rPr>
                <w:sz w:val="16"/>
                <w:szCs w:val="16"/>
              </w:rPr>
              <w:t>14.30 – 17.00</w:t>
            </w:r>
          </w:p>
        </w:tc>
        <w:tc>
          <w:tcPr>
            <w:tcW w:w="2027" w:type="dxa"/>
            <w:tcBorders>
              <w:top w:val="nil"/>
              <w:bottom w:val="nil"/>
            </w:tcBorders>
          </w:tcPr>
          <w:p w14:paraId="6314C528" w14:textId="77777777" w:rsidR="00F2661F" w:rsidRPr="00A15942" w:rsidRDefault="00F2661F" w:rsidP="00BA7019">
            <w:pPr>
              <w:rPr>
                <w:sz w:val="16"/>
                <w:szCs w:val="16"/>
                <w:highlight w:val="yellow"/>
              </w:rPr>
            </w:pPr>
          </w:p>
        </w:tc>
      </w:tr>
      <w:tr w:rsidR="00F2661F" w14:paraId="0BDA96DF" w14:textId="77777777" w:rsidTr="00A15942">
        <w:tc>
          <w:tcPr>
            <w:tcW w:w="3757" w:type="dxa"/>
            <w:vMerge/>
            <w:tcBorders>
              <w:top w:val="nil"/>
              <w:bottom w:val="single" w:sz="18" w:space="0" w:color="666699"/>
            </w:tcBorders>
          </w:tcPr>
          <w:p w14:paraId="5B0D98CD" w14:textId="77777777" w:rsidR="00F2661F" w:rsidRDefault="00F2661F" w:rsidP="00BA7019"/>
        </w:tc>
        <w:tc>
          <w:tcPr>
            <w:tcW w:w="1689" w:type="dxa"/>
            <w:tcBorders>
              <w:top w:val="nil"/>
              <w:bottom w:val="single" w:sz="18" w:space="0" w:color="666699"/>
            </w:tcBorders>
          </w:tcPr>
          <w:p w14:paraId="33ABCD29" w14:textId="77777777" w:rsidR="00F2661F" w:rsidRPr="00A15942" w:rsidRDefault="00F2661F" w:rsidP="00BA7019">
            <w:pPr>
              <w:rPr>
                <w:sz w:val="16"/>
                <w:szCs w:val="16"/>
              </w:rPr>
            </w:pPr>
            <w:r w:rsidRPr="00A15942">
              <w:rPr>
                <w:sz w:val="16"/>
                <w:szCs w:val="16"/>
              </w:rPr>
              <w:t>Location</w:t>
            </w:r>
          </w:p>
        </w:tc>
        <w:tc>
          <w:tcPr>
            <w:tcW w:w="2027" w:type="dxa"/>
            <w:tcBorders>
              <w:top w:val="nil"/>
              <w:bottom w:val="single" w:sz="18" w:space="0" w:color="666699"/>
            </w:tcBorders>
          </w:tcPr>
          <w:p w14:paraId="60EA6BD1" w14:textId="77777777" w:rsidR="00F2661F" w:rsidRPr="00A15942" w:rsidRDefault="00B478CD" w:rsidP="000E7F6B">
            <w:pPr>
              <w:rPr>
                <w:sz w:val="16"/>
                <w:szCs w:val="16"/>
              </w:rPr>
            </w:pPr>
            <w:r>
              <w:rPr>
                <w:sz w:val="16"/>
                <w:szCs w:val="16"/>
              </w:rPr>
              <w:t>Ofgem, 9 Millbank</w:t>
            </w:r>
          </w:p>
        </w:tc>
        <w:tc>
          <w:tcPr>
            <w:tcW w:w="2027" w:type="dxa"/>
            <w:tcBorders>
              <w:top w:val="nil"/>
              <w:bottom w:val="single" w:sz="18" w:space="0" w:color="666699"/>
            </w:tcBorders>
          </w:tcPr>
          <w:p w14:paraId="1C372D89" w14:textId="77777777" w:rsidR="00F2661F" w:rsidRPr="00A15942" w:rsidRDefault="00F2661F" w:rsidP="00BA7019">
            <w:pPr>
              <w:rPr>
                <w:sz w:val="16"/>
                <w:szCs w:val="16"/>
              </w:rPr>
            </w:pPr>
          </w:p>
        </w:tc>
      </w:tr>
    </w:tbl>
    <w:p w14:paraId="5BDAA208" w14:textId="77777777" w:rsidR="00F676F0" w:rsidRDefault="00F676F0" w:rsidP="00BA7019"/>
    <w:p w14:paraId="138469C9" w14:textId="77777777" w:rsidR="00C17EC9" w:rsidRDefault="00C17EC9" w:rsidP="00BA7019"/>
    <w:p w14:paraId="6D86EF82" w14:textId="77777777" w:rsidR="00184ECF" w:rsidRDefault="0082673C" w:rsidP="00F2661F">
      <w:pPr>
        <w:pStyle w:val="Heading1"/>
      </w:pPr>
      <w:r>
        <w:t>Present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111"/>
      </w:tblGrid>
      <w:tr w:rsidR="00221F37" w14:paraId="31C93243" w14:textId="77777777" w:rsidTr="00221F37">
        <w:tc>
          <w:tcPr>
            <w:tcW w:w="4819" w:type="dxa"/>
          </w:tcPr>
          <w:p w14:paraId="73C410EA" w14:textId="17620A05" w:rsidR="00221F37" w:rsidRDefault="009C31B1" w:rsidP="00227BF8">
            <w:r>
              <w:t>Jenny Rogers</w:t>
            </w:r>
            <w:r w:rsidR="008E3706">
              <w:t xml:space="preserve"> (JR)</w:t>
            </w:r>
          </w:p>
        </w:tc>
        <w:tc>
          <w:tcPr>
            <w:tcW w:w="4111" w:type="dxa"/>
          </w:tcPr>
          <w:p w14:paraId="43C9DA51" w14:textId="7EF9F614" w:rsidR="00221F37" w:rsidRDefault="00D869CF" w:rsidP="00A15942">
            <w:pPr>
              <w:ind w:firstLine="33"/>
            </w:pPr>
            <w:r>
              <w:t>SSE</w:t>
            </w:r>
          </w:p>
        </w:tc>
      </w:tr>
      <w:tr w:rsidR="00221F37" w14:paraId="0C6B21FA" w14:textId="77777777" w:rsidTr="00221F37">
        <w:tc>
          <w:tcPr>
            <w:tcW w:w="4819" w:type="dxa"/>
          </w:tcPr>
          <w:p w14:paraId="769AC61A" w14:textId="272726E7" w:rsidR="00221F37" w:rsidRDefault="009C31B1" w:rsidP="00227BF8">
            <w:r>
              <w:t>Judith Ward</w:t>
            </w:r>
            <w:r w:rsidR="008E3706">
              <w:t xml:space="preserve"> (JW)</w:t>
            </w:r>
          </w:p>
        </w:tc>
        <w:tc>
          <w:tcPr>
            <w:tcW w:w="4111" w:type="dxa"/>
          </w:tcPr>
          <w:p w14:paraId="2AAEBBE6" w14:textId="5662693B" w:rsidR="00221F37" w:rsidRDefault="00D869CF" w:rsidP="00A15942">
            <w:pPr>
              <w:ind w:firstLine="33"/>
            </w:pPr>
            <w:r>
              <w:t>Sustainability First</w:t>
            </w:r>
          </w:p>
        </w:tc>
      </w:tr>
      <w:tr w:rsidR="00D15C3C" w14:paraId="3768A292" w14:textId="77777777" w:rsidTr="00221F37">
        <w:tc>
          <w:tcPr>
            <w:tcW w:w="4819" w:type="dxa"/>
          </w:tcPr>
          <w:p w14:paraId="72CC333F" w14:textId="602644F6" w:rsidR="00D15C3C" w:rsidRPr="00D15C3C" w:rsidRDefault="00D15C3C" w:rsidP="00227BF8">
            <w:pPr>
              <w:rPr>
                <w:highlight w:val="yellow"/>
              </w:rPr>
            </w:pPr>
            <w:r>
              <w:t>Zoltan Zavody (ZZ)</w:t>
            </w:r>
          </w:p>
        </w:tc>
        <w:tc>
          <w:tcPr>
            <w:tcW w:w="4111" w:type="dxa"/>
          </w:tcPr>
          <w:p w14:paraId="1ED6F458" w14:textId="5C1F8D4A" w:rsidR="00D15C3C" w:rsidRPr="00D15C3C" w:rsidRDefault="00D15C3C" w:rsidP="00A15942">
            <w:pPr>
              <w:ind w:firstLine="33"/>
              <w:rPr>
                <w:highlight w:val="yellow"/>
              </w:rPr>
            </w:pPr>
            <w:r>
              <w:t>RenewableUK</w:t>
            </w:r>
          </w:p>
        </w:tc>
      </w:tr>
      <w:tr w:rsidR="00D15C3C" w14:paraId="275FEAD2" w14:textId="77777777" w:rsidTr="00221F37">
        <w:tc>
          <w:tcPr>
            <w:tcW w:w="4819" w:type="dxa"/>
          </w:tcPr>
          <w:p w14:paraId="510F15EF" w14:textId="54E33E29" w:rsidR="00D15C3C" w:rsidRDefault="00D15C3C" w:rsidP="00227BF8">
            <w:r>
              <w:t>Jill Cainey (JC)</w:t>
            </w:r>
          </w:p>
        </w:tc>
        <w:tc>
          <w:tcPr>
            <w:tcW w:w="4111" w:type="dxa"/>
          </w:tcPr>
          <w:p w14:paraId="4AC94B70" w14:textId="71847FFD" w:rsidR="00D15C3C" w:rsidRDefault="00D15C3C" w:rsidP="00A15942">
            <w:pPr>
              <w:ind w:firstLine="33"/>
            </w:pPr>
            <w:r>
              <w:t>Energy Storage Network</w:t>
            </w:r>
          </w:p>
        </w:tc>
      </w:tr>
      <w:tr w:rsidR="00D15C3C" w14:paraId="5D094B62" w14:textId="77777777" w:rsidTr="00221F37">
        <w:tc>
          <w:tcPr>
            <w:tcW w:w="4819" w:type="dxa"/>
          </w:tcPr>
          <w:p w14:paraId="5279F461" w14:textId="3F6A3F75" w:rsidR="00D15C3C" w:rsidRDefault="00D15C3C" w:rsidP="00227BF8">
            <w:r>
              <w:t>Tabish Khan (TK)</w:t>
            </w:r>
          </w:p>
        </w:tc>
        <w:tc>
          <w:tcPr>
            <w:tcW w:w="4111" w:type="dxa"/>
          </w:tcPr>
          <w:p w14:paraId="2BA110AB" w14:textId="32E3520D" w:rsidR="00D15C3C" w:rsidRDefault="00D15C3C" w:rsidP="00A15942">
            <w:pPr>
              <w:ind w:firstLine="33"/>
            </w:pPr>
            <w:r>
              <w:t>British Gas</w:t>
            </w:r>
          </w:p>
        </w:tc>
      </w:tr>
      <w:tr w:rsidR="00D15C3C" w14:paraId="0386BDDB" w14:textId="77777777" w:rsidTr="00221F37">
        <w:tc>
          <w:tcPr>
            <w:tcW w:w="4819" w:type="dxa"/>
          </w:tcPr>
          <w:p w14:paraId="16B4E64C" w14:textId="30A88D0B" w:rsidR="00D15C3C" w:rsidRPr="00D15C3C" w:rsidRDefault="00D15C3C" w:rsidP="00227BF8">
            <w:pPr>
              <w:rPr>
                <w:highlight w:val="yellow"/>
              </w:rPr>
            </w:pPr>
            <w:r>
              <w:t>Andrew Neves (AN)</w:t>
            </w:r>
          </w:p>
        </w:tc>
        <w:tc>
          <w:tcPr>
            <w:tcW w:w="4111" w:type="dxa"/>
          </w:tcPr>
          <w:p w14:paraId="34F3AED4" w14:textId="6B1A19AD" w:rsidR="00D15C3C" w:rsidRPr="00D15C3C" w:rsidRDefault="00D15C3C" w:rsidP="00A15942">
            <w:pPr>
              <w:ind w:firstLine="33"/>
              <w:rPr>
                <w:highlight w:val="yellow"/>
              </w:rPr>
            </w:pPr>
            <w:r>
              <w:t>Engage Consulting</w:t>
            </w:r>
          </w:p>
        </w:tc>
      </w:tr>
      <w:tr w:rsidR="00D15C3C" w14:paraId="04FEF392" w14:textId="77777777" w:rsidTr="00221F37">
        <w:tc>
          <w:tcPr>
            <w:tcW w:w="4819" w:type="dxa"/>
          </w:tcPr>
          <w:p w14:paraId="701348A5" w14:textId="3D4BB868" w:rsidR="00D15C3C" w:rsidRDefault="00D15C3C" w:rsidP="00227BF8">
            <w:r>
              <w:t>Gavin Jones (GJ)</w:t>
            </w:r>
          </w:p>
        </w:tc>
        <w:tc>
          <w:tcPr>
            <w:tcW w:w="4111" w:type="dxa"/>
          </w:tcPr>
          <w:p w14:paraId="2ED6E43E" w14:textId="7DF07CE7" w:rsidR="00D15C3C" w:rsidRDefault="00D15C3C" w:rsidP="00A15942">
            <w:pPr>
              <w:ind w:firstLine="33"/>
            </w:pPr>
            <w:r>
              <w:t>Electralink</w:t>
            </w:r>
          </w:p>
        </w:tc>
      </w:tr>
      <w:tr w:rsidR="00422FA4" w14:paraId="6A512C6D" w14:textId="77777777" w:rsidTr="00221F37">
        <w:tc>
          <w:tcPr>
            <w:tcW w:w="4819" w:type="dxa"/>
          </w:tcPr>
          <w:p w14:paraId="7DB2B432" w14:textId="4C492ADC" w:rsidR="00422FA4" w:rsidRDefault="00422FA4" w:rsidP="00227BF8">
            <w:r>
              <w:t>Duncan Jack (DJ)</w:t>
            </w:r>
          </w:p>
        </w:tc>
        <w:tc>
          <w:tcPr>
            <w:tcW w:w="4111" w:type="dxa"/>
          </w:tcPr>
          <w:p w14:paraId="4BB7EECE" w14:textId="08DE3F48" w:rsidR="00422FA4" w:rsidRDefault="00422FA4" w:rsidP="00A15942">
            <w:pPr>
              <w:ind w:firstLine="33"/>
            </w:pPr>
            <w:r>
              <w:t>Elexon</w:t>
            </w:r>
          </w:p>
        </w:tc>
      </w:tr>
      <w:tr w:rsidR="00422FA4" w14:paraId="4ED15873" w14:textId="77777777" w:rsidTr="00221F37">
        <w:tc>
          <w:tcPr>
            <w:tcW w:w="4819" w:type="dxa"/>
          </w:tcPr>
          <w:p w14:paraId="27DC8549" w14:textId="7A5522FF" w:rsidR="00422FA4" w:rsidRDefault="00422FA4" w:rsidP="00227BF8">
            <w:r>
              <w:t>Adriana Laguna (AL)</w:t>
            </w:r>
          </w:p>
        </w:tc>
        <w:tc>
          <w:tcPr>
            <w:tcW w:w="4111" w:type="dxa"/>
          </w:tcPr>
          <w:p w14:paraId="51F2130A" w14:textId="59F44E57" w:rsidR="00422FA4" w:rsidRDefault="00422FA4" w:rsidP="00A15942">
            <w:pPr>
              <w:ind w:firstLine="33"/>
            </w:pPr>
            <w:r>
              <w:t>UKPN</w:t>
            </w:r>
          </w:p>
        </w:tc>
      </w:tr>
      <w:tr w:rsidR="00422FA4" w14:paraId="0B7F2317" w14:textId="77777777" w:rsidTr="00221F37">
        <w:tc>
          <w:tcPr>
            <w:tcW w:w="4819" w:type="dxa"/>
          </w:tcPr>
          <w:p w14:paraId="49C146D9" w14:textId="7C03378E" w:rsidR="00422FA4" w:rsidRDefault="00422FA4" w:rsidP="00227BF8">
            <w:r>
              <w:t>Andrew Spencer (AS)</w:t>
            </w:r>
          </w:p>
        </w:tc>
        <w:tc>
          <w:tcPr>
            <w:tcW w:w="4111" w:type="dxa"/>
          </w:tcPr>
          <w:p w14:paraId="16C7D690" w14:textId="559A61EC" w:rsidR="00422FA4" w:rsidRDefault="00422FA4" w:rsidP="00A15942">
            <w:pPr>
              <w:ind w:firstLine="33"/>
            </w:pPr>
            <w:r>
              <w:t>Northern Powergrid</w:t>
            </w:r>
          </w:p>
        </w:tc>
      </w:tr>
      <w:tr w:rsidR="00422FA4" w14:paraId="17D6E13C" w14:textId="77777777" w:rsidTr="00221F37">
        <w:tc>
          <w:tcPr>
            <w:tcW w:w="4819" w:type="dxa"/>
          </w:tcPr>
          <w:p w14:paraId="0645078D" w14:textId="2789A27A" w:rsidR="00422FA4" w:rsidRDefault="00422FA4" w:rsidP="00DE0211">
            <w:r>
              <w:t>Tamar Bourne (TB)</w:t>
            </w:r>
          </w:p>
        </w:tc>
        <w:tc>
          <w:tcPr>
            <w:tcW w:w="4111" w:type="dxa"/>
          </w:tcPr>
          <w:p w14:paraId="213F6372" w14:textId="5C1EA29B" w:rsidR="00422FA4" w:rsidRDefault="00422FA4" w:rsidP="00A15942">
            <w:pPr>
              <w:ind w:firstLine="33"/>
            </w:pPr>
            <w:r>
              <w:t>Regen SW</w:t>
            </w:r>
          </w:p>
        </w:tc>
      </w:tr>
      <w:tr w:rsidR="00422FA4" w14:paraId="2DFA2599" w14:textId="77777777" w:rsidTr="00221F37">
        <w:tc>
          <w:tcPr>
            <w:tcW w:w="4819" w:type="dxa"/>
          </w:tcPr>
          <w:p w14:paraId="5BD97DDA" w14:textId="662AF9C2" w:rsidR="00422FA4" w:rsidRDefault="00422FA4" w:rsidP="00DE0211">
            <w:r>
              <w:t>Andrew Neves (NS)</w:t>
            </w:r>
          </w:p>
        </w:tc>
        <w:tc>
          <w:tcPr>
            <w:tcW w:w="4111" w:type="dxa"/>
          </w:tcPr>
          <w:p w14:paraId="41BDEB56" w14:textId="70889190" w:rsidR="00422FA4" w:rsidRDefault="00422FA4" w:rsidP="00A15942">
            <w:pPr>
              <w:ind w:firstLine="33"/>
            </w:pPr>
            <w:r>
              <w:t xml:space="preserve">Engage Consulting </w:t>
            </w:r>
          </w:p>
        </w:tc>
      </w:tr>
      <w:tr w:rsidR="00422FA4" w14:paraId="19A956BD" w14:textId="77777777" w:rsidTr="00221F37">
        <w:tc>
          <w:tcPr>
            <w:tcW w:w="4819" w:type="dxa"/>
          </w:tcPr>
          <w:p w14:paraId="34E4A030" w14:textId="49758296" w:rsidR="00422FA4" w:rsidRDefault="00422FA4" w:rsidP="00480BA8">
            <w:r>
              <w:t>Gemma Br</w:t>
            </w:r>
            <w:r w:rsidR="00480BA8">
              <w:t>iance (GB)</w:t>
            </w:r>
          </w:p>
        </w:tc>
        <w:tc>
          <w:tcPr>
            <w:tcW w:w="4111" w:type="dxa"/>
          </w:tcPr>
          <w:p w14:paraId="41E2176C" w14:textId="2505F45D" w:rsidR="00422FA4" w:rsidRDefault="00422FA4" w:rsidP="00A15942">
            <w:pPr>
              <w:ind w:firstLine="33"/>
            </w:pPr>
            <w:r>
              <w:t>Bird and Bird</w:t>
            </w:r>
          </w:p>
        </w:tc>
      </w:tr>
      <w:tr w:rsidR="00422FA4" w14:paraId="53548005" w14:textId="77777777" w:rsidTr="00221F37">
        <w:tc>
          <w:tcPr>
            <w:tcW w:w="4819" w:type="dxa"/>
          </w:tcPr>
          <w:p w14:paraId="661A86EA" w14:textId="1137078D" w:rsidR="00422FA4" w:rsidRDefault="00480BA8" w:rsidP="00DE0211">
            <w:r>
              <w:t>Yselkla Farmer (YF)</w:t>
            </w:r>
          </w:p>
        </w:tc>
        <w:tc>
          <w:tcPr>
            <w:tcW w:w="4111" w:type="dxa"/>
          </w:tcPr>
          <w:p w14:paraId="22B6A13E" w14:textId="072961E0" w:rsidR="00422FA4" w:rsidRDefault="00480BA8" w:rsidP="00A15942">
            <w:pPr>
              <w:ind w:firstLine="33"/>
            </w:pPr>
            <w:r>
              <w:t>BEAMA</w:t>
            </w:r>
          </w:p>
        </w:tc>
      </w:tr>
      <w:tr w:rsidR="00422FA4" w14:paraId="610D185F" w14:textId="77777777" w:rsidTr="00221F37">
        <w:tc>
          <w:tcPr>
            <w:tcW w:w="4819" w:type="dxa"/>
          </w:tcPr>
          <w:p w14:paraId="328C8275" w14:textId="13309602" w:rsidR="00422FA4" w:rsidRDefault="00480BA8" w:rsidP="00DE0211">
            <w:r>
              <w:t>Emma Pinchbeck (EP)</w:t>
            </w:r>
          </w:p>
        </w:tc>
        <w:tc>
          <w:tcPr>
            <w:tcW w:w="4111" w:type="dxa"/>
          </w:tcPr>
          <w:p w14:paraId="5375961F" w14:textId="080B9FFE" w:rsidR="00422FA4" w:rsidRDefault="00480BA8" w:rsidP="00A15942">
            <w:pPr>
              <w:ind w:firstLine="33"/>
            </w:pPr>
            <w:r w:rsidRPr="00480BA8">
              <w:t>Micropower Council</w:t>
            </w:r>
          </w:p>
        </w:tc>
      </w:tr>
      <w:tr w:rsidR="00422FA4" w14:paraId="42D1E63B" w14:textId="77777777" w:rsidTr="00221F37">
        <w:tc>
          <w:tcPr>
            <w:tcW w:w="4819" w:type="dxa"/>
          </w:tcPr>
          <w:p w14:paraId="446B25F5" w14:textId="3D1C570D" w:rsidR="00422FA4" w:rsidRDefault="00480BA8" w:rsidP="00480BA8">
            <w:r>
              <w:t>Conrad Steel (CS)</w:t>
            </w:r>
          </w:p>
        </w:tc>
        <w:tc>
          <w:tcPr>
            <w:tcW w:w="4111" w:type="dxa"/>
          </w:tcPr>
          <w:p w14:paraId="5D9BF34E" w14:textId="3AF82F56" w:rsidR="00422FA4" w:rsidRDefault="00480BA8" w:rsidP="00A15942">
            <w:pPr>
              <w:ind w:firstLine="33"/>
            </w:pPr>
            <w:r>
              <w:t>Citizens Advice</w:t>
            </w:r>
          </w:p>
        </w:tc>
      </w:tr>
      <w:tr w:rsidR="00480BA8" w14:paraId="157D2054" w14:textId="77777777" w:rsidTr="00221F37">
        <w:tc>
          <w:tcPr>
            <w:tcW w:w="4819" w:type="dxa"/>
          </w:tcPr>
          <w:p w14:paraId="532C7C5C" w14:textId="034452BC" w:rsidR="00480BA8" w:rsidRDefault="00480BA8" w:rsidP="00DE0211">
            <w:r>
              <w:t>Maria Liendo (MS)</w:t>
            </w:r>
          </w:p>
        </w:tc>
        <w:tc>
          <w:tcPr>
            <w:tcW w:w="4111" w:type="dxa"/>
          </w:tcPr>
          <w:p w14:paraId="6CABCA4F" w14:textId="6F26B4EF" w:rsidR="00480BA8" w:rsidRDefault="00480BA8" w:rsidP="00A15942">
            <w:pPr>
              <w:ind w:firstLine="33"/>
            </w:pPr>
            <w:r>
              <w:t>SSE</w:t>
            </w:r>
          </w:p>
        </w:tc>
      </w:tr>
      <w:tr w:rsidR="00480BA8" w14:paraId="3EE9E8E0" w14:textId="77777777" w:rsidTr="00221F37">
        <w:tc>
          <w:tcPr>
            <w:tcW w:w="4819" w:type="dxa"/>
          </w:tcPr>
          <w:p w14:paraId="08DA685F" w14:textId="5E3CC00C" w:rsidR="00480BA8" w:rsidRDefault="00480BA8" w:rsidP="00DE0211">
            <w:r>
              <w:t>Andrew Jones (AJ)</w:t>
            </w:r>
          </w:p>
        </w:tc>
        <w:tc>
          <w:tcPr>
            <w:tcW w:w="4111" w:type="dxa"/>
          </w:tcPr>
          <w:p w14:paraId="3DE2BFEE" w14:textId="5BA062FA" w:rsidR="00480BA8" w:rsidRDefault="00480BA8" w:rsidP="00A15942">
            <w:pPr>
              <w:ind w:firstLine="33"/>
            </w:pPr>
            <w:r>
              <w:t>EDF</w:t>
            </w:r>
          </w:p>
        </w:tc>
      </w:tr>
      <w:tr w:rsidR="00480BA8" w14:paraId="7506BC06" w14:textId="77777777" w:rsidTr="00221F37">
        <w:tc>
          <w:tcPr>
            <w:tcW w:w="4819" w:type="dxa"/>
          </w:tcPr>
          <w:p w14:paraId="228A0F54" w14:textId="3301E9C3" w:rsidR="00480BA8" w:rsidRDefault="00480BA8" w:rsidP="00DE0211">
            <w:r>
              <w:t>Phil Proctor (PP)</w:t>
            </w:r>
          </w:p>
        </w:tc>
        <w:tc>
          <w:tcPr>
            <w:tcW w:w="4111" w:type="dxa"/>
          </w:tcPr>
          <w:p w14:paraId="257AD9EA" w14:textId="6B71A89E" w:rsidR="00480BA8" w:rsidRDefault="00480BA8" w:rsidP="00A15942">
            <w:pPr>
              <w:ind w:firstLine="33"/>
            </w:pPr>
            <w:r>
              <w:t>ETI</w:t>
            </w:r>
          </w:p>
        </w:tc>
      </w:tr>
      <w:tr w:rsidR="00422FA4" w14:paraId="04C21E3E" w14:textId="77777777" w:rsidTr="00221F37">
        <w:tc>
          <w:tcPr>
            <w:tcW w:w="4819" w:type="dxa"/>
          </w:tcPr>
          <w:p w14:paraId="0104D729" w14:textId="0881E5DB" w:rsidR="00422FA4" w:rsidRDefault="00422FA4" w:rsidP="00DE0211">
            <w:r w:rsidRPr="002E1BC0">
              <w:t>Dora Guzeleva</w:t>
            </w:r>
            <w:r>
              <w:t xml:space="preserve"> (DG)</w:t>
            </w:r>
          </w:p>
        </w:tc>
        <w:tc>
          <w:tcPr>
            <w:tcW w:w="4111" w:type="dxa"/>
          </w:tcPr>
          <w:p w14:paraId="31BEEE20" w14:textId="28F0A523" w:rsidR="00422FA4" w:rsidRDefault="00422FA4" w:rsidP="003F102E">
            <w:r w:rsidRPr="002E1BC0">
              <w:t>Ofgem</w:t>
            </w:r>
          </w:p>
        </w:tc>
      </w:tr>
      <w:tr w:rsidR="00422FA4" w14:paraId="253DBAA8" w14:textId="77777777" w:rsidTr="00221F37">
        <w:tc>
          <w:tcPr>
            <w:tcW w:w="4819" w:type="dxa"/>
          </w:tcPr>
          <w:p w14:paraId="1DBAD3A1" w14:textId="069D8594" w:rsidR="00422FA4" w:rsidRPr="00B1482D" w:rsidRDefault="00422FA4" w:rsidP="00DE0211">
            <w:r w:rsidRPr="002E1BC0">
              <w:t>Mark Askew</w:t>
            </w:r>
            <w:r>
              <w:t xml:space="preserve"> (MA)</w:t>
            </w:r>
          </w:p>
        </w:tc>
        <w:tc>
          <w:tcPr>
            <w:tcW w:w="4111" w:type="dxa"/>
          </w:tcPr>
          <w:p w14:paraId="235594E4" w14:textId="59FB1DBB" w:rsidR="00422FA4" w:rsidRPr="00B1482D" w:rsidRDefault="00422FA4" w:rsidP="00A15942">
            <w:pPr>
              <w:ind w:firstLine="33"/>
            </w:pPr>
            <w:r w:rsidRPr="002E1BC0">
              <w:t>Ofgem</w:t>
            </w:r>
          </w:p>
        </w:tc>
      </w:tr>
      <w:tr w:rsidR="00422FA4" w14:paraId="621619E8" w14:textId="77777777" w:rsidTr="00221F37">
        <w:tc>
          <w:tcPr>
            <w:tcW w:w="4819" w:type="dxa"/>
          </w:tcPr>
          <w:p w14:paraId="17B0D96F" w14:textId="3AC9A1E9" w:rsidR="00422FA4" w:rsidRDefault="00422FA4" w:rsidP="00DE0211">
            <w:r w:rsidRPr="002E1BC0">
              <w:t>Chiara Redaelli</w:t>
            </w:r>
            <w:r>
              <w:t xml:space="preserve"> (CR)</w:t>
            </w:r>
          </w:p>
        </w:tc>
        <w:tc>
          <w:tcPr>
            <w:tcW w:w="4111" w:type="dxa"/>
          </w:tcPr>
          <w:p w14:paraId="7692355D" w14:textId="31F26F6F" w:rsidR="00422FA4" w:rsidRDefault="00422FA4" w:rsidP="00A15942">
            <w:pPr>
              <w:ind w:firstLine="33"/>
            </w:pPr>
            <w:r w:rsidRPr="002E1BC0">
              <w:t>Ofgem</w:t>
            </w:r>
          </w:p>
        </w:tc>
      </w:tr>
      <w:tr w:rsidR="00422FA4" w14:paraId="5CFDF7AF" w14:textId="77777777" w:rsidTr="00221F37">
        <w:tc>
          <w:tcPr>
            <w:tcW w:w="4819" w:type="dxa"/>
          </w:tcPr>
          <w:p w14:paraId="23736FD0" w14:textId="054D93AE" w:rsidR="00422FA4" w:rsidRDefault="00422FA4" w:rsidP="00422FA4">
            <w:r>
              <w:t>Keavy Larkin (KL)</w:t>
            </w:r>
          </w:p>
        </w:tc>
        <w:tc>
          <w:tcPr>
            <w:tcW w:w="4111" w:type="dxa"/>
          </w:tcPr>
          <w:p w14:paraId="1E953423" w14:textId="43A44E6D" w:rsidR="00422FA4" w:rsidRDefault="00422FA4" w:rsidP="00A15942">
            <w:pPr>
              <w:ind w:firstLine="33"/>
            </w:pPr>
            <w:r w:rsidRPr="002E1BC0">
              <w:t>Ofgem</w:t>
            </w:r>
          </w:p>
        </w:tc>
      </w:tr>
    </w:tbl>
    <w:p w14:paraId="591EBA8A" w14:textId="77777777" w:rsidR="005A5207" w:rsidRPr="007D7F85" w:rsidRDefault="00B478CD" w:rsidP="005A5207">
      <w:pPr>
        <w:pStyle w:val="Heading1"/>
      </w:pPr>
      <w:r w:rsidRPr="007D7F85">
        <w:t>Review of previous minutes</w:t>
      </w:r>
    </w:p>
    <w:p w14:paraId="7F878B45" w14:textId="57BF16B7" w:rsidR="00676FCE" w:rsidRDefault="00DA4C5E" w:rsidP="001932BE">
      <w:pPr>
        <w:pStyle w:val="Paragraphnumbered"/>
        <w:jc w:val="both"/>
      </w:pPr>
      <w:r w:rsidRPr="007D7F85">
        <w:t xml:space="preserve">DG invited the group to send any comments on the previous meeting’s minutes and reviewed the actions.  </w:t>
      </w:r>
      <w:r w:rsidR="00676FCE">
        <w:t xml:space="preserve">An action </w:t>
      </w:r>
      <w:r w:rsidRPr="007D7F85">
        <w:t>w</w:t>
      </w:r>
      <w:r w:rsidR="00676FCE">
        <w:t>as</w:t>
      </w:r>
      <w:r w:rsidRPr="007D7F85">
        <w:t xml:space="preserve"> carried forward</w:t>
      </w:r>
      <w:r w:rsidR="00676FCE">
        <w:t xml:space="preserve"> for the</w:t>
      </w:r>
      <w:r w:rsidRPr="007D7F85">
        <w:t xml:space="preserve"> subgroup chairs to </w:t>
      </w:r>
      <w:r w:rsidR="00A11686">
        <w:t>input to</w:t>
      </w:r>
      <w:r w:rsidR="00676FCE">
        <w:t xml:space="preserve"> the Storage and DG subgroup, most notably the Consumer Protection subgroup</w:t>
      </w:r>
      <w:r w:rsidRPr="007D7F85">
        <w:t xml:space="preserve">.  </w:t>
      </w:r>
    </w:p>
    <w:p w14:paraId="39F20018" w14:textId="6F69AABF" w:rsidR="00DA4C5E" w:rsidRPr="00980992" w:rsidRDefault="00263F28" w:rsidP="001932BE">
      <w:pPr>
        <w:pStyle w:val="Paragraphnumbered"/>
        <w:jc w:val="both"/>
      </w:pPr>
      <w:r w:rsidRPr="007D7F85">
        <w:t xml:space="preserve">The action to </w:t>
      </w:r>
      <w:r w:rsidR="00676FCE">
        <w:t>circulate the</w:t>
      </w:r>
      <w:r w:rsidR="00464889">
        <w:t xml:space="preserve"> </w:t>
      </w:r>
      <w:r w:rsidR="00464889" w:rsidRPr="00464889">
        <w:t xml:space="preserve">EU Commission’s Expert Group </w:t>
      </w:r>
      <w:r w:rsidR="00E844FF" w:rsidRPr="00464889">
        <w:t xml:space="preserve">3 </w:t>
      </w:r>
      <w:r w:rsidR="00E844FF">
        <w:t>(</w:t>
      </w:r>
      <w:r w:rsidR="00676FCE">
        <w:t>EG3</w:t>
      </w:r>
      <w:r w:rsidR="00464889">
        <w:t>)</w:t>
      </w:r>
      <w:r w:rsidR="00676FCE">
        <w:t xml:space="preserve"> report was also carried over and it will be shared after the next </w:t>
      </w:r>
      <w:r w:rsidR="00464889">
        <w:t>EG3</w:t>
      </w:r>
      <w:r w:rsidR="00676FCE">
        <w:t xml:space="preserve"> meeting on the 17th</w:t>
      </w:r>
      <w:r w:rsidRPr="007D7F85">
        <w:t xml:space="preserve">.  </w:t>
      </w:r>
    </w:p>
    <w:tbl>
      <w:tblPr>
        <w:tblStyle w:val="TableProfessional"/>
        <w:tblW w:w="9498" w:type="dxa"/>
        <w:tblLook w:val="01E0" w:firstRow="1" w:lastRow="1" w:firstColumn="1" w:lastColumn="1" w:noHBand="0" w:noVBand="0"/>
      </w:tblPr>
      <w:tblGrid>
        <w:gridCol w:w="7513"/>
        <w:gridCol w:w="1985"/>
      </w:tblGrid>
      <w:tr w:rsidR="00184ECF" w:rsidRPr="00980992" w14:paraId="2E4B7C9E" w14:textId="77777777" w:rsidTr="000B7412">
        <w:trPr>
          <w:cnfStyle w:val="100000000000" w:firstRow="1" w:lastRow="0" w:firstColumn="0" w:lastColumn="0" w:oddVBand="0" w:evenVBand="0" w:oddHBand="0" w:evenHBand="0" w:firstRowFirstColumn="0" w:firstRowLastColumn="0" w:lastRowFirstColumn="0" w:lastRowLastColumn="0"/>
        </w:trPr>
        <w:tc>
          <w:tcPr>
            <w:tcW w:w="7513" w:type="dxa"/>
          </w:tcPr>
          <w:p w14:paraId="61EA13F3" w14:textId="77777777" w:rsidR="00184ECF" w:rsidRPr="00980992" w:rsidRDefault="00184ECF" w:rsidP="00A15942">
            <w:pPr>
              <w:ind w:firstLine="33"/>
              <w:rPr>
                <w:b w:val="0"/>
              </w:rPr>
            </w:pPr>
            <w:r w:rsidRPr="00980992">
              <w:rPr>
                <w:b w:val="0"/>
              </w:rPr>
              <w:t>Action</w:t>
            </w:r>
          </w:p>
        </w:tc>
        <w:tc>
          <w:tcPr>
            <w:tcW w:w="1985" w:type="dxa"/>
          </w:tcPr>
          <w:p w14:paraId="6C0C48A3" w14:textId="77777777" w:rsidR="00184ECF" w:rsidRPr="00980992" w:rsidRDefault="00184ECF" w:rsidP="00A15942">
            <w:pPr>
              <w:ind w:firstLine="33"/>
              <w:rPr>
                <w:b w:val="0"/>
              </w:rPr>
            </w:pPr>
            <w:r w:rsidRPr="00980992">
              <w:rPr>
                <w:b w:val="0"/>
              </w:rPr>
              <w:t xml:space="preserve">Person </w:t>
            </w:r>
            <w:r w:rsidR="008B39EE" w:rsidRPr="00980992">
              <w:rPr>
                <w:b w:val="0"/>
              </w:rPr>
              <w:t>–</w:t>
            </w:r>
            <w:r w:rsidRPr="00980992">
              <w:rPr>
                <w:b w:val="0"/>
              </w:rPr>
              <w:t xml:space="preserve"> By</w:t>
            </w:r>
          </w:p>
        </w:tc>
      </w:tr>
      <w:tr w:rsidR="00184ECF" w:rsidRPr="00980992" w14:paraId="31E80B93" w14:textId="77777777" w:rsidTr="000B7412">
        <w:tc>
          <w:tcPr>
            <w:tcW w:w="7513" w:type="dxa"/>
          </w:tcPr>
          <w:p w14:paraId="20F8865A" w14:textId="4195CF69" w:rsidR="00184ECF" w:rsidRPr="00980992" w:rsidRDefault="00676FCE" w:rsidP="00922BBB">
            <w:pPr>
              <w:ind w:firstLine="33"/>
            </w:pPr>
            <w:r>
              <w:t>Subgroup chairs to</w:t>
            </w:r>
            <w:r w:rsidR="00A11686">
              <w:t xml:space="preserve"> input to the Storage and DG subgroup</w:t>
            </w:r>
          </w:p>
        </w:tc>
        <w:tc>
          <w:tcPr>
            <w:tcW w:w="1985" w:type="dxa"/>
          </w:tcPr>
          <w:p w14:paraId="7946F313" w14:textId="3F76A7BE" w:rsidR="00184ECF" w:rsidRPr="00980992" w:rsidRDefault="00A11686" w:rsidP="00755114">
            <w:pPr>
              <w:ind w:firstLine="33"/>
            </w:pPr>
            <w:r>
              <w:t>Subgroup chairs</w:t>
            </w:r>
          </w:p>
        </w:tc>
      </w:tr>
      <w:tr w:rsidR="00922BBB" w:rsidRPr="00980992" w14:paraId="5F5554C8" w14:textId="77777777" w:rsidTr="000B7412">
        <w:tc>
          <w:tcPr>
            <w:tcW w:w="7513" w:type="dxa"/>
          </w:tcPr>
          <w:p w14:paraId="3353F436" w14:textId="078C3970" w:rsidR="00922BBB" w:rsidRPr="00980992" w:rsidRDefault="00922BBB" w:rsidP="00A11686">
            <w:pPr>
              <w:ind w:firstLine="33"/>
            </w:pPr>
            <w:r>
              <w:t xml:space="preserve">Circulate EG3 report </w:t>
            </w:r>
            <w:r w:rsidR="00A11686">
              <w:t>after the 17</w:t>
            </w:r>
            <w:r w:rsidR="00A11686" w:rsidRPr="00A11686">
              <w:rPr>
                <w:vertAlign w:val="superscript"/>
              </w:rPr>
              <w:t>th</w:t>
            </w:r>
            <w:r w:rsidR="00A11686">
              <w:t xml:space="preserve"> December</w:t>
            </w:r>
          </w:p>
        </w:tc>
        <w:tc>
          <w:tcPr>
            <w:tcW w:w="1985" w:type="dxa"/>
          </w:tcPr>
          <w:p w14:paraId="36CC869F" w14:textId="72692DB1" w:rsidR="00922BBB" w:rsidRPr="00980992" w:rsidRDefault="00A11686" w:rsidP="00755114">
            <w:pPr>
              <w:ind w:firstLine="33"/>
            </w:pPr>
            <w:r>
              <w:t>KL</w:t>
            </w:r>
          </w:p>
        </w:tc>
      </w:tr>
    </w:tbl>
    <w:p w14:paraId="1384CD6B" w14:textId="77777777" w:rsidR="005832FA" w:rsidRPr="006C18ED" w:rsidRDefault="005832FA" w:rsidP="006C18ED"/>
    <w:p w14:paraId="7517BF30" w14:textId="77777777" w:rsidR="00DA4C5E" w:rsidRDefault="00DA4C5E" w:rsidP="00CE63AD">
      <w:pPr>
        <w:pStyle w:val="Heading1"/>
      </w:pPr>
      <w:r>
        <w:t>Updates</w:t>
      </w:r>
    </w:p>
    <w:p w14:paraId="52E30316" w14:textId="2AD3722D" w:rsidR="002E1BC0" w:rsidRPr="002E1BC0" w:rsidRDefault="00A11686" w:rsidP="001932BE">
      <w:pPr>
        <w:pStyle w:val="Paragraphnumbered"/>
        <w:numPr>
          <w:ilvl w:val="0"/>
          <w:numId w:val="0"/>
        </w:numPr>
        <w:ind w:left="574" w:hanging="432"/>
        <w:jc w:val="both"/>
        <w:rPr>
          <w:u w:val="single"/>
        </w:rPr>
      </w:pPr>
      <w:r>
        <w:rPr>
          <w:u w:val="single"/>
        </w:rPr>
        <w:t>European Update</w:t>
      </w:r>
    </w:p>
    <w:p w14:paraId="06890E0A" w14:textId="1F699DAE" w:rsidR="009F775E" w:rsidRDefault="00A11686" w:rsidP="001932BE">
      <w:pPr>
        <w:pStyle w:val="Paragraphnumbered"/>
        <w:jc w:val="both"/>
      </w:pPr>
      <w:r>
        <w:t>KL updated the group on CEER’s</w:t>
      </w:r>
      <w:r w:rsidR="00025407">
        <w:t xml:space="preserve"> Distribution System Operator</w:t>
      </w:r>
      <w:r>
        <w:t xml:space="preserve"> </w:t>
      </w:r>
      <w:r w:rsidR="00025407">
        <w:t>(</w:t>
      </w:r>
      <w:r>
        <w:t>DSO</w:t>
      </w:r>
      <w:r w:rsidR="00025407">
        <w:t>)</w:t>
      </w:r>
      <w:r>
        <w:t xml:space="preserve"> Consultation document</w:t>
      </w:r>
      <w:r w:rsidR="00E464D0">
        <w:t xml:space="preserve">. Subject to approval by the General Assembly, the document will be published for consultation. The consultation considers different regulatory tools to </w:t>
      </w:r>
      <w:r w:rsidR="00E464D0">
        <w:lastRenderedPageBreak/>
        <w:t xml:space="preserve">reflect current differences in activity profiles, unbundling, structural and technical issues. It doesn’t seek to impose a single regulatory solution for DSOs across Europe. </w:t>
      </w:r>
    </w:p>
    <w:p w14:paraId="4EAEFDFB" w14:textId="64234788" w:rsidR="009F775E" w:rsidRDefault="00E464D0" w:rsidP="001932BE">
      <w:pPr>
        <w:pStyle w:val="Paragraphnumbered"/>
        <w:jc w:val="both"/>
      </w:pPr>
      <w:r>
        <w:t>The Consultation has three chapters, the first examines the existing and future activities of the DSO, its core role and areas for further regulatory contro</w:t>
      </w:r>
      <w:r w:rsidR="00CF1466">
        <w:t>l. A framework has been developed that can be used by policy makers and regulators to determine what tasks a DSO should perform in the future. It should be noted that different conditions exist in current activity profiles and unbundling structure</w:t>
      </w:r>
      <w:r w:rsidR="00025407">
        <w:t>s</w:t>
      </w:r>
      <w:r w:rsidR="00CF1466">
        <w:t xml:space="preserve"> in different member states, so the application of the framework may lead to different results for different Member States. Chapter 2 discusses the increasing involvement of the DSO in system operation and the implications for the relationship between transmission system operators (TSOs) and DSOs. Chapter 3 focuses on the regulatory incentives needed to bring about these changes.</w:t>
      </w:r>
      <w:r w:rsidR="00B51D2A">
        <w:t xml:space="preserve">  </w:t>
      </w:r>
    </w:p>
    <w:p w14:paraId="39539D8A" w14:textId="6AADD4F0" w:rsidR="00DA4C5E" w:rsidRDefault="00B51D2A" w:rsidP="001932BE">
      <w:pPr>
        <w:pStyle w:val="Paragraphnumbered"/>
        <w:jc w:val="both"/>
      </w:pPr>
      <w:r>
        <w:t>GJ asked whether Ofgem were happy with the document</w:t>
      </w:r>
      <w:r w:rsidR="001932BE">
        <w:t>.</w:t>
      </w:r>
      <w:r>
        <w:t xml:space="preserve"> KL replied that </w:t>
      </w:r>
      <w:r w:rsidR="001932BE">
        <w:t>Ofgem was</w:t>
      </w:r>
      <w:r>
        <w:t xml:space="preserve"> broadly satisfied with it, </w:t>
      </w:r>
      <w:r w:rsidR="001932BE">
        <w:t>was</w:t>
      </w:r>
      <w:r>
        <w:t xml:space="preserve"> happy that it didn’t close any doors for DSO involvement in flexibility in the future.</w:t>
      </w:r>
    </w:p>
    <w:p w14:paraId="7C5638EC" w14:textId="4EE5B6AE" w:rsidR="00464889" w:rsidRDefault="00464889" w:rsidP="001932BE">
      <w:pPr>
        <w:pStyle w:val="Paragraphnumbered"/>
        <w:jc w:val="both"/>
      </w:pPr>
      <w:r>
        <w:t xml:space="preserve">DG then updated the group on the EG3 report. She confirmed that it would be possible to circulate the latest version of Chapter 2. The controversial recommendations in chapter two have been amended </w:t>
      </w:r>
      <w:r w:rsidR="001932BE">
        <w:t>so they are now a</w:t>
      </w:r>
      <w:r>
        <w:t xml:space="preserve"> much higher </w:t>
      </w:r>
      <w:r w:rsidR="00F4507E">
        <w:t>level. However</w:t>
      </w:r>
      <w:r w:rsidR="001932BE">
        <w:t>,</w:t>
      </w:r>
      <w:r>
        <w:t xml:space="preserve"> DG warned that the Commission </w:t>
      </w:r>
      <w:r w:rsidR="001932BE">
        <w:t xml:space="preserve">may </w:t>
      </w:r>
      <w:r>
        <w:t>do further work on this in the future. At the moment, there is nothing to report on Chapter 3</w:t>
      </w:r>
      <w:r w:rsidR="001932BE">
        <w:t>.</w:t>
      </w:r>
      <w:r>
        <w:t xml:space="preserve"> DG will update</w:t>
      </w:r>
      <w:r w:rsidR="001932BE">
        <w:t xml:space="preserve"> WS6</w:t>
      </w:r>
      <w:r>
        <w:t xml:space="preserve"> after the meeting on the 17</w:t>
      </w:r>
      <w:r w:rsidRPr="00464889">
        <w:rPr>
          <w:vertAlign w:val="superscript"/>
        </w:rPr>
        <w:t>th</w:t>
      </w:r>
      <w:r>
        <w:t xml:space="preserve"> December.</w:t>
      </w:r>
    </w:p>
    <w:p w14:paraId="53FD72D5" w14:textId="574BC450" w:rsidR="002E1BC0" w:rsidRPr="002E1BC0" w:rsidRDefault="00464889" w:rsidP="001932BE">
      <w:pPr>
        <w:pStyle w:val="Paragraphnumbered"/>
        <w:numPr>
          <w:ilvl w:val="0"/>
          <w:numId w:val="0"/>
        </w:numPr>
        <w:ind w:left="142"/>
        <w:jc w:val="both"/>
        <w:rPr>
          <w:u w:val="single"/>
        </w:rPr>
      </w:pPr>
      <w:r>
        <w:rPr>
          <w:u w:val="single"/>
        </w:rPr>
        <w:t>SSEPD Shetland Consultation</w:t>
      </w:r>
    </w:p>
    <w:p w14:paraId="72AFAAC6" w14:textId="496BE4C6" w:rsidR="00FB60EB" w:rsidRDefault="009F775E" w:rsidP="001932BE">
      <w:pPr>
        <w:pStyle w:val="Paragraphnumbered"/>
        <w:jc w:val="both"/>
      </w:pPr>
      <w:r>
        <w:t xml:space="preserve">ML gave an update on the recent Shetland Consultation and some background on the situation in Shetland. ML explained that the two main power stations on Shetland are approaching the end of their lives. </w:t>
      </w:r>
    </w:p>
    <w:p w14:paraId="0422E960" w14:textId="7477BD84" w:rsidR="005E2D7E" w:rsidRDefault="009F775E" w:rsidP="001932BE">
      <w:pPr>
        <w:pStyle w:val="Paragraphnumbered"/>
        <w:jc w:val="both"/>
      </w:pPr>
      <w:r>
        <w:t>The consultation is a pre tender consultation and is due to close on December 19</w:t>
      </w:r>
      <w:r w:rsidRPr="009F775E">
        <w:rPr>
          <w:vertAlign w:val="superscript"/>
        </w:rPr>
        <w:t>th</w:t>
      </w:r>
      <w:r>
        <w:t xml:space="preserve">. The tender process will begin in 2015. This tender will </w:t>
      </w:r>
      <w:r w:rsidR="001932BE">
        <w:t>focus around</w:t>
      </w:r>
      <w:r>
        <w:t xml:space="preserve"> capacity, intermittent generation (renewables)</w:t>
      </w:r>
      <w:r w:rsidR="007E6EF6">
        <w:t xml:space="preserve">, DSR and ancillary services. Interested parties can bid for one service or more. Key learning from NINES should be integrated into the </w:t>
      </w:r>
      <w:r w:rsidR="001932BE">
        <w:t>tender process</w:t>
      </w:r>
      <w:r w:rsidR="007E6EF6">
        <w:t xml:space="preserve">. EP </w:t>
      </w:r>
      <w:r w:rsidR="001932BE">
        <w:t xml:space="preserve">indicated </w:t>
      </w:r>
      <w:r w:rsidR="007E6EF6">
        <w:t>that she has forwarded on the consultation details to her contact list but that she will not be commenting directly.</w:t>
      </w:r>
    </w:p>
    <w:p w14:paraId="25D66F70" w14:textId="2AF38E6C" w:rsidR="009F775E" w:rsidRDefault="005E2D7E" w:rsidP="001932BE">
      <w:pPr>
        <w:pStyle w:val="Paragraphnumbered"/>
        <w:jc w:val="both"/>
      </w:pPr>
      <w:r>
        <w:t>DG commented that through NINES, a 1MW battery</w:t>
      </w:r>
      <w:r w:rsidR="004A4F64">
        <w:t>, tidal station, district heating, domestic thermal storage and DSR have</w:t>
      </w:r>
      <w:r>
        <w:t xml:space="preserve"> been fully </w:t>
      </w:r>
      <w:r w:rsidR="001932BE">
        <w:t>integrated</w:t>
      </w:r>
      <w:r w:rsidR="004A4F64">
        <w:t>.  Ofgem is very keen to ensure that innovation and smart grids are being picked up as Shetland could be the test bed for a GB demonstration of smart grids. She encourage</w:t>
      </w:r>
      <w:r w:rsidR="001932BE">
        <w:t>d</w:t>
      </w:r>
      <w:r w:rsidR="004A4F64">
        <w:t xml:space="preserve"> stakeholders to respond to the consultation with views of how this could be done, before or after the consultation closes.</w:t>
      </w:r>
    </w:p>
    <w:p w14:paraId="5B26074E" w14:textId="3EF40E39" w:rsidR="004A4F64" w:rsidRDefault="004A4F64" w:rsidP="001932BE">
      <w:pPr>
        <w:pStyle w:val="Paragraphnumbered"/>
        <w:jc w:val="both"/>
      </w:pPr>
      <w:r>
        <w:t>TB asked whether there had been any interest from local community groups, to which ML and DG answered that there had been 3 or 4 community events in November and that the local community are fu</w:t>
      </w:r>
      <w:r w:rsidR="00240E58">
        <w:t>lly aware of the</w:t>
      </w:r>
      <w:r>
        <w:t>.</w:t>
      </w:r>
    </w:p>
    <w:p w14:paraId="5EF79790" w14:textId="694F255D" w:rsidR="002E1BC0" w:rsidRPr="002E1BC0" w:rsidRDefault="004A4F64" w:rsidP="001932BE">
      <w:pPr>
        <w:pStyle w:val="Paragraphnumbered"/>
        <w:numPr>
          <w:ilvl w:val="0"/>
          <w:numId w:val="0"/>
        </w:numPr>
        <w:ind w:left="142"/>
        <w:jc w:val="both"/>
        <w:rPr>
          <w:u w:val="single"/>
        </w:rPr>
      </w:pPr>
      <w:r>
        <w:rPr>
          <w:u w:val="single"/>
        </w:rPr>
        <w:t>BEAMA update on the CAD</w:t>
      </w:r>
    </w:p>
    <w:p w14:paraId="1783DBF9" w14:textId="0B4DD59A" w:rsidR="00A73400" w:rsidRDefault="00465FD6" w:rsidP="00DE0815">
      <w:pPr>
        <w:pStyle w:val="Paragraphnumbered"/>
      </w:pPr>
      <w:r>
        <w:t xml:space="preserve">YF updated the group on the publication of </w:t>
      </w:r>
      <w:r w:rsidR="001932BE">
        <w:t xml:space="preserve">BEAMA’s </w:t>
      </w:r>
      <w:r>
        <w:t>guide to the CAD, which is available on BEAMA’s website and on the UK Smart Grid Portal. DG asked if YF could take an action to come back to the next meeting and present on the contents on the guide. DG noted that there are other standards groups looking at similar issues. AJ asked whether DNOs and suppliers are represented on the respective groups</w:t>
      </w:r>
      <w:r w:rsidR="00DE0815">
        <w:t>.</w:t>
      </w:r>
      <w:r w:rsidR="00240E58">
        <w:t xml:space="preserve"> EP answered that they are represented </w:t>
      </w:r>
      <w:r w:rsidR="003426E2">
        <w:t xml:space="preserve">but </w:t>
      </w:r>
      <w:r w:rsidR="00240E58">
        <w:t>there is a need for more smart grid focussed people to be involved</w:t>
      </w:r>
      <w:r w:rsidR="003426E2">
        <w:t>.</w:t>
      </w:r>
      <w:r w:rsidR="00240E58">
        <w:t xml:space="preserve"> YF answered that her group is more focused</w:t>
      </w:r>
      <w:r w:rsidR="00DE0815">
        <w:t xml:space="preserve"> on </w:t>
      </w:r>
      <w:r w:rsidR="00DE0815" w:rsidRPr="00DE0815">
        <w:t>manufacturing</w:t>
      </w:r>
      <w:r w:rsidR="00240E58">
        <w:t xml:space="preserve">. </w:t>
      </w:r>
    </w:p>
    <w:p w14:paraId="7092A78C" w14:textId="707278AF" w:rsidR="00BC3385" w:rsidRDefault="00BC3385" w:rsidP="001932BE">
      <w:pPr>
        <w:pStyle w:val="Paragraphnumbered"/>
        <w:jc w:val="both"/>
      </w:pPr>
      <w:r>
        <w:lastRenderedPageBreak/>
        <w:t>YF noted that Tim Bailey from DECC will be talking about the CAD at Tech</w:t>
      </w:r>
      <w:r w:rsidR="00264524">
        <w:t>UK</w:t>
      </w:r>
      <w:r>
        <w:t xml:space="preserve"> in Ja</w:t>
      </w:r>
      <w:r w:rsidR="003426E2">
        <w:t xml:space="preserve">nuary. The group suggested </w:t>
      </w:r>
      <w:r>
        <w:t xml:space="preserve">to ask Tim to come to a WS6 meeting to present. The subgroups took an action to prepare questions for Tim </w:t>
      </w:r>
      <w:r w:rsidR="00E844FF">
        <w:t>beforehand</w:t>
      </w:r>
      <w:r>
        <w:t>.</w:t>
      </w:r>
    </w:p>
    <w:p w14:paraId="32880D6B" w14:textId="77777777" w:rsidR="00BC3385" w:rsidRDefault="00BC3385" w:rsidP="001932BE">
      <w:pPr>
        <w:pStyle w:val="Heading1"/>
        <w:numPr>
          <w:ilvl w:val="0"/>
          <w:numId w:val="0"/>
        </w:numPr>
        <w:ind w:left="360"/>
        <w:jc w:val="both"/>
      </w:pPr>
    </w:p>
    <w:tbl>
      <w:tblPr>
        <w:tblStyle w:val="TableProfessional"/>
        <w:tblW w:w="9498" w:type="dxa"/>
        <w:tblLook w:val="01E0" w:firstRow="1" w:lastRow="1" w:firstColumn="1" w:lastColumn="1" w:noHBand="0" w:noVBand="0"/>
      </w:tblPr>
      <w:tblGrid>
        <w:gridCol w:w="7513"/>
        <w:gridCol w:w="1985"/>
      </w:tblGrid>
      <w:tr w:rsidR="00E926D6" w:rsidRPr="00980992" w14:paraId="5C6E391E" w14:textId="77777777" w:rsidTr="00E926D6">
        <w:trPr>
          <w:cnfStyle w:val="100000000000" w:firstRow="1" w:lastRow="0" w:firstColumn="0" w:lastColumn="0" w:oddVBand="0" w:evenVBand="0" w:oddHBand="0" w:evenHBand="0" w:firstRowFirstColumn="0" w:firstRowLastColumn="0" w:lastRowFirstColumn="0" w:lastRowLastColumn="0"/>
        </w:trPr>
        <w:tc>
          <w:tcPr>
            <w:tcW w:w="7513" w:type="dxa"/>
          </w:tcPr>
          <w:p w14:paraId="06D3AAE2" w14:textId="77777777" w:rsidR="00E926D6" w:rsidRPr="00980992" w:rsidRDefault="00E926D6" w:rsidP="001932BE">
            <w:pPr>
              <w:ind w:firstLine="33"/>
              <w:jc w:val="both"/>
              <w:rPr>
                <w:b w:val="0"/>
              </w:rPr>
            </w:pPr>
            <w:r w:rsidRPr="00980992">
              <w:rPr>
                <w:b w:val="0"/>
              </w:rPr>
              <w:t>Action</w:t>
            </w:r>
          </w:p>
        </w:tc>
        <w:tc>
          <w:tcPr>
            <w:tcW w:w="1985" w:type="dxa"/>
          </w:tcPr>
          <w:p w14:paraId="014F5B4D" w14:textId="77777777" w:rsidR="00E926D6" w:rsidRPr="00980992" w:rsidRDefault="00E926D6" w:rsidP="001932BE">
            <w:pPr>
              <w:ind w:firstLine="33"/>
              <w:jc w:val="both"/>
              <w:rPr>
                <w:b w:val="0"/>
              </w:rPr>
            </w:pPr>
            <w:r w:rsidRPr="00980992">
              <w:rPr>
                <w:b w:val="0"/>
              </w:rPr>
              <w:t>Person – By</w:t>
            </w:r>
          </w:p>
        </w:tc>
      </w:tr>
      <w:tr w:rsidR="002E1BC0" w:rsidRPr="00980992" w14:paraId="1920B3AD" w14:textId="77777777" w:rsidTr="002E1BC0">
        <w:tc>
          <w:tcPr>
            <w:tcW w:w="7513" w:type="dxa"/>
          </w:tcPr>
          <w:p w14:paraId="6479CFDE" w14:textId="4103392B" w:rsidR="002E1BC0" w:rsidRDefault="00240E58" w:rsidP="001932BE">
            <w:pPr>
              <w:ind w:firstLine="33"/>
              <w:jc w:val="both"/>
            </w:pPr>
            <w:r>
              <w:t xml:space="preserve">YF to present on the guide </w:t>
            </w:r>
            <w:r w:rsidR="00DE0815">
              <w:t xml:space="preserve"> to the CAD </w:t>
            </w:r>
            <w:r>
              <w:t>at the next WS6 meeting</w:t>
            </w:r>
            <w:r w:rsidR="002E1BC0">
              <w:t xml:space="preserve"> </w:t>
            </w:r>
          </w:p>
        </w:tc>
        <w:tc>
          <w:tcPr>
            <w:tcW w:w="1985" w:type="dxa"/>
          </w:tcPr>
          <w:p w14:paraId="302867BE" w14:textId="157591B0" w:rsidR="002E1BC0" w:rsidRDefault="00240E58" w:rsidP="001932BE">
            <w:pPr>
              <w:ind w:firstLine="33"/>
              <w:jc w:val="both"/>
            </w:pPr>
            <w:r>
              <w:t>YF</w:t>
            </w:r>
          </w:p>
        </w:tc>
      </w:tr>
      <w:tr w:rsidR="00BC3385" w:rsidRPr="00980992" w14:paraId="4199B4D8" w14:textId="77777777" w:rsidTr="002E1BC0">
        <w:tc>
          <w:tcPr>
            <w:tcW w:w="7513" w:type="dxa"/>
          </w:tcPr>
          <w:p w14:paraId="6D46AB10" w14:textId="40BBA4C6" w:rsidR="00BC3385" w:rsidRDefault="00BC3385" w:rsidP="001932BE">
            <w:pPr>
              <w:ind w:firstLine="33"/>
              <w:jc w:val="both"/>
            </w:pPr>
            <w:r>
              <w:t>To invite Tim Bailey to present on the CAD at a WS6 meeting</w:t>
            </w:r>
          </w:p>
        </w:tc>
        <w:tc>
          <w:tcPr>
            <w:tcW w:w="1985" w:type="dxa"/>
          </w:tcPr>
          <w:p w14:paraId="4B1D6432" w14:textId="79AD25C1" w:rsidR="00BC3385" w:rsidRDefault="00BC3385" w:rsidP="001932BE">
            <w:pPr>
              <w:ind w:firstLine="33"/>
              <w:jc w:val="both"/>
            </w:pPr>
            <w:r>
              <w:t>Ofegm</w:t>
            </w:r>
          </w:p>
        </w:tc>
      </w:tr>
      <w:tr w:rsidR="00BC3385" w:rsidRPr="00980992" w14:paraId="6DCBC5B5" w14:textId="77777777" w:rsidTr="002E1BC0">
        <w:tc>
          <w:tcPr>
            <w:tcW w:w="7513" w:type="dxa"/>
          </w:tcPr>
          <w:p w14:paraId="7BC1C4E4" w14:textId="6729EA35" w:rsidR="00BC3385" w:rsidRDefault="00BC3385" w:rsidP="001932BE">
            <w:pPr>
              <w:ind w:firstLine="33"/>
              <w:jc w:val="both"/>
            </w:pPr>
            <w:r>
              <w:t>Subgroups to develop questions for Tim beforehand</w:t>
            </w:r>
          </w:p>
        </w:tc>
        <w:tc>
          <w:tcPr>
            <w:tcW w:w="1985" w:type="dxa"/>
          </w:tcPr>
          <w:p w14:paraId="53AB4D92" w14:textId="56C6B20E" w:rsidR="00BC3385" w:rsidRDefault="00BC3385" w:rsidP="001932BE">
            <w:pPr>
              <w:ind w:firstLine="33"/>
              <w:jc w:val="both"/>
            </w:pPr>
            <w:r>
              <w:t xml:space="preserve">Subgroup chairs </w:t>
            </w:r>
          </w:p>
        </w:tc>
      </w:tr>
    </w:tbl>
    <w:p w14:paraId="2A9A4DB3" w14:textId="77777777" w:rsidR="00DA4C5E" w:rsidRDefault="00DA4C5E" w:rsidP="001932BE">
      <w:pPr>
        <w:pStyle w:val="Paragraphnumbered"/>
        <w:numPr>
          <w:ilvl w:val="0"/>
          <w:numId w:val="0"/>
        </w:numPr>
        <w:ind w:left="574"/>
        <w:jc w:val="both"/>
      </w:pPr>
    </w:p>
    <w:p w14:paraId="2E10E0FE" w14:textId="5D770E8A" w:rsidR="00CE63AD" w:rsidRDefault="00BC3385" w:rsidP="001932BE">
      <w:pPr>
        <w:pStyle w:val="Heading1"/>
        <w:jc w:val="both"/>
      </w:pPr>
      <w:r>
        <w:t>Storage &amp; DG subgroup</w:t>
      </w:r>
    </w:p>
    <w:p w14:paraId="31B6D4CC" w14:textId="4D84C8A5" w:rsidR="003A733F" w:rsidRDefault="00BC3385" w:rsidP="001932BE">
      <w:pPr>
        <w:pStyle w:val="Paragraphnumbered"/>
        <w:jc w:val="both"/>
      </w:pPr>
      <w:r>
        <w:t>ZZ presented the subgroups work on flexible connections.</w:t>
      </w:r>
      <w:r w:rsidR="007D7761">
        <w:t xml:space="preserve"> </w:t>
      </w:r>
      <w:r w:rsidR="00A64B38">
        <w:t xml:space="preserve">ZZ’s slides posed two key questions: 1. Can some form of risk mitigation be offered </w:t>
      </w:r>
      <w:r w:rsidR="00DE0815">
        <w:t xml:space="preserve">for </w:t>
      </w:r>
      <w:r w:rsidR="00A64B38">
        <w:t xml:space="preserve">flexible non-form connections? </w:t>
      </w:r>
      <w:r w:rsidR="00E844FF">
        <w:t>2. Once</w:t>
      </w:r>
      <w:r w:rsidR="00A64B38">
        <w:t xml:space="preserve"> the network has been reinforced, what access should </w:t>
      </w:r>
      <w:r w:rsidR="00DE0815">
        <w:t xml:space="preserve">pre-existing </w:t>
      </w:r>
      <w:r w:rsidR="00A64B38">
        <w:t>non-firm connectees have to th</w:t>
      </w:r>
      <w:r w:rsidR="00FC0547">
        <w:t>e new capacity created</w:t>
      </w:r>
      <w:r w:rsidR="00A64B38">
        <w:t>? AL and ML c</w:t>
      </w:r>
      <w:r w:rsidR="006E0854">
        <w:t xml:space="preserve">ommented on the wording of point two, </w:t>
      </w:r>
      <w:r w:rsidR="00DE0815">
        <w:t>that</w:t>
      </w:r>
      <w:r w:rsidR="006E0854">
        <w:t xml:space="preserve"> having access is not a problem for the connectee, it is more a question of</w:t>
      </w:r>
      <w:r w:rsidR="00DE0815">
        <w:t xml:space="preserve"> who bears the</w:t>
      </w:r>
      <w:r w:rsidR="006E0854">
        <w:t xml:space="preserve"> cost. </w:t>
      </w:r>
      <w:r w:rsidR="003A733F">
        <w:t xml:space="preserve">DG noted that access and cost are connected.  ML commented that there is a third issue – which is how to identify a clear signal for when to trigger reinforcement. </w:t>
      </w:r>
    </w:p>
    <w:p w14:paraId="1A89ADBE" w14:textId="734B772F" w:rsidR="007D7761" w:rsidRDefault="003A733F" w:rsidP="001932BE">
      <w:pPr>
        <w:pStyle w:val="Paragraphnumbered"/>
        <w:jc w:val="both"/>
      </w:pPr>
      <w:r>
        <w:t>ZZ’s slides cover</w:t>
      </w:r>
      <w:r w:rsidR="00DE0815">
        <w:t>ed</w:t>
      </w:r>
      <w:r>
        <w:t xml:space="preserve"> 3 scenarios for connection. ZZ asked the group to comment on whether these </w:t>
      </w:r>
      <w:r w:rsidR="00DE0815">
        <w:t xml:space="preserve">cover all </w:t>
      </w:r>
      <w:r>
        <w:t>scenarios. JR commented that clarity should be given on where connection costs end and DUoS begins. DG commented that the Common Connection Charging Methodology sets this out very clearly.</w:t>
      </w:r>
      <w:r w:rsidR="00811AD8">
        <w:t xml:space="preserve"> JR asked whether the boundary came at the right </w:t>
      </w:r>
      <w:r w:rsidR="00E844FF">
        <w:t>place.</w:t>
      </w:r>
      <w:r w:rsidR="00811AD8">
        <w:t xml:space="preserve"> DG commented that DNOs have a licence obligation to annually update </w:t>
      </w:r>
      <w:r w:rsidR="00DE0815">
        <w:t xml:space="preserve">their methodologies </w:t>
      </w:r>
      <w:r w:rsidR="00811AD8">
        <w:t xml:space="preserve">to ensure that they are efficient. ML commented that it was probably out of the scope for the </w:t>
      </w:r>
      <w:r w:rsidR="00FC0547">
        <w:t>sub group</w:t>
      </w:r>
      <w:r w:rsidR="00811AD8">
        <w:t xml:space="preserve"> to discuss </w:t>
      </w:r>
      <w:r w:rsidR="00FC0547">
        <w:t xml:space="preserve">changes </w:t>
      </w:r>
      <w:r w:rsidR="00F4507E">
        <w:t>to the</w:t>
      </w:r>
      <w:r w:rsidR="00FC0547">
        <w:t xml:space="preserve"> connection </w:t>
      </w:r>
      <w:r w:rsidR="00811AD8">
        <w:t xml:space="preserve">boundary. </w:t>
      </w:r>
    </w:p>
    <w:p w14:paraId="1B793991" w14:textId="09A83EEE" w:rsidR="00F53CFB" w:rsidRDefault="0080351E" w:rsidP="001932BE">
      <w:pPr>
        <w:pStyle w:val="Paragraphnumbered"/>
        <w:jc w:val="both"/>
      </w:pPr>
      <w:r>
        <w:t xml:space="preserve">DG reminded the group of the context for this work. DUoS customers pick up 50% </w:t>
      </w:r>
      <w:r w:rsidR="00DE0815">
        <w:t xml:space="preserve">to 70% </w:t>
      </w:r>
      <w:r>
        <w:t xml:space="preserve">of </w:t>
      </w:r>
      <w:r w:rsidR="00782E3E">
        <w:t>reinforcement</w:t>
      </w:r>
      <w:r>
        <w:t xml:space="preserve"> costs. It is important</w:t>
      </w:r>
      <w:r w:rsidR="00A03590">
        <w:t xml:space="preserve"> to understand</w:t>
      </w:r>
      <w:r>
        <w:t xml:space="preserve"> that when DNOs avoid reinforcing the network</w:t>
      </w:r>
      <w:r w:rsidR="005E0957">
        <w:t xml:space="preserve"> DUoS customers benefit</w:t>
      </w:r>
      <w:r w:rsidR="00A03590">
        <w:t xml:space="preserve"> through non-firm connections</w:t>
      </w:r>
      <w:r w:rsidR="005E0957">
        <w:t xml:space="preserve">. </w:t>
      </w:r>
    </w:p>
    <w:p w14:paraId="30080F93" w14:textId="705B0CB1" w:rsidR="00F53CFB" w:rsidRDefault="00F53CFB" w:rsidP="001932BE">
      <w:pPr>
        <w:pStyle w:val="Paragraphnumbered"/>
        <w:jc w:val="both"/>
      </w:pPr>
      <w:r>
        <w:t xml:space="preserve">JC then updated the group on the work that the subgroup </w:t>
      </w:r>
      <w:r w:rsidR="00A03590">
        <w:t xml:space="preserve">had </w:t>
      </w:r>
      <w:r>
        <w:t xml:space="preserve">done addressing the actions allocated to </w:t>
      </w:r>
      <w:r w:rsidR="00A03590">
        <w:t xml:space="preserve">it </w:t>
      </w:r>
      <w:r>
        <w:t xml:space="preserve">from the LCNF workshop. </w:t>
      </w:r>
    </w:p>
    <w:p w14:paraId="54B2ABF0" w14:textId="3D034BEB" w:rsidR="00905298" w:rsidRDefault="00087609" w:rsidP="001932BE">
      <w:pPr>
        <w:pStyle w:val="Paragraphnumbered"/>
        <w:jc w:val="both"/>
      </w:pPr>
      <w:r>
        <w:t>JC explained that the consumer perspective will be considered in the final paper, and took an action to circulate the paper to the chair of the Consumer Protection subgroup.</w:t>
      </w:r>
      <w:r w:rsidR="00005351">
        <w:t xml:space="preserve"> </w:t>
      </w:r>
    </w:p>
    <w:tbl>
      <w:tblPr>
        <w:tblStyle w:val="TableProfessional"/>
        <w:tblW w:w="9498" w:type="dxa"/>
        <w:tblLook w:val="01E0" w:firstRow="1" w:lastRow="1" w:firstColumn="1" w:lastColumn="1" w:noHBand="0" w:noVBand="0"/>
      </w:tblPr>
      <w:tblGrid>
        <w:gridCol w:w="7513"/>
        <w:gridCol w:w="1985"/>
      </w:tblGrid>
      <w:tr w:rsidR="00BC76F2" w:rsidRPr="00980992" w14:paraId="0C94D401" w14:textId="77777777" w:rsidTr="00BC76F2">
        <w:trPr>
          <w:cnfStyle w:val="100000000000" w:firstRow="1" w:lastRow="0" w:firstColumn="0" w:lastColumn="0" w:oddVBand="0" w:evenVBand="0" w:oddHBand="0" w:evenHBand="0" w:firstRowFirstColumn="0" w:firstRowLastColumn="0" w:lastRowFirstColumn="0" w:lastRowLastColumn="0"/>
        </w:trPr>
        <w:tc>
          <w:tcPr>
            <w:tcW w:w="7513" w:type="dxa"/>
          </w:tcPr>
          <w:p w14:paraId="7732A1A0" w14:textId="17615AD2" w:rsidR="00BC76F2" w:rsidRPr="00980992" w:rsidRDefault="00BC76F2" w:rsidP="001932BE">
            <w:pPr>
              <w:ind w:firstLine="33"/>
              <w:jc w:val="both"/>
              <w:rPr>
                <w:b w:val="0"/>
              </w:rPr>
            </w:pPr>
            <w:r>
              <w:br w:type="page"/>
            </w:r>
            <w:r w:rsidRPr="00980992">
              <w:rPr>
                <w:b w:val="0"/>
              </w:rPr>
              <w:t>Action</w:t>
            </w:r>
          </w:p>
        </w:tc>
        <w:tc>
          <w:tcPr>
            <w:tcW w:w="1985" w:type="dxa"/>
          </w:tcPr>
          <w:p w14:paraId="6C6F802B" w14:textId="77777777" w:rsidR="00BC76F2" w:rsidRPr="00980992" w:rsidRDefault="00BC76F2" w:rsidP="001932BE">
            <w:pPr>
              <w:ind w:firstLine="33"/>
              <w:jc w:val="both"/>
              <w:rPr>
                <w:b w:val="0"/>
              </w:rPr>
            </w:pPr>
            <w:r w:rsidRPr="00980992">
              <w:rPr>
                <w:b w:val="0"/>
              </w:rPr>
              <w:t>Person – By</w:t>
            </w:r>
          </w:p>
        </w:tc>
      </w:tr>
      <w:tr w:rsidR="00BC76F2" w:rsidRPr="00980992" w14:paraId="748D85E8" w14:textId="77777777" w:rsidTr="00BC76F2">
        <w:tc>
          <w:tcPr>
            <w:tcW w:w="7513" w:type="dxa"/>
          </w:tcPr>
          <w:p w14:paraId="4495F0DF" w14:textId="46CB5F49" w:rsidR="00BC76F2" w:rsidRPr="00980992" w:rsidRDefault="00087609" w:rsidP="001932BE">
            <w:pPr>
              <w:ind w:firstLine="33"/>
              <w:jc w:val="both"/>
            </w:pPr>
            <w:r>
              <w:t>Share copy of storage and DG paper with consumer subgroup</w:t>
            </w:r>
          </w:p>
        </w:tc>
        <w:tc>
          <w:tcPr>
            <w:tcW w:w="1985" w:type="dxa"/>
          </w:tcPr>
          <w:p w14:paraId="474671EE" w14:textId="18E73D08" w:rsidR="00BC76F2" w:rsidRPr="00980992" w:rsidRDefault="00087609" w:rsidP="001932BE">
            <w:pPr>
              <w:ind w:firstLine="33"/>
              <w:jc w:val="both"/>
            </w:pPr>
            <w:r>
              <w:t>JC</w:t>
            </w:r>
          </w:p>
        </w:tc>
      </w:tr>
      <w:tr w:rsidR="009D0527" w:rsidRPr="00980992" w14:paraId="76B2FB80" w14:textId="77777777" w:rsidTr="00BC76F2">
        <w:tc>
          <w:tcPr>
            <w:tcW w:w="7513" w:type="dxa"/>
          </w:tcPr>
          <w:p w14:paraId="4807902F" w14:textId="42844160" w:rsidR="009D0527" w:rsidRDefault="009D0527" w:rsidP="00A03590">
            <w:pPr>
              <w:ind w:firstLine="33"/>
              <w:jc w:val="both"/>
            </w:pPr>
            <w:r>
              <w:t xml:space="preserve">Community Energy subgroup to look at storage </w:t>
            </w:r>
          </w:p>
        </w:tc>
        <w:tc>
          <w:tcPr>
            <w:tcW w:w="1985" w:type="dxa"/>
          </w:tcPr>
          <w:p w14:paraId="653328D9" w14:textId="68CB408C" w:rsidR="009D0527" w:rsidRDefault="009D0527" w:rsidP="001932BE">
            <w:pPr>
              <w:ind w:firstLine="33"/>
              <w:jc w:val="both"/>
            </w:pPr>
            <w:r>
              <w:t>Community Energy Chair</w:t>
            </w:r>
          </w:p>
        </w:tc>
      </w:tr>
      <w:tr w:rsidR="00595657" w:rsidRPr="00980992" w14:paraId="6EAD8C48" w14:textId="77777777" w:rsidTr="00BC76F2">
        <w:tc>
          <w:tcPr>
            <w:tcW w:w="7513" w:type="dxa"/>
          </w:tcPr>
          <w:p w14:paraId="09F6CF75" w14:textId="12EB962D" w:rsidR="00595657" w:rsidRDefault="00595657" w:rsidP="001932BE">
            <w:pPr>
              <w:ind w:firstLine="33"/>
              <w:jc w:val="both"/>
            </w:pPr>
            <w:r>
              <w:t>WS6 to review LCNF workshops table produced by JC</w:t>
            </w:r>
          </w:p>
        </w:tc>
        <w:tc>
          <w:tcPr>
            <w:tcW w:w="1985" w:type="dxa"/>
          </w:tcPr>
          <w:p w14:paraId="5C817D37" w14:textId="72ED051A" w:rsidR="00595657" w:rsidRDefault="00595657" w:rsidP="001932BE">
            <w:pPr>
              <w:ind w:firstLine="33"/>
              <w:jc w:val="both"/>
            </w:pPr>
            <w:r>
              <w:t>All</w:t>
            </w:r>
          </w:p>
        </w:tc>
      </w:tr>
    </w:tbl>
    <w:p w14:paraId="2C7DEA4A" w14:textId="0CFA08DA" w:rsidR="00BC76F2" w:rsidRDefault="00BC76F2" w:rsidP="001932BE">
      <w:pPr>
        <w:jc w:val="both"/>
        <w:rPr>
          <w:bCs/>
          <w:iCs/>
          <w:szCs w:val="28"/>
        </w:rPr>
      </w:pPr>
    </w:p>
    <w:p w14:paraId="190B73DC" w14:textId="5E693249" w:rsidR="006F3B45" w:rsidRDefault="009D0527" w:rsidP="001932BE">
      <w:pPr>
        <w:pStyle w:val="Heading1"/>
        <w:jc w:val="both"/>
      </w:pPr>
      <w:r>
        <w:t xml:space="preserve">Consumer Protection subgroup </w:t>
      </w:r>
    </w:p>
    <w:p w14:paraId="7AF98F88" w14:textId="6D1AE4FA" w:rsidR="00B86315" w:rsidRDefault="00616ADB" w:rsidP="00C17EC9">
      <w:pPr>
        <w:pStyle w:val="Paragraphnumbered"/>
      </w:pPr>
      <w:r>
        <w:t xml:space="preserve">CS updated the </w:t>
      </w:r>
      <w:r w:rsidR="00F4507E">
        <w:t>works team</w:t>
      </w:r>
      <w:r w:rsidR="00A03590">
        <w:t xml:space="preserve"> </w:t>
      </w:r>
      <w:r>
        <w:t>on the work of the subgroup. The subgroup has produced 3 documents: an assessment</w:t>
      </w:r>
      <w:r w:rsidR="00A03590">
        <w:t xml:space="preserve"> of the options</w:t>
      </w:r>
      <w:r>
        <w:t xml:space="preserve"> from the consumer perspective of the options, a document detailing the risks to consumer of each option, and</w:t>
      </w:r>
      <w:r w:rsidRPr="00616ADB">
        <w:t xml:space="preserve"> a document detailing a toolkit of protections that could be </w:t>
      </w:r>
      <w:r>
        <w:t xml:space="preserve">put in place to mitigate these risks. </w:t>
      </w:r>
      <w:r w:rsidR="00A03590">
        <w:t>I</w:t>
      </w:r>
      <w:r>
        <w:t xml:space="preserve">n the consumer risk document, the group identified 4 risks: cost, volume, complexity </w:t>
      </w:r>
      <w:r>
        <w:lastRenderedPageBreak/>
        <w:t xml:space="preserve">and </w:t>
      </w:r>
      <w:r w:rsidR="00A03590">
        <w:t>automation</w:t>
      </w:r>
      <w:r>
        <w:t>. The subgroup has worked on the assumption that automation is invisible to the customer</w:t>
      </w:r>
      <w:r w:rsidR="00C17EC9">
        <w:t xml:space="preserve"> </w:t>
      </w:r>
      <w:r w:rsidR="00C17EC9" w:rsidRPr="00C17EC9">
        <w:t>but pointed out this remains to be tested in practice’</w:t>
      </w:r>
      <w:r>
        <w:t xml:space="preserve">. </w:t>
      </w:r>
    </w:p>
    <w:p w14:paraId="35D81DAF" w14:textId="2041667E" w:rsidR="00F13B61" w:rsidRDefault="00616ADB" w:rsidP="001932BE">
      <w:pPr>
        <w:pStyle w:val="Paragraphnumbered"/>
        <w:jc w:val="both"/>
      </w:pPr>
      <w:r>
        <w:t>The group is still considering</w:t>
      </w:r>
      <w:r w:rsidR="00B86315">
        <w:t xml:space="preserve"> how automation and </w:t>
      </w:r>
      <w:r w:rsidR="00A03590">
        <w:t xml:space="preserve">manual </w:t>
      </w:r>
      <w:r w:rsidR="00B86315">
        <w:t xml:space="preserve">override will work in practice and the </w:t>
      </w:r>
      <w:r w:rsidR="00C3518A">
        <w:t xml:space="preserve">risk of increased </w:t>
      </w:r>
      <w:r w:rsidR="00B86315">
        <w:t>cost</w:t>
      </w:r>
      <w:r w:rsidR="00A03590">
        <w:t xml:space="preserve"> </w:t>
      </w:r>
      <w:r w:rsidR="00B86315">
        <w:t>that may arise from using an override function</w:t>
      </w:r>
      <w:r w:rsidR="00A03590">
        <w:t>,</w:t>
      </w:r>
      <w:r w:rsidR="00B86315">
        <w:t xml:space="preserve"> for instance if using the override pushes </w:t>
      </w:r>
      <w:r w:rsidR="00A03590">
        <w:t xml:space="preserve">the customer </w:t>
      </w:r>
      <w:r w:rsidR="00B86315">
        <w:t xml:space="preserve">into a higher DUoS cost band or tariff. </w:t>
      </w:r>
      <w:r>
        <w:t xml:space="preserve"> </w:t>
      </w:r>
      <w:r w:rsidR="00B86315">
        <w:t xml:space="preserve">The complexity to the consumer and the transparency of arrangements is still needed to be considered. YF asked the group whether they had looked at </w:t>
      </w:r>
      <w:r w:rsidR="00A03590">
        <w:t xml:space="preserve"> automation</w:t>
      </w:r>
      <w:r w:rsidR="00B86315">
        <w:t xml:space="preserve">. YF commented that automation has </w:t>
      </w:r>
      <w:r w:rsidR="001F376E">
        <w:t>a different</w:t>
      </w:r>
      <w:r w:rsidR="00F4507E">
        <w:t xml:space="preserve"> </w:t>
      </w:r>
      <w:bookmarkStart w:id="0" w:name="_GoBack"/>
      <w:bookmarkEnd w:id="0"/>
      <w:r w:rsidR="00B86315">
        <w:t xml:space="preserve">value </w:t>
      </w:r>
      <w:r w:rsidR="00DF5064">
        <w:t xml:space="preserve">when used on a whole house basis. </w:t>
      </w:r>
    </w:p>
    <w:p w14:paraId="6566550D" w14:textId="1EC4CDC0" w:rsidR="00DF5064" w:rsidRDefault="00DF5064" w:rsidP="001932BE">
      <w:pPr>
        <w:pStyle w:val="Paragraphnumbered"/>
        <w:jc w:val="both"/>
      </w:pPr>
      <w:r>
        <w:t xml:space="preserve">CS then described the work the group have done is producing a risk register. This register is considering the risk of conflicting signals from different parties, how costs will be treated for consumers who do not or cannot participate in DSR, third party intermediaries and automation. DG reminded the group to </w:t>
      </w:r>
      <w:r w:rsidR="000B7BA8">
        <w:t xml:space="preserve">be conscious of fuel poor customers and that the options were specifically developed to take account of them. </w:t>
      </w:r>
    </w:p>
    <w:p w14:paraId="7F16087A" w14:textId="0A1EC7EF" w:rsidR="000B7BA8" w:rsidRDefault="000B7BA8" w:rsidP="001932BE">
      <w:pPr>
        <w:pStyle w:val="Paragraphnumbered"/>
        <w:jc w:val="both"/>
      </w:pPr>
      <w:r>
        <w:t xml:space="preserve">PP asked </w:t>
      </w:r>
      <w:r w:rsidR="00595657">
        <w:t xml:space="preserve">whether the group was linking their work on </w:t>
      </w:r>
      <w:r w:rsidR="00C3518A">
        <w:t xml:space="preserve">the risk of increased </w:t>
      </w:r>
      <w:r w:rsidR="00595657">
        <w:t xml:space="preserve">cost </w:t>
      </w:r>
      <w:r w:rsidR="00C3518A">
        <w:t xml:space="preserve">to the consumer </w:t>
      </w:r>
      <w:r w:rsidR="00595657">
        <w:t xml:space="preserve">to energy prices. </w:t>
      </w:r>
    </w:p>
    <w:tbl>
      <w:tblPr>
        <w:tblStyle w:val="TableProfessional"/>
        <w:tblW w:w="9498" w:type="dxa"/>
        <w:tblLook w:val="01E0" w:firstRow="1" w:lastRow="1" w:firstColumn="1" w:lastColumn="1" w:noHBand="0" w:noVBand="0"/>
      </w:tblPr>
      <w:tblGrid>
        <w:gridCol w:w="7513"/>
        <w:gridCol w:w="1985"/>
      </w:tblGrid>
      <w:tr w:rsidR="00521B10" w:rsidRPr="00980992" w14:paraId="5345D590" w14:textId="77777777" w:rsidTr="00521B10">
        <w:trPr>
          <w:cnfStyle w:val="100000000000" w:firstRow="1" w:lastRow="0" w:firstColumn="0" w:lastColumn="0" w:oddVBand="0" w:evenVBand="0" w:oddHBand="0" w:evenHBand="0" w:firstRowFirstColumn="0" w:firstRowLastColumn="0" w:lastRowFirstColumn="0" w:lastRowLastColumn="0"/>
        </w:trPr>
        <w:tc>
          <w:tcPr>
            <w:tcW w:w="7513" w:type="dxa"/>
          </w:tcPr>
          <w:p w14:paraId="3B50EB0F" w14:textId="77777777" w:rsidR="00521B10" w:rsidRPr="00980992" w:rsidRDefault="00521B10" w:rsidP="001932BE">
            <w:pPr>
              <w:ind w:firstLine="33"/>
              <w:jc w:val="both"/>
              <w:rPr>
                <w:b w:val="0"/>
              </w:rPr>
            </w:pPr>
            <w:r>
              <w:br w:type="page"/>
            </w:r>
            <w:r w:rsidRPr="00980992">
              <w:rPr>
                <w:b w:val="0"/>
              </w:rPr>
              <w:t>Action</w:t>
            </w:r>
          </w:p>
        </w:tc>
        <w:tc>
          <w:tcPr>
            <w:tcW w:w="1985" w:type="dxa"/>
          </w:tcPr>
          <w:p w14:paraId="2A567EA9" w14:textId="77777777" w:rsidR="00521B10" w:rsidRPr="00980992" w:rsidRDefault="00521B10" w:rsidP="001932BE">
            <w:pPr>
              <w:ind w:firstLine="33"/>
              <w:jc w:val="both"/>
              <w:rPr>
                <w:b w:val="0"/>
              </w:rPr>
            </w:pPr>
            <w:r w:rsidRPr="00980992">
              <w:rPr>
                <w:b w:val="0"/>
              </w:rPr>
              <w:t>Person – By</w:t>
            </w:r>
          </w:p>
        </w:tc>
      </w:tr>
      <w:tr w:rsidR="00521B10" w:rsidRPr="00980992" w14:paraId="4CF9CB7A" w14:textId="77777777" w:rsidTr="00521B10">
        <w:tc>
          <w:tcPr>
            <w:tcW w:w="7513" w:type="dxa"/>
          </w:tcPr>
          <w:p w14:paraId="391EC9AF" w14:textId="08B924FC" w:rsidR="00521B10" w:rsidRPr="00980992" w:rsidRDefault="00521B10" w:rsidP="001932BE">
            <w:pPr>
              <w:ind w:firstLine="33"/>
              <w:jc w:val="both"/>
            </w:pPr>
            <w:r>
              <w:t>Circulate</w:t>
            </w:r>
            <w:r w:rsidR="00C3518A">
              <w:t xml:space="preserve"> consumer</w:t>
            </w:r>
            <w:r>
              <w:t xml:space="preserve"> </w:t>
            </w:r>
            <w:r w:rsidR="00595657">
              <w:t xml:space="preserve">protections toolkit </w:t>
            </w:r>
          </w:p>
        </w:tc>
        <w:tc>
          <w:tcPr>
            <w:tcW w:w="1985" w:type="dxa"/>
          </w:tcPr>
          <w:p w14:paraId="6D2C0647" w14:textId="1EB5AF20" w:rsidR="00521B10" w:rsidRPr="00980992" w:rsidRDefault="00595657" w:rsidP="001932BE">
            <w:pPr>
              <w:ind w:firstLine="33"/>
              <w:jc w:val="both"/>
            </w:pPr>
            <w:r>
              <w:t>Ofgem – KL</w:t>
            </w:r>
          </w:p>
        </w:tc>
      </w:tr>
      <w:tr w:rsidR="00595657" w:rsidRPr="00980992" w14:paraId="5F79CA3A" w14:textId="77777777" w:rsidTr="00521B10">
        <w:tc>
          <w:tcPr>
            <w:tcW w:w="7513" w:type="dxa"/>
          </w:tcPr>
          <w:p w14:paraId="3BF6A991" w14:textId="7E87F6A9" w:rsidR="00595657" w:rsidRDefault="00595657" w:rsidP="001932BE">
            <w:pPr>
              <w:ind w:firstLine="33"/>
              <w:jc w:val="both"/>
            </w:pPr>
            <w:r>
              <w:t xml:space="preserve">Provide comments on toolkit </w:t>
            </w:r>
          </w:p>
        </w:tc>
        <w:tc>
          <w:tcPr>
            <w:tcW w:w="1985" w:type="dxa"/>
          </w:tcPr>
          <w:p w14:paraId="00D3FC11" w14:textId="410EAC5A" w:rsidR="00595657" w:rsidRDefault="00595657" w:rsidP="001932BE">
            <w:pPr>
              <w:ind w:firstLine="33"/>
              <w:jc w:val="both"/>
            </w:pPr>
            <w:r>
              <w:t>All</w:t>
            </w:r>
          </w:p>
        </w:tc>
      </w:tr>
    </w:tbl>
    <w:p w14:paraId="140267B3" w14:textId="77777777" w:rsidR="00521B10" w:rsidRDefault="00521B10" w:rsidP="001932BE">
      <w:pPr>
        <w:pStyle w:val="Paragraphnumbered"/>
        <w:numPr>
          <w:ilvl w:val="0"/>
          <w:numId w:val="0"/>
        </w:numPr>
        <w:ind w:left="574" w:hanging="432"/>
        <w:jc w:val="both"/>
      </w:pPr>
    </w:p>
    <w:p w14:paraId="6805142A" w14:textId="31B947FB" w:rsidR="00521B10" w:rsidRDefault="00595657" w:rsidP="001932BE">
      <w:pPr>
        <w:pStyle w:val="Heading1"/>
        <w:jc w:val="both"/>
      </w:pPr>
      <w:r>
        <w:t>Community Energy and Energy Efficiency subgroup</w:t>
      </w:r>
    </w:p>
    <w:p w14:paraId="262BC333" w14:textId="7C6264B6" w:rsidR="00295305" w:rsidRPr="00295305" w:rsidRDefault="009C0BD7" w:rsidP="001932BE">
      <w:pPr>
        <w:pStyle w:val="Paragraphnumbered"/>
        <w:jc w:val="both"/>
      </w:pPr>
      <w:r>
        <w:t xml:space="preserve">EP updated the group on the progress of the Community Energy and Efficiency group. EP will resign as chair as she is moving to a new role. She commented that the group have had expressions of interest from Community England to move the work forward. </w:t>
      </w:r>
      <w:r w:rsidR="009740AC">
        <w:t>Peter Smith from NEA has circulated a paper of recommendations</w:t>
      </w:r>
      <w:r w:rsidR="00953FAD">
        <w:t xml:space="preserve"> for energy efficiency and EP has suggested that he come and present it to the group. </w:t>
      </w:r>
      <w:r w:rsidR="00295305">
        <w:t xml:space="preserve"> </w:t>
      </w:r>
    </w:p>
    <w:p w14:paraId="25DAD04A" w14:textId="1B1007E2" w:rsidR="00953FAD" w:rsidRDefault="00953FAD" w:rsidP="001932BE">
      <w:pPr>
        <w:pStyle w:val="Heading1"/>
        <w:jc w:val="both"/>
      </w:pPr>
      <w:r>
        <w:t xml:space="preserve">Distribution of Value subgroup </w:t>
      </w:r>
    </w:p>
    <w:p w14:paraId="1397A408" w14:textId="0DF5BD0A" w:rsidR="00030D94" w:rsidRDefault="00030D94" w:rsidP="001932BE">
      <w:pPr>
        <w:pStyle w:val="Paragraphnumbered"/>
        <w:jc w:val="both"/>
      </w:pPr>
      <w:r>
        <w:t xml:space="preserve">AJ will circulate the latest version of their paper in early January. The paper has taken into consideration the learning from the LCN Fund Network trials. DG asked the chair to circulate the methodology to the wider group. </w:t>
      </w:r>
    </w:p>
    <w:tbl>
      <w:tblPr>
        <w:tblStyle w:val="TableProfessional"/>
        <w:tblW w:w="9498" w:type="dxa"/>
        <w:tblLook w:val="01E0" w:firstRow="1" w:lastRow="1" w:firstColumn="1" w:lastColumn="1" w:noHBand="0" w:noVBand="0"/>
      </w:tblPr>
      <w:tblGrid>
        <w:gridCol w:w="7513"/>
        <w:gridCol w:w="1985"/>
      </w:tblGrid>
      <w:tr w:rsidR="00863501" w:rsidRPr="00980992" w14:paraId="2242996A" w14:textId="77777777" w:rsidTr="00091755">
        <w:trPr>
          <w:cnfStyle w:val="100000000000" w:firstRow="1" w:lastRow="0" w:firstColumn="0" w:lastColumn="0" w:oddVBand="0" w:evenVBand="0" w:oddHBand="0" w:evenHBand="0" w:firstRowFirstColumn="0" w:firstRowLastColumn="0" w:lastRowFirstColumn="0" w:lastRowLastColumn="0"/>
        </w:trPr>
        <w:tc>
          <w:tcPr>
            <w:tcW w:w="7513" w:type="dxa"/>
          </w:tcPr>
          <w:p w14:paraId="44C196DE" w14:textId="77777777" w:rsidR="00863501" w:rsidRPr="00980992" w:rsidRDefault="00863501" w:rsidP="001932BE">
            <w:pPr>
              <w:ind w:firstLine="33"/>
              <w:jc w:val="both"/>
              <w:rPr>
                <w:b w:val="0"/>
              </w:rPr>
            </w:pPr>
            <w:r>
              <w:br w:type="page"/>
            </w:r>
            <w:r w:rsidRPr="00980992">
              <w:rPr>
                <w:b w:val="0"/>
              </w:rPr>
              <w:t>Action</w:t>
            </w:r>
          </w:p>
        </w:tc>
        <w:tc>
          <w:tcPr>
            <w:tcW w:w="1985" w:type="dxa"/>
          </w:tcPr>
          <w:p w14:paraId="51C589C1" w14:textId="77777777" w:rsidR="00863501" w:rsidRPr="00980992" w:rsidRDefault="00863501" w:rsidP="001932BE">
            <w:pPr>
              <w:ind w:firstLine="33"/>
              <w:jc w:val="both"/>
              <w:rPr>
                <w:b w:val="0"/>
              </w:rPr>
            </w:pPr>
            <w:r w:rsidRPr="00980992">
              <w:rPr>
                <w:b w:val="0"/>
              </w:rPr>
              <w:t>Person – By</w:t>
            </w:r>
          </w:p>
        </w:tc>
      </w:tr>
      <w:tr w:rsidR="00863501" w:rsidRPr="00980992" w14:paraId="71AD097F" w14:textId="77777777" w:rsidTr="00091755">
        <w:tc>
          <w:tcPr>
            <w:tcW w:w="7513" w:type="dxa"/>
          </w:tcPr>
          <w:p w14:paraId="70044B5A" w14:textId="6EEB01A5" w:rsidR="00863501" w:rsidRPr="00980992" w:rsidRDefault="00863501" w:rsidP="001932BE">
            <w:pPr>
              <w:ind w:firstLine="33"/>
              <w:jc w:val="both"/>
            </w:pPr>
            <w:r>
              <w:t>Circulate paper and methodology</w:t>
            </w:r>
          </w:p>
        </w:tc>
        <w:tc>
          <w:tcPr>
            <w:tcW w:w="1985" w:type="dxa"/>
          </w:tcPr>
          <w:p w14:paraId="6FCB9F59" w14:textId="46582FB7" w:rsidR="00863501" w:rsidRPr="00980992" w:rsidRDefault="00863501" w:rsidP="001932BE">
            <w:pPr>
              <w:ind w:firstLine="33"/>
              <w:jc w:val="both"/>
            </w:pPr>
            <w:r>
              <w:t>AJ</w:t>
            </w:r>
          </w:p>
        </w:tc>
      </w:tr>
    </w:tbl>
    <w:p w14:paraId="0D518913" w14:textId="77777777" w:rsidR="00863501" w:rsidRPr="00030D94" w:rsidRDefault="00863501" w:rsidP="001932BE">
      <w:pPr>
        <w:pStyle w:val="Paragraphnumbered"/>
        <w:numPr>
          <w:ilvl w:val="0"/>
          <w:numId w:val="0"/>
        </w:numPr>
        <w:ind w:left="142"/>
        <w:jc w:val="both"/>
      </w:pPr>
    </w:p>
    <w:p w14:paraId="402B6C0D" w14:textId="5CDD1021" w:rsidR="00863501" w:rsidRDefault="00863501" w:rsidP="001932BE">
      <w:pPr>
        <w:pStyle w:val="Heading1"/>
        <w:jc w:val="both"/>
      </w:pPr>
      <w:r>
        <w:t>Visibility subgroup</w:t>
      </w:r>
    </w:p>
    <w:p w14:paraId="27C0A0ED" w14:textId="728CD7D8" w:rsidR="00863501" w:rsidRDefault="00C17EC9" w:rsidP="001932BE">
      <w:pPr>
        <w:pStyle w:val="Paragraphnumbered"/>
        <w:jc w:val="both"/>
      </w:pPr>
      <w:r>
        <w:t xml:space="preserve">TK </w:t>
      </w:r>
      <w:r w:rsidR="00863501">
        <w:t xml:space="preserve">updated the group on the work of the Visibility subgroup. A paper has been drafted and input is being sought from members. DG noted the importance of having the paper reviewed by a few ‘critical friends’. The group took an action to set up a meeting between the Visibility subgroup and the Distribution of Value subgroup. </w:t>
      </w:r>
    </w:p>
    <w:tbl>
      <w:tblPr>
        <w:tblStyle w:val="TableProfessional"/>
        <w:tblW w:w="9498" w:type="dxa"/>
        <w:tblLook w:val="01E0" w:firstRow="1" w:lastRow="1" w:firstColumn="1" w:lastColumn="1" w:noHBand="0" w:noVBand="0"/>
      </w:tblPr>
      <w:tblGrid>
        <w:gridCol w:w="7513"/>
        <w:gridCol w:w="1985"/>
      </w:tblGrid>
      <w:tr w:rsidR="00863501" w:rsidRPr="00980992" w14:paraId="4E396501" w14:textId="77777777" w:rsidTr="00091755">
        <w:trPr>
          <w:cnfStyle w:val="100000000000" w:firstRow="1" w:lastRow="0" w:firstColumn="0" w:lastColumn="0" w:oddVBand="0" w:evenVBand="0" w:oddHBand="0" w:evenHBand="0" w:firstRowFirstColumn="0" w:firstRowLastColumn="0" w:lastRowFirstColumn="0" w:lastRowLastColumn="0"/>
        </w:trPr>
        <w:tc>
          <w:tcPr>
            <w:tcW w:w="7513" w:type="dxa"/>
          </w:tcPr>
          <w:p w14:paraId="523300BE" w14:textId="77777777" w:rsidR="00863501" w:rsidRPr="00980992" w:rsidRDefault="00863501" w:rsidP="001932BE">
            <w:pPr>
              <w:ind w:firstLine="33"/>
              <w:jc w:val="both"/>
              <w:rPr>
                <w:b w:val="0"/>
              </w:rPr>
            </w:pPr>
            <w:r>
              <w:br w:type="page"/>
            </w:r>
            <w:r w:rsidRPr="00980992">
              <w:rPr>
                <w:b w:val="0"/>
              </w:rPr>
              <w:t>Action</w:t>
            </w:r>
          </w:p>
        </w:tc>
        <w:tc>
          <w:tcPr>
            <w:tcW w:w="1985" w:type="dxa"/>
          </w:tcPr>
          <w:p w14:paraId="09B05F01" w14:textId="77777777" w:rsidR="00863501" w:rsidRPr="00980992" w:rsidRDefault="00863501" w:rsidP="001932BE">
            <w:pPr>
              <w:ind w:firstLine="33"/>
              <w:jc w:val="both"/>
              <w:rPr>
                <w:b w:val="0"/>
              </w:rPr>
            </w:pPr>
            <w:r w:rsidRPr="00980992">
              <w:rPr>
                <w:b w:val="0"/>
              </w:rPr>
              <w:t>Person – By</w:t>
            </w:r>
          </w:p>
        </w:tc>
      </w:tr>
      <w:tr w:rsidR="00863501" w:rsidRPr="00980992" w14:paraId="2E8729E7" w14:textId="77777777" w:rsidTr="00091755">
        <w:tc>
          <w:tcPr>
            <w:tcW w:w="7513" w:type="dxa"/>
          </w:tcPr>
          <w:p w14:paraId="0AE4C7AF" w14:textId="45C0B890" w:rsidR="00863501" w:rsidRPr="00980992" w:rsidRDefault="0097535A" w:rsidP="001932BE">
            <w:pPr>
              <w:ind w:firstLine="33"/>
              <w:jc w:val="both"/>
            </w:pPr>
            <w:r>
              <w:t>Set up meeting between Visibility and Distribution of Value subgroup</w:t>
            </w:r>
          </w:p>
        </w:tc>
        <w:tc>
          <w:tcPr>
            <w:tcW w:w="1985" w:type="dxa"/>
          </w:tcPr>
          <w:p w14:paraId="05CD42C5" w14:textId="77777777" w:rsidR="00863501" w:rsidRPr="00980992" w:rsidRDefault="00863501" w:rsidP="001932BE">
            <w:pPr>
              <w:ind w:firstLine="33"/>
              <w:jc w:val="both"/>
            </w:pPr>
            <w:r>
              <w:t>AJ</w:t>
            </w:r>
          </w:p>
        </w:tc>
      </w:tr>
    </w:tbl>
    <w:p w14:paraId="0685B30F" w14:textId="77777777" w:rsidR="00863501" w:rsidRPr="00863501" w:rsidRDefault="00863501" w:rsidP="001932BE">
      <w:pPr>
        <w:pStyle w:val="Paragraphnumbered"/>
        <w:numPr>
          <w:ilvl w:val="0"/>
          <w:numId w:val="0"/>
        </w:numPr>
        <w:ind w:left="574"/>
        <w:jc w:val="both"/>
      </w:pPr>
    </w:p>
    <w:p w14:paraId="4308AF01" w14:textId="3F2E9B85" w:rsidR="00863501" w:rsidRDefault="00863501" w:rsidP="001932BE">
      <w:pPr>
        <w:pStyle w:val="Heading1"/>
        <w:jc w:val="both"/>
      </w:pPr>
      <w:r>
        <w:lastRenderedPageBreak/>
        <w:t>Smart Metering subgroup</w:t>
      </w:r>
    </w:p>
    <w:p w14:paraId="65479756" w14:textId="4E99D88F" w:rsidR="00863501" w:rsidRDefault="0097535A" w:rsidP="001932BE">
      <w:pPr>
        <w:pStyle w:val="Paragraphnumbered"/>
        <w:jc w:val="both"/>
      </w:pPr>
      <w:r>
        <w:t xml:space="preserve">DG gave an update to the group on the subgroup’s progress. </w:t>
      </w:r>
      <w:r w:rsidR="00213194">
        <w:t xml:space="preserve">The group </w:t>
      </w:r>
      <w:r w:rsidR="00C3518A">
        <w:t xml:space="preserve">had </w:t>
      </w:r>
      <w:r w:rsidR="00213194">
        <w:t xml:space="preserve">developed a paper on losses which </w:t>
      </w:r>
      <w:r w:rsidR="00260658">
        <w:t xml:space="preserve">could </w:t>
      </w:r>
      <w:r w:rsidR="00213194">
        <w:t xml:space="preserve">be presented at the next </w:t>
      </w:r>
      <w:r w:rsidR="00F4507E">
        <w:t>work stream</w:t>
      </w:r>
      <w:r w:rsidR="00213194">
        <w:t xml:space="preserve"> meeting. </w:t>
      </w:r>
      <w:r w:rsidR="00895DA3">
        <w:t>DG also noted that there are two groups</w:t>
      </w:r>
      <w:r w:rsidR="00C3518A">
        <w:t xml:space="preserve"> under the ENA are</w:t>
      </w:r>
      <w:r w:rsidR="00895DA3">
        <w:t xml:space="preserve"> </w:t>
      </w:r>
      <w:r w:rsidR="00C3518A">
        <w:t>losses and</w:t>
      </w:r>
      <w:r w:rsidR="00895DA3">
        <w:t xml:space="preserve"> energy efficiency and took an action to send an invite for these meetings to AJ.</w:t>
      </w:r>
    </w:p>
    <w:tbl>
      <w:tblPr>
        <w:tblStyle w:val="TableProfessional"/>
        <w:tblW w:w="9498" w:type="dxa"/>
        <w:tblLook w:val="01E0" w:firstRow="1" w:lastRow="1" w:firstColumn="1" w:lastColumn="1" w:noHBand="0" w:noVBand="0"/>
      </w:tblPr>
      <w:tblGrid>
        <w:gridCol w:w="7513"/>
        <w:gridCol w:w="1985"/>
      </w:tblGrid>
      <w:tr w:rsidR="00895DA3" w:rsidRPr="00980992" w14:paraId="3BE458A2" w14:textId="77777777" w:rsidTr="00091755">
        <w:trPr>
          <w:cnfStyle w:val="100000000000" w:firstRow="1" w:lastRow="0" w:firstColumn="0" w:lastColumn="0" w:oddVBand="0" w:evenVBand="0" w:oddHBand="0" w:evenHBand="0" w:firstRowFirstColumn="0" w:firstRowLastColumn="0" w:lastRowFirstColumn="0" w:lastRowLastColumn="0"/>
        </w:trPr>
        <w:tc>
          <w:tcPr>
            <w:tcW w:w="7513" w:type="dxa"/>
          </w:tcPr>
          <w:p w14:paraId="6B9FCBDC" w14:textId="77777777" w:rsidR="00895DA3" w:rsidRPr="00980992" w:rsidRDefault="00895DA3" w:rsidP="001932BE">
            <w:pPr>
              <w:ind w:firstLine="33"/>
              <w:jc w:val="both"/>
              <w:rPr>
                <w:b w:val="0"/>
              </w:rPr>
            </w:pPr>
            <w:r>
              <w:br w:type="page"/>
            </w:r>
            <w:r w:rsidRPr="00980992">
              <w:rPr>
                <w:b w:val="0"/>
              </w:rPr>
              <w:t>Action</w:t>
            </w:r>
          </w:p>
        </w:tc>
        <w:tc>
          <w:tcPr>
            <w:tcW w:w="1985" w:type="dxa"/>
          </w:tcPr>
          <w:p w14:paraId="6C5CB6F9" w14:textId="77777777" w:rsidR="00895DA3" w:rsidRPr="00980992" w:rsidRDefault="00895DA3" w:rsidP="001932BE">
            <w:pPr>
              <w:ind w:firstLine="33"/>
              <w:jc w:val="both"/>
              <w:rPr>
                <w:b w:val="0"/>
              </w:rPr>
            </w:pPr>
            <w:r w:rsidRPr="00980992">
              <w:rPr>
                <w:b w:val="0"/>
              </w:rPr>
              <w:t>Person – By</w:t>
            </w:r>
          </w:p>
        </w:tc>
      </w:tr>
      <w:tr w:rsidR="00895DA3" w:rsidRPr="00980992" w14:paraId="3E04BB2E" w14:textId="77777777" w:rsidTr="00091755">
        <w:tc>
          <w:tcPr>
            <w:tcW w:w="7513" w:type="dxa"/>
          </w:tcPr>
          <w:p w14:paraId="4229012A" w14:textId="626EA95D" w:rsidR="00895DA3" w:rsidRPr="00980992" w:rsidRDefault="00895DA3" w:rsidP="001932BE">
            <w:pPr>
              <w:ind w:firstLine="33"/>
              <w:jc w:val="both"/>
            </w:pPr>
            <w:r>
              <w:t>Smart metering subgroup to discuss losses from the gas supply side</w:t>
            </w:r>
          </w:p>
        </w:tc>
        <w:tc>
          <w:tcPr>
            <w:tcW w:w="1985" w:type="dxa"/>
          </w:tcPr>
          <w:p w14:paraId="3A1E7895" w14:textId="15D185DA" w:rsidR="00895DA3" w:rsidRPr="00980992" w:rsidRDefault="00655139" w:rsidP="001932BE">
            <w:pPr>
              <w:ind w:firstLine="33"/>
              <w:jc w:val="both"/>
            </w:pPr>
            <w:r>
              <w:t>Ofgem TM</w:t>
            </w:r>
          </w:p>
        </w:tc>
      </w:tr>
      <w:tr w:rsidR="00895DA3" w:rsidRPr="00980992" w14:paraId="4B51ED91" w14:textId="77777777" w:rsidTr="00091755">
        <w:tc>
          <w:tcPr>
            <w:tcW w:w="7513" w:type="dxa"/>
          </w:tcPr>
          <w:p w14:paraId="4BA62671" w14:textId="2208AFF9" w:rsidR="00895DA3" w:rsidRDefault="00895DA3" w:rsidP="00C3518A">
            <w:pPr>
              <w:ind w:firstLine="33"/>
              <w:jc w:val="both"/>
            </w:pPr>
            <w:r>
              <w:t xml:space="preserve">Send invite for </w:t>
            </w:r>
            <w:r w:rsidR="00C3518A">
              <w:t xml:space="preserve">energy efficiency group </w:t>
            </w:r>
            <w:r>
              <w:t>meetings to AJ</w:t>
            </w:r>
          </w:p>
        </w:tc>
        <w:tc>
          <w:tcPr>
            <w:tcW w:w="1985" w:type="dxa"/>
          </w:tcPr>
          <w:p w14:paraId="401D9E62" w14:textId="1EC61E7C" w:rsidR="00895DA3" w:rsidRDefault="00655139" w:rsidP="001932BE">
            <w:pPr>
              <w:ind w:firstLine="33"/>
              <w:jc w:val="both"/>
            </w:pPr>
            <w:r>
              <w:t>– Ofgem CC</w:t>
            </w:r>
          </w:p>
        </w:tc>
      </w:tr>
    </w:tbl>
    <w:p w14:paraId="535E81A0" w14:textId="77777777" w:rsidR="00895DA3" w:rsidRPr="00863501" w:rsidRDefault="00895DA3" w:rsidP="001932BE">
      <w:pPr>
        <w:pStyle w:val="Paragraphnumbered"/>
        <w:numPr>
          <w:ilvl w:val="0"/>
          <w:numId w:val="0"/>
        </w:numPr>
        <w:ind w:left="142"/>
        <w:jc w:val="both"/>
      </w:pPr>
    </w:p>
    <w:p w14:paraId="4A1910BA" w14:textId="60AE1E3E" w:rsidR="00953FAD" w:rsidRDefault="00953FAD" w:rsidP="001932BE">
      <w:pPr>
        <w:pStyle w:val="Heading1"/>
        <w:jc w:val="both"/>
      </w:pPr>
      <w:r>
        <w:t>AOB</w:t>
      </w:r>
      <w:r w:rsidR="00E844FF">
        <w:t xml:space="preserve"> </w:t>
      </w:r>
    </w:p>
    <w:p w14:paraId="4FD810AE" w14:textId="2F06BC00" w:rsidR="00295305" w:rsidRDefault="00295305" w:rsidP="001932BE">
      <w:pPr>
        <w:pStyle w:val="Heading1"/>
        <w:jc w:val="both"/>
      </w:pPr>
      <w:r>
        <w:t xml:space="preserve">Dates of </w:t>
      </w:r>
      <w:r w:rsidR="00A358DA">
        <w:t>future meeting</w:t>
      </w:r>
      <w:r>
        <w:t>s</w:t>
      </w:r>
    </w:p>
    <w:p w14:paraId="749B9C8C" w14:textId="32E39A95" w:rsidR="00C71B6F" w:rsidRDefault="00C71B6F" w:rsidP="001932BE">
      <w:pPr>
        <w:pStyle w:val="Paragraphnumbered"/>
        <w:tabs>
          <w:tab w:val="clear" w:pos="862"/>
          <w:tab w:val="num" w:pos="720"/>
        </w:tabs>
        <w:ind w:left="0" w:firstLine="0"/>
        <w:jc w:val="both"/>
      </w:pPr>
      <w:r>
        <w:t>14.</w:t>
      </w:r>
      <w:r w:rsidR="00E844FF">
        <w:t>00</w:t>
      </w:r>
      <w:r>
        <w:t xml:space="preserve"> – 16</w:t>
      </w:r>
      <w:r w:rsidR="00A358DA">
        <w:t>.</w:t>
      </w:r>
      <w:r w:rsidR="00E844FF">
        <w:t>00</w:t>
      </w:r>
      <w:r w:rsidR="00A358DA">
        <w:t xml:space="preserve"> </w:t>
      </w:r>
      <w:r w:rsidR="00E844FF">
        <w:t>Friday</w:t>
      </w:r>
      <w:r w:rsidR="00A358DA">
        <w:t xml:space="preserve"> </w:t>
      </w:r>
      <w:r w:rsidR="00E844FF">
        <w:t>30</w:t>
      </w:r>
      <w:r w:rsidR="00E844FF" w:rsidRPr="00E844FF">
        <w:rPr>
          <w:vertAlign w:val="superscript"/>
        </w:rPr>
        <w:t>th</w:t>
      </w:r>
      <w:r w:rsidR="00E844FF">
        <w:t xml:space="preserve"> January</w:t>
      </w:r>
    </w:p>
    <w:p w14:paraId="6E04D879" w14:textId="77777777" w:rsidR="00295305" w:rsidRDefault="00295305" w:rsidP="001932BE">
      <w:pPr>
        <w:pStyle w:val="Heading1"/>
        <w:numPr>
          <w:ilvl w:val="0"/>
          <w:numId w:val="0"/>
        </w:numPr>
        <w:jc w:val="both"/>
      </w:pPr>
    </w:p>
    <w:p w14:paraId="1E5BE59C" w14:textId="21892A62" w:rsidR="004525F4" w:rsidRPr="006C18ED" w:rsidRDefault="004525F4" w:rsidP="001932BE">
      <w:pPr>
        <w:pStyle w:val="Paragraphnumbered"/>
        <w:numPr>
          <w:ilvl w:val="0"/>
          <w:numId w:val="0"/>
        </w:numPr>
        <w:jc w:val="both"/>
      </w:pPr>
    </w:p>
    <w:sectPr w:rsidR="004525F4" w:rsidRPr="006C18ED" w:rsidSect="00A97326">
      <w:headerReference w:type="default" r:id="rId13"/>
      <w:footerReference w:type="default" r:id="rId14"/>
      <w:headerReference w:type="first" r:id="rId15"/>
      <w:footerReference w:type="first" r:id="rId16"/>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23958" w14:textId="77777777" w:rsidR="005E2D7E" w:rsidRDefault="005E2D7E" w:rsidP="00BA7019">
      <w:r>
        <w:separator/>
      </w:r>
    </w:p>
  </w:endnote>
  <w:endnote w:type="continuationSeparator" w:id="0">
    <w:p w14:paraId="1E0BA5DF" w14:textId="77777777" w:rsidR="005E2D7E" w:rsidRDefault="005E2D7E"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7315" w14:textId="77777777" w:rsidR="005E2D7E" w:rsidRDefault="005E2D7E" w:rsidP="00F1440E">
    <w:pPr>
      <w:pStyle w:val="Footer"/>
      <w:jc w:val="right"/>
    </w:pPr>
    <w:r>
      <w:rPr>
        <w:rStyle w:val="PageNumber"/>
      </w:rPr>
      <w:fldChar w:fldCharType="begin"/>
    </w:r>
    <w:r>
      <w:rPr>
        <w:rStyle w:val="PageNumber"/>
      </w:rPr>
      <w:instrText xml:space="preserve"> PAGE </w:instrText>
    </w:r>
    <w:r>
      <w:rPr>
        <w:rStyle w:val="PageNumber"/>
      </w:rPr>
      <w:fldChar w:fldCharType="separate"/>
    </w:r>
    <w:r w:rsidR="00F4507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507E">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E88E" w14:textId="5F2C60BB" w:rsidR="005E2D7E" w:rsidRPr="009F2347" w:rsidRDefault="00264524" w:rsidP="009F2347">
    <w:pPr>
      <w:pStyle w:val="Footer"/>
      <w:tabs>
        <w:tab w:val="clear" w:pos="8306"/>
        <w:tab w:val="right" w:pos="9356"/>
      </w:tabs>
      <w:ind w:right="360"/>
      <w:jc w:val="center"/>
      <w:rPr>
        <w:rStyle w:val="PageNumber"/>
      </w:rPr>
    </w:pPr>
    <w:fldSimple w:instr=" FILENAME   \* MERGEFORMAT ">
      <w:r w:rsidR="003426E2">
        <w:rPr>
          <w:noProof/>
        </w:rPr>
        <w:t>141209_WS6_minutes</w:t>
      </w:r>
    </w:fldSimple>
    <w:r w:rsidR="005E2D7E">
      <w:tab/>
    </w:r>
    <w:r w:rsidR="005E2D7E">
      <w:tab/>
    </w:r>
    <w:r w:rsidR="005E2D7E">
      <w:rPr>
        <w:rStyle w:val="PageNumber"/>
      </w:rPr>
      <w:fldChar w:fldCharType="begin"/>
    </w:r>
    <w:r w:rsidR="005E2D7E">
      <w:rPr>
        <w:rStyle w:val="PageNumber"/>
      </w:rPr>
      <w:instrText xml:space="preserve"> PAGE </w:instrText>
    </w:r>
    <w:r w:rsidR="005E2D7E">
      <w:rPr>
        <w:rStyle w:val="PageNumber"/>
      </w:rPr>
      <w:fldChar w:fldCharType="separate"/>
    </w:r>
    <w:r w:rsidR="00F4507E">
      <w:rPr>
        <w:rStyle w:val="PageNumber"/>
        <w:noProof/>
      </w:rPr>
      <w:t>1</w:t>
    </w:r>
    <w:r w:rsidR="005E2D7E">
      <w:rPr>
        <w:rStyle w:val="PageNumber"/>
      </w:rPr>
      <w:fldChar w:fldCharType="end"/>
    </w:r>
    <w:r w:rsidR="005E2D7E">
      <w:rPr>
        <w:rStyle w:val="PageNumber"/>
      </w:rPr>
      <w:t xml:space="preserve"> of </w:t>
    </w:r>
    <w:r w:rsidR="005E2D7E">
      <w:rPr>
        <w:rStyle w:val="PageNumber"/>
      </w:rPr>
      <w:fldChar w:fldCharType="begin"/>
    </w:r>
    <w:r w:rsidR="005E2D7E">
      <w:rPr>
        <w:rStyle w:val="PageNumber"/>
      </w:rPr>
      <w:instrText xml:space="preserve"> NUMPAGES </w:instrText>
    </w:r>
    <w:r w:rsidR="005E2D7E">
      <w:rPr>
        <w:rStyle w:val="PageNumber"/>
      </w:rPr>
      <w:fldChar w:fldCharType="separate"/>
    </w:r>
    <w:r w:rsidR="00F4507E">
      <w:rPr>
        <w:rStyle w:val="PageNumber"/>
        <w:noProof/>
      </w:rPr>
      <w:t>5</w:t>
    </w:r>
    <w:r w:rsidR="005E2D7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43A6" w14:textId="77777777" w:rsidR="005E2D7E" w:rsidRDefault="005E2D7E" w:rsidP="00BA7019">
      <w:r>
        <w:separator/>
      </w:r>
    </w:p>
  </w:footnote>
  <w:footnote w:type="continuationSeparator" w:id="0">
    <w:p w14:paraId="12959FE6" w14:textId="77777777" w:rsidR="005E2D7E" w:rsidRDefault="005E2D7E"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684"/>
      <w:gridCol w:w="3079"/>
    </w:tblGrid>
    <w:tr w:rsidR="005E2D7E" w14:paraId="669DDEB2" w14:textId="77777777" w:rsidTr="00A15942">
      <w:tc>
        <w:tcPr>
          <w:tcW w:w="5751" w:type="dxa"/>
        </w:tcPr>
        <w:p w14:paraId="7F13C54C" w14:textId="722D1703" w:rsidR="005E2D7E" w:rsidRPr="00AE5A91" w:rsidRDefault="005E2D7E" w:rsidP="00A15942">
          <w:pPr>
            <w:pStyle w:val="Header"/>
            <w:tabs>
              <w:tab w:val="clear" w:pos="4153"/>
              <w:tab w:val="clear" w:pos="8306"/>
            </w:tabs>
          </w:pPr>
          <w:r>
            <w:rPr>
              <w:color w:val="808080"/>
            </w:rPr>
            <w:t>Meeting 30 – Smart Grid Forum Work Stream 6</w:t>
          </w:r>
        </w:p>
      </w:tc>
      <w:tc>
        <w:tcPr>
          <w:tcW w:w="684" w:type="dxa"/>
        </w:tcPr>
        <w:p w14:paraId="3484E980" w14:textId="77777777" w:rsidR="005E2D7E" w:rsidRPr="00AE5A91" w:rsidRDefault="005E2D7E" w:rsidP="00A15942">
          <w:pPr>
            <w:pStyle w:val="Header"/>
            <w:tabs>
              <w:tab w:val="clear" w:pos="4153"/>
              <w:tab w:val="clear" w:pos="8306"/>
            </w:tabs>
            <w:jc w:val="right"/>
          </w:pPr>
        </w:p>
      </w:tc>
      <w:tc>
        <w:tcPr>
          <w:tcW w:w="3079" w:type="dxa"/>
        </w:tcPr>
        <w:p w14:paraId="69FE94C3" w14:textId="77777777" w:rsidR="005E2D7E" w:rsidRDefault="005E2D7E" w:rsidP="00A15942">
          <w:pPr>
            <w:pStyle w:val="Header"/>
            <w:tabs>
              <w:tab w:val="clear" w:pos="4153"/>
              <w:tab w:val="clear" w:pos="8306"/>
            </w:tabs>
            <w:jc w:val="right"/>
          </w:pPr>
          <w:r>
            <w:t>Minutes</w:t>
          </w:r>
        </w:p>
      </w:tc>
    </w:tr>
  </w:tbl>
  <w:p w14:paraId="5175350B" w14:textId="77777777" w:rsidR="005E2D7E" w:rsidRPr="004525F4" w:rsidRDefault="005E2D7E" w:rsidP="0045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1" w:type="dxa"/>
      <w:tblLook w:val="01E0" w:firstRow="1" w:lastRow="1" w:firstColumn="1" w:lastColumn="1" w:noHBand="0" w:noVBand="0"/>
    </w:tblPr>
    <w:tblGrid>
      <w:gridCol w:w="2673"/>
      <w:gridCol w:w="7011"/>
    </w:tblGrid>
    <w:tr w:rsidR="005E2D7E" w:rsidRPr="00A15942" w14:paraId="777FEE81" w14:textId="77777777" w:rsidTr="00A15942">
      <w:tc>
        <w:tcPr>
          <w:tcW w:w="2673" w:type="dxa"/>
          <w:vAlign w:val="center"/>
        </w:tcPr>
        <w:p w14:paraId="0EAFC274" w14:textId="77777777" w:rsidR="005E2D7E" w:rsidRPr="00A15942" w:rsidRDefault="005E2D7E" w:rsidP="009F5119">
          <w:pPr>
            <w:pStyle w:val="Header"/>
            <w:rPr>
              <w:sz w:val="52"/>
              <w:szCs w:val="52"/>
            </w:rPr>
          </w:pPr>
          <w:r>
            <w:rPr>
              <w:noProof/>
            </w:rPr>
            <w:drawing>
              <wp:inline distT="0" distB="0" distL="0" distR="0" wp14:anchorId="01726F73" wp14:editId="1E2A31D9">
                <wp:extent cx="1182657" cy="468000"/>
                <wp:effectExtent l="19050" t="0" r="0" b="0"/>
                <wp:docPr id="1" name="Picture 1"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logob&amp;w2"/>
                        <pic:cNvPicPr>
                          <a:picLocks noChangeAspect="1" noChangeArrowheads="1"/>
                        </pic:cNvPicPr>
                      </pic:nvPicPr>
                      <pic:blipFill>
                        <a:blip r:embed="rId1"/>
                        <a:stretch>
                          <a:fillRect/>
                        </a:stretch>
                      </pic:blipFill>
                      <pic:spPr bwMode="auto">
                        <a:xfrm>
                          <a:off x="0" y="0"/>
                          <a:ext cx="1182657" cy="468000"/>
                        </a:xfrm>
                        <a:prstGeom prst="rect">
                          <a:avLst/>
                        </a:prstGeom>
                        <a:noFill/>
                        <a:ln w="9525">
                          <a:noFill/>
                          <a:miter lim="800000"/>
                          <a:headEnd/>
                          <a:tailEnd/>
                        </a:ln>
                      </pic:spPr>
                    </pic:pic>
                  </a:graphicData>
                </a:graphic>
              </wp:inline>
            </w:drawing>
          </w:r>
        </w:p>
      </w:tc>
      <w:tc>
        <w:tcPr>
          <w:tcW w:w="7011" w:type="dxa"/>
          <w:vAlign w:val="center"/>
        </w:tcPr>
        <w:p w14:paraId="07C3A43A" w14:textId="77777777" w:rsidR="005E2D7E" w:rsidRPr="00A15942" w:rsidRDefault="005E2D7E" w:rsidP="00A15942">
          <w:pPr>
            <w:pStyle w:val="Header"/>
            <w:jc w:val="right"/>
            <w:rPr>
              <w:sz w:val="52"/>
              <w:szCs w:val="52"/>
            </w:rPr>
          </w:pPr>
          <w:r w:rsidRPr="00A15942">
            <w:rPr>
              <w:sz w:val="52"/>
              <w:szCs w:val="52"/>
            </w:rPr>
            <w:t>Minutes</w:t>
          </w:r>
        </w:p>
      </w:tc>
    </w:tr>
  </w:tbl>
  <w:p w14:paraId="01EDB5DD" w14:textId="77777777" w:rsidR="005E2D7E" w:rsidRDefault="005E2D7E" w:rsidP="00641F10">
    <w:pPr>
      <w:pStyle w:val="Header"/>
      <w:ind w:left="-171"/>
      <w:rPr>
        <w:sz w:val="16"/>
        <w:szCs w:val="16"/>
      </w:rPr>
    </w:pPr>
  </w:p>
  <w:p w14:paraId="1766A173" w14:textId="77777777" w:rsidR="005E2D7E" w:rsidRPr="00920D51" w:rsidRDefault="005E2D7E" w:rsidP="00641F10">
    <w:pPr>
      <w:pStyle w:val="Header"/>
      <w:ind w:left="-17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4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619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F085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AC3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00E2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AA8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E2E4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0E3A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30A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5A2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862"/>
        </w:tabs>
        <w:ind w:left="574"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8827DC"/>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236C62"/>
    <w:multiLevelType w:val="hybridMultilevel"/>
    <w:tmpl w:val="860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F7AAE"/>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D474F95"/>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3644D7F"/>
    <w:multiLevelType w:val="hybridMultilevel"/>
    <w:tmpl w:val="91F4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04A29"/>
    <w:multiLevelType w:val="multilevel"/>
    <w:tmpl w:val="965C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bullet"/>
      <w:lvlText w:val=""/>
      <w:lvlJc w:val="left"/>
      <w:pPr>
        <w:tabs>
          <w:tab w:val="num" w:pos="720"/>
        </w:tabs>
        <w:ind w:left="504" w:hanging="504"/>
      </w:pPr>
      <w:rPr>
        <w:rFonts w:ascii="Symbol" w:hAnsi="Symbol"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1"/>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8"/>
  </w:num>
  <w:num w:numId="17">
    <w:abstractNumId w:val="19"/>
  </w:num>
  <w:num w:numId="18">
    <w:abstractNumId w:val="22"/>
  </w:num>
  <w:num w:numId="19">
    <w:abstractNumId w:val="13"/>
  </w:num>
  <w:num w:numId="20">
    <w:abstractNumId w:val="17"/>
  </w:num>
  <w:num w:numId="21">
    <w:abstractNumId w:val="16"/>
  </w:num>
  <w:num w:numId="22">
    <w:abstractNumId w:val="15"/>
  </w:num>
  <w:num w:numId="23">
    <w:abstractNumId w:val="11"/>
  </w:num>
  <w:num w:numId="24">
    <w:abstractNumId w:val="11"/>
  </w:num>
  <w:num w:numId="25">
    <w:abstractNumId w:val="11"/>
  </w:num>
  <w:num w:numId="26">
    <w:abstractNumId w:val="11"/>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7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F3"/>
    <w:rsid w:val="000001A1"/>
    <w:rsid w:val="00001B0F"/>
    <w:rsid w:val="0000372C"/>
    <w:rsid w:val="00005351"/>
    <w:rsid w:val="000139E3"/>
    <w:rsid w:val="00017CE6"/>
    <w:rsid w:val="0002148C"/>
    <w:rsid w:val="00021906"/>
    <w:rsid w:val="00023381"/>
    <w:rsid w:val="00025407"/>
    <w:rsid w:val="00025A21"/>
    <w:rsid w:val="00030D94"/>
    <w:rsid w:val="000330AF"/>
    <w:rsid w:val="00033220"/>
    <w:rsid w:val="000354B8"/>
    <w:rsid w:val="00035612"/>
    <w:rsid w:val="000467B2"/>
    <w:rsid w:val="000562D3"/>
    <w:rsid w:val="00056C1A"/>
    <w:rsid w:val="00061711"/>
    <w:rsid w:val="00066DB0"/>
    <w:rsid w:val="00072BB2"/>
    <w:rsid w:val="00074976"/>
    <w:rsid w:val="00086210"/>
    <w:rsid w:val="00087609"/>
    <w:rsid w:val="00092B83"/>
    <w:rsid w:val="0009389A"/>
    <w:rsid w:val="000A1B69"/>
    <w:rsid w:val="000A404C"/>
    <w:rsid w:val="000A4AEC"/>
    <w:rsid w:val="000B7412"/>
    <w:rsid w:val="000B7578"/>
    <w:rsid w:val="000B7BA8"/>
    <w:rsid w:val="000C1C92"/>
    <w:rsid w:val="000C628A"/>
    <w:rsid w:val="000C6C47"/>
    <w:rsid w:val="000D1154"/>
    <w:rsid w:val="000E174A"/>
    <w:rsid w:val="000E1F4B"/>
    <w:rsid w:val="000E5E63"/>
    <w:rsid w:val="000E7F6B"/>
    <w:rsid w:val="000F0E42"/>
    <w:rsid w:val="00103CDE"/>
    <w:rsid w:val="00104496"/>
    <w:rsid w:val="00105C2F"/>
    <w:rsid w:val="0010773F"/>
    <w:rsid w:val="00112B62"/>
    <w:rsid w:val="00115DC2"/>
    <w:rsid w:val="0011790E"/>
    <w:rsid w:val="0012211A"/>
    <w:rsid w:val="00130E03"/>
    <w:rsid w:val="001372D9"/>
    <w:rsid w:val="00155C1E"/>
    <w:rsid w:val="001730FB"/>
    <w:rsid w:val="001741C5"/>
    <w:rsid w:val="00175195"/>
    <w:rsid w:val="00184140"/>
    <w:rsid w:val="00184CA3"/>
    <w:rsid w:val="00184ECF"/>
    <w:rsid w:val="001878DB"/>
    <w:rsid w:val="001932BE"/>
    <w:rsid w:val="00196399"/>
    <w:rsid w:val="001A07F7"/>
    <w:rsid w:val="001B4199"/>
    <w:rsid w:val="001B494A"/>
    <w:rsid w:val="001B6B41"/>
    <w:rsid w:val="001C1B6C"/>
    <w:rsid w:val="001C34DA"/>
    <w:rsid w:val="001C7640"/>
    <w:rsid w:val="001D21F7"/>
    <w:rsid w:val="001D5568"/>
    <w:rsid w:val="001E3771"/>
    <w:rsid w:val="001E5E2F"/>
    <w:rsid w:val="001E6CEE"/>
    <w:rsid w:val="001E7913"/>
    <w:rsid w:val="001F28C2"/>
    <w:rsid w:val="001F376E"/>
    <w:rsid w:val="001F381B"/>
    <w:rsid w:val="002002BF"/>
    <w:rsid w:val="00202151"/>
    <w:rsid w:val="00211D2E"/>
    <w:rsid w:val="00213194"/>
    <w:rsid w:val="002216C5"/>
    <w:rsid w:val="00221F37"/>
    <w:rsid w:val="00225E20"/>
    <w:rsid w:val="00227BF8"/>
    <w:rsid w:val="00231C27"/>
    <w:rsid w:val="00233E2C"/>
    <w:rsid w:val="00234452"/>
    <w:rsid w:val="00235884"/>
    <w:rsid w:val="00240E58"/>
    <w:rsid w:val="00246197"/>
    <w:rsid w:val="00247A43"/>
    <w:rsid w:val="00252FD9"/>
    <w:rsid w:val="00255EAA"/>
    <w:rsid w:val="0025701D"/>
    <w:rsid w:val="0025774B"/>
    <w:rsid w:val="00260658"/>
    <w:rsid w:val="00261E55"/>
    <w:rsid w:val="00263F28"/>
    <w:rsid w:val="00264524"/>
    <w:rsid w:val="00265241"/>
    <w:rsid w:val="002714F0"/>
    <w:rsid w:val="00273DC3"/>
    <w:rsid w:val="002747BA"/>
    <w:rsid w:val="00295305"/>
    <w:rsid w:val="002B1E60"/>
    <w:rsid w:val="002C0C63"/>
    <w:rsid w:val="002C13AB"/>
    <w:rsid w:val="002C1AF7"/>
    <w:rsid w:val="002D4D9B"/>
    <w:rsid w:val="002D6B7A"/>
    <w:rsid w:val="002D77F4"/>
    <w:rsid w:val="002E1BC0"/>
    <w:rsid w:val="002E1C50"/>
    <w:rsid w:val="002F69EE"/>
    <w:rsid w:val="002F7F64"/>
    <w:rsid w:val="0030173A"/>
    <w:rsid w:val="00312F3D"/>
    <w:rsid w:val="00327152"/>
    <w:rsid w:val="003426E2"/>
    <w:rsid w:val="003451F0"/>
    <w:rsid w:val="003564BF"/>
    <w:rsid w:val="00361B01"/>
    <w:rsid w:val="00365235"/>
    <w:rsid w:val="00370DFA"/>
    <w:rsid w:val="00373566"/>
    <w:rsid w:val="00377A08"/>
    <w:rsid w:val="00395428"/>
    <w:rsid w:val="003A20D7"/>
    <w:rsid w:val="003A733F"/>
    <w:rsid w:val="003B3B03"/>
    <w:rsid w:val="003B7401"/>
    <w:rsid w:val="003C7A3C"/>
    <w:rsid w:val="003D045F"/>
    <w:rsid w:val="003D4D62"/>
    <w:rsid w:val="003E4C21"/>
    <w:rsid w:val="003E5AAB"/>
    <w:rsid w:val="003F0E6E"/>
    <w:rsid w:val="003F102E"/>
    <w:rsid w:val="003F166B"/>
    <w:rsid w:val="003F6FFA"/>
    <w:rsid w:val="004053EA"/>
    <w:rsid w:val="004104ED"/>
    <w:rsid w:val="00422FA4"/>
    <w:rsid w:val="004235A2"/>
    <w:rsid w:val="00444A07"/>
    <w:rsid w:val="0045237C"/>
    <w:rsid w:val="004525F4"/>
    <w:rsid w:val="004526D0"/>
    <w:rsid w:val="00457E3B"/>
    <w:rsid w:val="0046051B"/>
    <w:rsid w:val="00461A33"/>
    <w:rsid w:val="004624D5"/>
    <w:rsid w:val="00464889"/>
    <w:rsid w:val="00465FD6"/>
    <w:rsid w:val="00466A76"/>
    <w:rsid w:val="00466C62"/>
    <w:rsid w:val="00471C5B"/>
    <w:rsid w:val="00473D7F"/>
    <w:rsid w:val="004745D1"/>
    <w:rsid w:val="00480BA8"/>
    <w:rsid w:val="00484F06"/>
    <w:rsid w:val="00492A0B"/>
    <w:rsid w:val="004A4F64"/>
    <w:rsid w:val="004A6B2A"/>
    <w:rsid w:val="004C329A"/>
    <w:rsid w:val="004C5414"/>
    <w:rsid w:val="004C6BE6"/>
    <w:rsid w:val="004D562C"/>
    <w:rsid w:val="004E1CF5"/>
    <w:rsid w:val="004E2D27"/>
    <w:rsid w:val="004F0473"/>
    <w:rsid w:val="004F2317"/>
    <w:rsid w:val="004F5422"/>
    <w:rsid w:val="00500884"/>
    <w:rsid w:val="0050214A"/>
    <w:rsid w:val="00504962"/>
    <w:rsid w:val="00505A02"/>
    <w:rsid w:val="00510556"/>
    <w:rsid w:val="00521B10"/>
    <w:rsid w:val="00524469"/>
    <w:rsid w:val="005266C5"/>
    <w:rsid w:val="005311A7"/>
    <w:rsid w:val="0054097A"/>
    <w:rsid w:val="00540C21"/>
    <w:rsid w:val="0054294C"/>
    <w:rsid w:val="00546702"/>
    <w:rsid w:val="0055601D"/>
    <w:rsid w:val="00556B94"/>
    <w:rsid w:val="00562601"/>
    <w:rsid w:val="00563E05"/>
    <w:rsid w:val="00565F59"/>
    <w:rsid w:val="00572002"/>
    <w:rsid w:val="005832FA"/>
    <w:rsid w:val="00587EE7"/>
    <w:rsid w:val="005900A2"/>
    <w:rsid w:val="00595657"/>
    <w:rsid w:val="005A0BEB"/>
    <w:rsid w:val="005A1E08"/>
    <w:rsid w:val="005A5207"/>
    <w:rsid w:val="005B6786"/>
    <w:rsid w:val="005B7D18"/>
    <w:rsid w:val="005C2214"/>
    <w:rsid w:val="005C6FB5"/>
    <w:rsid w:val="005D1790"/>
    <w:rsid w:val="005E0957"/>
    <w:rsid w:val="005E0C1F"/>
    <w:rsid w:val="005E108D"/>
    <w:rsid w:val="005E1657"/>
    <w:rsid w:val="005E2D7E"/>
    <w:rsid w:val="005E59D1"/>
    <w:rsid w:val="005E6B11"/>
    <w:rsid w:val="005E6B72"/>
    <w:rsid w:val="005F2345"/>
    <w:rsid w:val="0060001B"/>
    <w:rsid w:val="00615843"/>
    <w:rsid w:val="00615E99"/>
    <w:rsid w:val="00616ADB"/>
    <w:rsid w:val="00627316"/>
    <w:rsid w:val="0063014B"/>
    <w:rsid w:val="00631AEC"/>
    <w:rsid w:val="00636D7D"/>
    <w:rsid w:val="00641864"/>
    <w:rsid w:val="00641F10"/>
    <w:rsid w:val="006445F8"/>
    <w:rsid w:val="00646AA8"/>
    <w:rsid w:val="00647F1D"/>
    <w:rsid w:val="00650C8D"/>
    <w:rsid w:val="00655139"/>
    <w:rsid w:val="00673EA6"/>
    <w:rsid w:val="00676EF0"/>
    <w:rsid w:val="00676FCE"/>
    <w:rsid w:val="00690E32"/>
    <w:rsid w:val="0069372F"/>
    <w:rsid w:val="0069599B"/>
    <w:rsid w:val="006B1CAE"/>
    <w:rsid w:val="006C18ED"/>
    <w:rsid w:val="006C5386"/>
    <w:rsid w:val="006C6561"/>
    <w:rsid w:val="006C7F30"/>
    <w:rsid w:val="006D2B63"/>
    <w:rsid w:val="006D498F"/>
    <w:rsid w:val="006D6B58"/>
    <w:rsid w:val="006E0854"/>
    <w:rsid w:val="006F3A1D"/>
    <w:rsid w:val="006F3B45"/>
    <w:rsid w:val="006F5AAE"/>
    <w:rsid w:val="007013F1"/>
    <w:rsid w:val="0070148A"/>
    <w:rsid w:val="00707E31"/>
    <w:rsid w:val="00711EC2"/>
    <w:rsid w:val="007259AD"/>
    <w:rsid w:val="00741ED8"/>
    <w:rsid w:val="00741FEB"/>
    <w:rsid w:val="00742A55"/>
    <w:rsid w:val="007473E5"/>
    <w:rsid w:val="00751427"/>
    <w:rsid w:val="0075387B"/>
    <w:rsid w:val="00753B54"/>
    <w:rsid w:val="00755114"/>
    <w:rsid w:val="007669D8"/>
    <w:rsid w:val="0077241F"/>
    <w:rsid w:val="00782E3E"/>
    <w:rsid w:val="00784A1B"/>
    <w:rsid w:val="00784C82"/>
    <w:rsid w:val="00791D6D"/>
    <w:rsid w:val="007958EF"/>
    <w:rsid w:val="007A361C"/>
    <w:rsid w:val="007A5423"/>
    <w:rsid w:val="007A6A21"/>
    <w:rsid w:val="007B0EB8"/>
    <w:rsid w:val="007B457D"/>
    <w:rsid w:val="007B52A4"/>
    <w:rsid w:val="007B70AA"/>
    <w:rsid w:val="007C244F"/>
    <w:rsid w:val="007C55F2"/>
    <w:rsid w:val="007D2D9F"/>
    <w:rsid w:val="007D517C"/>
    <w:rsid w:val="007D7761"/>
    <w:rsid w:val="007D7F85"/>
    <w:rsid w:val="007E0A2C"/>
    <w:rsid w:val="007E1074"/>
    <w:rsid w:val="007E22CF"/>
    <w:rsid w:val="007E3A17"/>
    <w:rsid w:val="007E44F3"/>
    <w:rsid w:val="007E4D5E"/>
    <w:rsid w:val="007E6EF6"/>
    <w:rsid w:val="007F13C0"/>
    <w:rsid w:val="007F5362"/>
    <w:rsid w:val="007F6D1D"/>
    <w:rsid w:val="0080351E"/>
    <w:rsid w:val="008059C1"/>
    <w:rsid w:val="00811AD8"/>
    <w:rsid w:val="00812AD9"/>
    <w:rsid w:val="00812C0E"/>
    <w:rsid w:val="008132DA"/>
    <w:rsid w:val="008163FF"/>
    <w:rsid w:val="008207E0"/>
    <w:rsid w:val="008215FA"/>
    <w:rsid w:val="0082673C"/>
    <w:rsid w:val="00832A6F"/>
    <w:rsid w:val="00843516"/>
    <w:rsid w:val="0084504B"/>
    <w:rsid w:val="00850B44"/>
    <w:rsid w:val="00850C84"/>
    <w:rsid w:val="0085605F"/>
    <w:rsid w:val="008565A6"/>
    <w:rsid w:val="008614BC"/>
    <w:rsid w:val="00863501"/>
    <w:rsid w:val="00864251"/>
    <w:rsid w:val="00865426"/>
    <w:rsid w:val="008676C2"/>
    <w:rsid w:val="00870C77"/>
    <w:rsid w:val="00872820"/>
    <w:rsid w:val="00872CFC"/>
    <w:rsid w:val="00874A5A"/>
    <w:rsid w:val="00874F46"/>
    <w:rsid w:val="00884F49"/>
    <w:rsid w:val="00890E4D"/>
    <w:rsid w:val="00895DA3"/>
    <w:rsid w:val="008A256F"/>
    <w:rsid w:val="008A2595"/>
    <w:rsid w:val="008A5377"/>
    <w:rsid w:val="008B0AED"/>
    <w:rsid w:val="008B39EE"/>
    <w:rsid w:val="008B5E9E"/>
    <w:rsid w:val="008E242B"/>
    <w:rsid w:val="008E3706"/>
    <w:rsid w:val="008F0192"/>
    <w:rsid w:val="008F17BB"/>
    <w:rsid w:val="008F4528"/>
    <w:rsid w:val="0090224A"/>
    <w:rsid w:val="00905298"/>
    <w:rsid w:val="0090683E"/>
    <w:rsid w:val="009131C6"/>
    <w:rsid w:val="00920D51"/>
    <w:rsid w:val="00920FC9"/>
    <w:rsid w:val="00921D63"/>
    <w:rsid w:val="00922BBB"/>
    <w:rsid w:val="00922F2D"/>
    <w:rsid w:val="00932030"/>
    <w:rsid w:val="009324AD"/>
    <w:rsid w:val="00940C39"/>
    <w:rsid w:val="009433FA"/>
    <w:rsid w:val="00946EC5"/>
    <w:rsid w:val="00953FAD"/>
    <w:rsid w:val="009566D2"/>
    <w:rsid w:val="00957B4B"/>
    <w:rsid w:val="00961235"/>
    <w:rsid w:val="00964515"/>
    <w:rsid w:val="0096775C"/>
    <w:rsid w:val="0097096B"/>
    <w:rsid w:val="009740AC"/>
    <w:rsid w:val="00974876"/>
    <w:rsid w:val="0097535A"/>
    <w:rsid w:val="00977F1E"/>
    <w:rsid w:val="00980992"/>
    <w:rsid w:val="009855B6"/>
    <w:rsid w:val="009872BC"/>
    <w:rsid w:val="00987921"/>
    <w:rsid w:val="00993122"/>
    <w:rsid w:val="009A43C2"/>
    <w:rsid w:val="009A6232"/>
    <w:rsid w:val="009B21E3"/>
    <w:rsid w:val="009B5869"/>
    <w:rsid w:val="009C0BD7"/>
    <w:rsid w:val="009C2F54"/>
    <w:rsid w:val="009C31B1"/>
    <w:rsid w:val="009D0527"/>
    <w:rsid w:val="009D075C"/>
    <w:rsid w:val="009D2271"/>
    <w:rsid w:val="009D5115"/>
    <w:rsid w:val="009E196A"/>
    <w:rsid w:val="009E266A"/>
    <w:rsid w:val="009E2E84"/>
    <w:rsid w:val="009E6E01"/>
    <w:rsid w:val="009F2347"/>
    <w:rsid w:val="009F4842"/>
    <w:rsid w:val="009F5119"/>
    <w:rsid w:val="009F775E"/>
    <w:rsid w:val="00A03590"/>
    <w:rsid w:val="00A05332"/>
    <w:rsid w:val="00A11686"/>
    <w:rsid w:val="00A15942"/>
    <w:rsid w:val="00A1605E"/>
    <w:rsid w:val="00A17C21"/>
    <w:rsid w:val="00A20034"/>
    <w:rsid w:val="00A21CE5"/>
    <w:rsid w:val="00A22C7A"/>
    <w:rsid w:val="00A25A93"/>
    <w:rsid w:val="00A318A2"/>
    <w:rsid w:val="00A33ECC"/>
    <w:rsid w:val="00A34A72"/>
    <w:rsid w:val="00A358DA"/>
    <w:rsid w:val="00A379A2"/>
    <w:rsid w:val="00A4400D"/>
    <w:rsid w:val="00A44C71"/>
    <w:rsid w:val="00A46B41"/>
    <w:rsid w:val="00A54503"/>
    <w:rsid w:val="00A64B38"/>
    <w:rsid w:val="00A65347"/>
    <w:rsid w:val="00A73400"/>
    <w:rsid w:val="00A742D0"/>
    <w:rsid w:val="00A74748"/>
    <w:rsid w:val="00A93A55"/>
    <w:rsid w:val="00A96D0C"/>
    <w:rsid w:val="00A97326"/>
    <w:rsid w:val="00A974BD"/>
    <w:rsid w:val="00AA09BD"/>
    <w:rsid w:val="00AA2F45"/>
    <w:rsid w:val="00AA4DCD"/>
    <w:rsid w:val="00AB3DFF"/>
    <w:rsid w:val="00AB586E"/>
    <w:rsid w:val="00AB7635"/>
    <w:rsid w:val="00AC0228"/>
    <w:rsid w:val="00AC4047"/>
    <w:rsid w:val="00AD622C"/>
    <w:rsid w:val="00AF0FA9"/>
    <w:rsid w:val="00AF4666"/>
    <w:rsid w:val="00B04826"/>
    <w:rsid w:val="00B1482D"/>
    <w:rsid w:val="00B20CC1"/>
    <w:rsid w:val="00B2609F"/>
    <w:rsid w:val="00B26C21"/>
    <w:rsid w:val="00B27FBD"/>
    <w:rsid w:val="00B32F55"/>
    <w:rsid w:val="00B334E1"/>
    <w:rsid w:val="00B351BD"/>
    <w:rsid w:val="00B46A2C"/>
    <w:rsid w:val="00B478CD"/>
    <w:rsid w:val="00B51D2A"/>
    <w:rsid w:val="00B64F5B"/>
    <w:rsid w:val="00B6595A"/>
    <w:rsid w:val="00B6681D"/>
    <w:rsid w:val="00B70B7B"/>
    <w:rsid w:val="00B72918"/>
    <w:rsid w:val="00B74EFA"/>
    <w:rsid w:val="00B86315"/>
    <w:rsid w:val="00B92D4E"/>
    <w:rsid w:val="00B94608"/>
    <w:rsid w:val="00BA027E"/>
    <w:rsid w:val="00BA3851"/>
    <w:rsid w:val="00BA5FD4"/>
    <w:rsid w:val="00BA7019"/>
    <w:rsid w:val="00BB50B2"/>
    <w:rsid w:val="00BC3385"/>
    <w:rsid w:val="00BC6E30"/>
    <w:rsid w:val="00BC7648"/>
    <w:rsid w:val="00BC76F2"/>
    <w:rsid w:val="00BD101E"/>
    <w:rsid w:val="00BD14D2"/>
    <w:rsid w:val="00BD4292"/>
    <w:rsid w:val="00BD543A"/>
    <w:rsid w:val="00BE0237"/>
    <w:rsid w:val="00BE05C2"/>
    <w:rsid w:val="00BE0A33"/>
    <w:rsid w:val="00BE1513"/>
    <w:rsid w:val="00BE1B50"/>
    <w:rsid w:val="00BE271A"/>
    <w:rsid w:val="00BF7C36"/>
    <w:rsid w:val="00C02942"/>
    <w:rsid w:val="00C050C8"/>
    <w:rsid w:val="00C05A7B"/>
    <w:rsid w:val="00C12D20"/>
    <w:rsid w:val="00C17EC9"/>
    <w:rsid w:val="00C2037B"/>
    <w:rsid w:val="00C2155D"/>
    <w:rsid w:val="00C265D0"/>
    <w:rsid w:val="00C268A1"/>
    <w:rsid w:val="00C3518A"/>
    <w:rsid w:val="00C37EC2"/>
    <w:rsid w:val="00C527D8"/>
    <w:rsid w:val="00C531F7"/>
    <w:rsid w:val="00C547ED"/>
    <w:rsid w:val="00C5755D"/>
    <w:rsid w:val="00C652F7"/>
    <w:rsid w:val="00C71B6F"/>
    <w:rsid w:val="00C73A9D"/>
    <w:rsid w:val="00C81FD2"/>
    <w:rsid w:val="00C872F3"/>
    <w:rsid w:val="00C93FFF"/>
    <w:rsid w:val="00C97DA6"/>
    <w:rsid w:val="00CA1417"/>
    <w:rsid w:val="00CB2214"/>
    <w:rsid w:val="00CB49B0"/>
    <w:rsid w:val="00CC1636"/>
    <w:rsid w:val="00CC56B0"/>
    <w:rsid w:val="00CC5973"/>
    <w:rsid w:val="00CD2E44"/>
    <w:rsid w:val="00CE3072"/>
    <w:rsid w:val="00CE63AD"/>
    <w:rsid w:val="00CF1466"/>
    <w:rsid w:val="00D00430"/>
    <w:rsid w:val="00D0067B"/>
    <w:rsid w:val="00D011B2"/>
    <w:rsid w:val="00D01FD8"/>
    <w:rsid w:val="00D04654"/>
    <w:rsid w:val="00D12DB0"/>
    <w:rsid w:val="00D12FF0"/>
    <w:rsid w:val="00D13CA0"/>
    <w:rsid w:val="00D15C3C"/>
    <w:rsid w:val="00D2240A"/>
    <w:rsid w:val="00D2405D"/>
    <w:rsid w:val="00D25910"/>
    <w:rsid w:val="00D32307"/>
    <w:rsid w:val="00D358D4"/>
    <w:rsid w:val="00D414FD"/>
    <w:rsid w:val="00D5281C"/>
    <w:rsid w:val="00D571B7"/>
    <w:rsid w:val="00D6289E"/>
    <w:rsid w:val="00D62FEB"/>
    <w:rsid w:val="00D67D24"/>
    <w:rsid w:val="00D71992"/>
    <w:rsid w:val="00D81B4C"/>
    <w:rsid w:val="00D85C36"/>
    <w:rsid w:val="00D869CF"/>
    <w:rsid w:val="00DA2021"/>
    <w:rsid w:val="00DA4C5E"/>
    <w:rsid w:val="00DA5E7D"/>
    <w:rsid w:val="00DA6682"/>
    <w:rsid w:val="00DA69E7"/>
    <w:rsid w:val="00DA6BE9"/>
    <w:rsid w:val="00DB168D"/>
    <w:rsid w:val="00DB58D1"/>
    <w:rsid w:val="00DC1136"/>
    <w:rsid w:val="00DC2751"/>
    <w:rsid w:val="00DC2F00"/>
    <w:rsid w:val="00DD4902"/>
    <w:rsid w:val="00DE0211"/>
    <w:rsid w:val="00DE0815"/>
    <w:rsid w:val="00DF0F11"/>
    <w:rsid w:val="00DF5064"/>
    <w:rsid w:val="00E03558"/>
    <w:rsid w:val="00E03775"/>
    <w:rsid w:val="00E04EAF"/>
    <w:rsid w:val="00E14AA5"/>
    <w:rsid w:val="00E20B96"/>
    <w:rsid w:val="00E217C3"/>
    <w:rsid w:val="00E34B2C"/>
    <w:rsid w:val="00E447E9"/>
    <w:rsid w:val="00E4517F"/>
    <w:rsid w:val="00E464D0"/>
    <w:rsid w:val="00E51AF8"/>
    <w:rsid w:val="00E57739"/>
    <w:rsid w:val="00E67CF7"/>
    <w:rsid w:val="00E71664"/>
    <w:rsid w:val="00E779BB"/>
    <w:rsid w:val="00E844FF"/>
    <w:rsid w:val="00E926D6"/>
    <w:rsid w:val="00E9736C"/>
    <w:rsid w:val="00EA7BD2"/>
    <w:rsid w:val="00EB0C40"/>
    <w:rsid w:val="00EB1C29"/>
    <w:rsid w:val="00EB2CFE"/>
    <w:rsid w:val="00EB39DF"/>
    <w:rsid w:val="00EB6E5F"/>
    <w:rsid w:val="00EC7FD2"/>
    <w:rsid w:val="00ED7B65"/>
    <w:rsid w:val="00F06EF2"/>
    <w:rsid w:val="00F11705"/>
    <w:rsid w:val="00F123A7"/>
    <w:rsid w:val="00F13B61"/>
    <w:rsid w:val="00F1440E"/>
    <w:rsid w:val="00F15304"/>
    <w:rsid w:val="00F15DC5"/>
    <w:rsid w:val="00F2661F"/>
    <w:rsid w:val="00F431E3"/>
    <w:rsid w:val="00F434E3"/>
    <w:rsid w:val="00F4507E"/>
    <w:rsid w:val="00F53CFB"/>
    <w:rsid w:val="00F676F0"/>
    <w:rsid w:val="00F70BF0"/>
    <w:rsid w:val="00F733D3"/>
    <w:rsid w:val="00F758AE"/>
    <w:rsid w:val="00F80D67"/>
    <w:rsid w:val="00F827F9"/>
    <w:rsid w:val="00F8411A"/>
    <w:rsid w:val="00F85755"/>
    <w:rsid w:val="00F93B79"/>
    <w:rsid w:val="00FB3875"/>
    <w:rsid w:val="00FB508F"/>
    <w:rsid w:val="00FB60EB"/>
    <w:rsid w:val="00FC0547"/>
    <w:rsid w:val="00FC1B91"/>
    <w:rsid w:val="00FC27C2"/>
    <w:rsid w:val="00FC4DFC"/>
    <w:rsid w:val="00FD1062"/>
    <w:rsid w:val="00FF1AF2"/>
    <w:rsid w:val="00FF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2F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table" w:styleId="TableSimple3">
    <w:name w:val="Table Simple 3"/>
    <w:basedOn w:val="TableNormal"/>
    <w:rsid w:val="001221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B74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7F5362"/>
    <w:rPr>
      <w:rFonts w:ascii="Verdana" w:hAnsi="Verdana" w:cs="Arial"/>
      <w:szCs w:val="22"/>
    </w:rPr>
  </w:style>
  <w:style w:type="paragraph" w:styleId="ListParagraph">
    <w:name w:val="List Paragraph"/>
    <w:basedOn w:val="Normal"/>
    <w:uiPriority w:val="34"/>
    <w:qFormat/>
    <w:rsid w:val="00B26C21"/>
    <w:pPr>
      <w:ind w:left="720"/>
      <w:contextualSpacing/>
    </w:pPr>
  </w:style>
  <w:style w:type="character" w:styleId="CommentReference">
    <w:name w:val="annotation reference"/>
    <w:basedOn w:val="DefaultParagraphFont"/>
    <w:rsid w:val="001878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table" w:styleId="TableSimple3">
    <w:name w:val="Table Simple 3"/>
    <w:basedOn w:val="TableNormal"/>
    <w:rsid w:val="001221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B74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7F5362"/>
    <w:rPr>
      <w:rFonts w:ascii="Verdana" w:hAnsi="Verdana" w:cs="Arial"/>
      <w:szCs w:val="22"/>
    </w:rPr>
  </w:style>
  <w:style w:type="paragraph" w:styleId="ListParagraph">
    <w:name w:val="List Paragraph"/>
    <w:basedOn w:val="Normal"/>
    <w:uiPriority w:val="34"/>
    <w:qFormat/>
    <w:rsid w:val="00B26C21"/>
    <w:pPr>
      <w:ind w:left="720"/>
      <w:contextualSpacing/>
    </w:pPr>
  </w:style>
  <w:style w:type="character" w:styleId="CommentReference">
    <w:name w:val="annotation reference"/>
    <w:basedOn w:val="DefaultParagraphFont"/>
    <w:rsid w:val="001878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750">
      <w:bodyDiv w:val="1"/>
      <w:marLeft w:val="0"/>
      <w:marRight w:val="0"/>
      <w:marTop w:val="0"/>
      <w:marBottom w:val="0"/>
      <w:divBdr>
        <w:top w:val="none" w:sz="0" w:space="0" w:color="auto"/>
        <w:left w:val="none" w:sz="0" w:space="0" w:color="auto"/>
        <w:bottom w:val="none" w:sz="0" w:space="0" w:color="auto"/>
        <w:right w:val="none" w:sz="0" w:space="0" w:color="auto"/>
      </w:divBdr>
    </w:div>
    <w:div w:id="6082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Minutes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Recipient xmlns="631298fc-6a88-4548-b7d9-3b164918c4a3">Ofgem</Recipient>
    <Meeting_x0020_Date xmlns="631298fc-6a88-4548-b7d9-3b164918c4a3">2013-06-11T23:00:00+00:00</Meeting_x0020_Date>
    <Organisation xmlns="631298fc-6a88-4548-b7d9-3b164918c4a3">Choose an Organisation</Organisation>
    <Descriptor xmlns="631298fc-6a88-4548-b7d9-3b164918c4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nutes" ma:contentTypeID="0x01010020DECF7569711D4CA2681F69670495AB00676AB0950DE55145A31970AC1858173E" ma:contentTypeVersion="0" ma:contentTypeDescription="This should be used for creating internal minutes" ma:contentTypeScope="" ma:versionID="4c9a6a409724a16afcd76e46e2748cd8">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f09918627c709d665ed38112c70019b3" ns2:_="" ns3:_="">
    <xsd:import namespace="http://schemas.microsoft.com/sharepoint/v3/fields"/>
    <xsd:import namespace="631298fc-6a88-4548-b7d9-3b164918c4a3"/>
    <xsd:element name="properties">
      <xsd:complexType>
        <xsd:sequence>
          <xsd:element name="documentManagement">
            <xsd:complexType>
              <xsd:all>
                <xsd:element ref="ns3:Recipient" minOccurs="0"/>
                <xsd:element ref="ns3:Organisation" minOccurs="0"/>
                <xsd:element ref="ns3:Meeting_x0020_Date" minOccurs="0"/>
                <xsd:element ref="ns2:_Status" minOccurs="0"/>
                <xsd:element ref="ns3:Classification"/>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9"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Organisation" ma:index="10"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Meeting_x0020_Date" ma:index="11" nillable="true" ma:displayName="Meeting Date" ma:default="[today]" ma:description="Enter the date as DD/MM/YYYY" ma:format="DateOnly" ma:internalName="Meeting_x0020_Date">
      <xsd:simpleType>
        <xsd:restriction base="dms:DateTime"/>
      </xsd:simpleType>
    </xsd:element>
    <xsd:element name="Classification" ma:index="13"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773578-b348-4185-91b0-0c3a7eda8d2a" ContentTypeId="0x01010020DECF7569711D4CA2681F69670495A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8259-4F0B-4219-BD9D-48ABEC94531B}">
  <ds:schemaRefs>
    <ds:schemaRef ds:uri="http://schemas.microsoft.com/office/2006/metadata/properties"/>
    <ds:schemaRef ds:uri="http://www.w3.org/XML/1998/namespace"/>
    <ds:schemaRef ds:uri="http://schemas.microsoft.com/sharepoint/v3/field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631298fc-6a88-4548-b7d9-3b164918c4a3"/>
    <ds:schemaRef ds:uri="http://purl.org/dc/terms/"/>
  </ds:schemaRefs>
</ds:datastoreItem>
</file>

<file path=customXml/itemProps2.xml><?xml version="1.0" encoding="utf-8"?>
<ds:datastoreItem xmlns:ds="http://schemas.openxmlformats.org/officeDocument/2006/customXml" ds:itemID="{A186FE47-F48F-4478-9589-40724BB750C3}">
  <ds:schemaRefs>
    <ds:schemaRef ds:uri="http://schemas.microsoft.com/sharepoint/v3/contenttype/forms"/>
  </ds:schemaRefs>
</ds:datastoreItem>
</file>

<file path=customXml/itemProps3.xml><?xml version="1.0" encoding="utf-8"?>
<ds:datastoreItem xmlns:ds="http://schemas.openxmlformats.org/officeDocument/2006/customXml" ds:itemID="{DB6E7189-7FC3-4C96-AD47-8092E48B8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4ABB7-AB8F-4616-9EA8-AE115A1877D2}">
  <ds:schemaRefs>
    <ds:schemaRef ds:uri="Microsoft.SharePoint.Taxonomy.ContentTypeSync"/>
  </ds:schemaRefs>
</ds:datastoreItem>
</file>

<file path=customXml/itemProps5.xml><?xml version="1.0" encoding="utf-8"?>
<ds:datastoreItem xmlns:ds="http://schemas.openxmlformats.org/officeDocument/2006/customXml" ds:itemID="{4BDE7CF3-A25F-4262-83A8-9D3BB0CA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Minutes2013</Template>
  <TotalTime>4</TotalTime>
  <Pages>5</Pages>
  <Words>1905</Words>
  <Characters>9435</Characters>
  <Application>Microsoft Office Word</Application>
  <DocSecurity>0</DocSecurity>
  <Lines>250</Lines>
  <Paragraphs>137</Paragraphs>
  <ScaleCrop>false</ScaleCrop>
  <HeadingPairs>
    <vt:vector size="2" baseType="variant">
      <vt:variant>
        <vt:lpstr>Title</vt:lpstr>
      </vt:variant>
      <vt:variant>
        <vt:i4>1</vt:i4>
      </vt:variant>
    </vt:vector>
  </HeadingPairs>
  <TitlesOfParts>
    <vt:vector size="1" baseType="lpstr">
      <vt:lpstr>Meeting 30 – Smart Grid Forum Work Stream 6</vt:lpstr>
    </vt:vector>
  </TitlesOfParts>
  <Company>Ofgem</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30 – Smart Grid Forum Work Stream 6</dc:title>
  <dc:subject>Minutes from the meeting of the Smart Grid Forum Work Stream Six on Tuesday 09 December</dc:subject>
  <dc:creator>Andrew White</dc:creator>
  <cp:lastModifiedBy>Keavy Larkin</cp:lastModifiedBy>
  <cp:revision>3</cp:revision>
  <cp:lastPrinted>2014-12-02T13:52:00Z</cp:lastPrinted>
  <dcterms:created xsi:type="dcterms:W3CDTF">2015-01-21T16:21:00Z</dcterms:created>
  <dcterms:modified xsi:type="dcterms:W3CDTF">2015-02-02T15:36:00Z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0x01010020DECF7569711D4CA2681F69670495AB00676AB0950DE55145A31970AC1858173E</vt:lpwstr>
  </property>
  <property fmtid="{D5CDD505-2E9C-101B-9397-08002B2CF9AE}" pid="3" name="Select Content Type Above">
    <vt:lpwstr/>
  </property>
  <property fmtid="{D5CDD505-2E9C-101B-9397-08002B2CF9AE}" pid="4" name="Order">
    <vt:r8>11511800</vt:r8>
  </property>
  <property fmtid="{D5CDD505-2E9C-101B-9397-08002B2CF9AE}" pid="5" name="URL">
    <vt:lpwstr/>
  </property>
  <property fmtid="{D5CDD505-2E9C-101B-9397-08002B2CF9AE}" pid="6" name="From">
    <vt:lpwstr/>
  </property>
  <property fmtid="{D5CDD505-2E9C-101B-9397-08002B2CF9AE}" pid="7" name="Project Sponsor">
    <vt:lpwstr/>
  </property>
  <property fmtid="{D5CDD505-2E9C-101B-9397-08002B2CF9AE}" pid="8" name="BCC">
    <vt:lpwstr/>
  </property>
  <property fmtid="{D5CDD505-2E9C-101B-9397-08002B2CF9AE}" pid="9" name="xd_ProgID">
    <vt:lpwstr/>
  </property>
  <property fmtid="{D5CDD505-2E9C-101B-9397-08002B2CF9AE}" pid="10" name=":">
    <vt:lpwstr/>
  </property>
  <property fmtid="{D5CDD505-2E9C-101B-9397-08002B2CF9AE}" pid="11" name="Importance">
    <vt:lpwstr/>
  </property>
  <property fmtid="{D5CDD505-2E9C-101B-9397-08002B2CF9AE}" pid="12" name="Project Manager">
    <vt:lpwstr/>
  </property>
  <property fmtid="{D5CDD505-2E9C-101B-9397-08002B2CF9AE}" pid="13" name="Project Name">
    <vt:lpwstr/>
  </property>
  <property fmtid="{D5CDD505-2E9C-101B-9397-08002B2CF9AE}" pid="14" name="Applicable Duration">
    <vt:lpwstr/>
  </property>
  <property fmtid="{D5CDD505-2E9C-101B-9397-08002B2CF9AE}" pid="15" name="Ref No">
    <vt:lpwstr/>
  </property>
  <property fmtid="{D5CDD505-2E9C-101B-9397-08002B2CF9AE}" pid="16" name="Project Owner">
    <vt:lpwstr/>
  </property>
  <property fmtid="{D5CDD505-2E9C-101B-9397-08002B2CF9AE}" pid="17" name="TemplateUrl">
    <vt:lpwstr/>
  </property>
  <property fmtid="{D5CDD505-2E9C-101B-9397-08002B2CF9AE}" pid="18" name="CC">
    <vt:lpwstr/>
  </property>
  <property fmtid="{D5CDD505-2E9C-101B-9397-08002B2CF9AE}" pid="19" name="To">
    <vt:lpwstr/>
  </property>
  <property fmtid="{D5CDD505-2E9C-101B-9397-08002B2CF9AE}" pid="20" name="::">
    <vt:lpwstr/>
  </property>
  <property fmtid="{D5CDD505-2E9C-101B-9397-08002B2CF9AE}" pid="21" name="Attach Count">
    <vt:lpwstr/>
  </property>
</Properties>
</file>