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3C6FC8">
        <w:rPr>
          <w:iCs/>
          <w:szCs w:val="20"/>
        </w:rPr>
        <w:fldChar w:fldCharType="begin">
          <w:ffData>
            <w:name w:val="Check2"/>
            <w:enabled/>
            <w:calcOnExit w:val="0"/>
            <w:checkBox>
              <w:sizeAuto/>
              <w:default w:val="0"/>
            </w:checkBox>
          </w:ffData>
        </w:fldChar>
      </w:r>
      <w:r>
        <w:rPr>
          <w:iCs/>
          <w:szCs w:val="20"/>
        </w:rPr>
        <w:instrText xml:space="preserve"> FORMCHECKBOX </w:instrText>
      </w:r>
      <w:r w:rsidR="003C6FC8">
        <w:rPr>
          <w:iCs/>
          <w:szCs w:val="20"/>
        </w:rPr>
      </w:r>
      <w:r w:rsidR="003C6FC8">
        <w:rPr>
          <w:iCs/>
          <w:szCs w:val="20"/>
        </w:rPr>
        <w:fldChar w:fldCharType="separate"/>
      </w:r>
      <w:r w:rsidR="003C6FC8">
        <w:rPr>
          <w:iCs/>
          <w:szCs w:val="20"/>
        </w:rPr>
        <w:fldChar w:fldCharType="end"/>
      </w:r>
      <w:bookmarkEnd w:id="0"/>
    </w:p>
    <w:tbl>
      <w:tblPr>
        <w:tblW w:w="9642" w:type="dxa"/>
        <w:tblLayout w:type="fixed"/>
        <w:tblCellMar>
          <w:left w:w="0" w:type="dxa"/>
          <w:right w:w="0" w:type="dxa"/>
        </w:tblCellMar>
        <w:tblLook w:val="00A0"/>
      </w:tblPr>
      <w:tblGrid>
        <w:gridCol w:w="1579"/>
        <w:gridCol w:w="4126"/>
        <w:gridCol w:w="2350"/>
        <w:gridCol w:w="1587"/>
      </w:tblGrid>
      <w:tr w:rsidR="007C00D6" w:rsidRPr="008D7221" w:rsidTr="005C4255">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C4255">
            <w:r>
              <w:t>Project code</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31035A">
            <w:r w:rsidRPr="0031035A">
              <w:t>ENWT206</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C4255">
            <w:r w:rsidRPr="0031035A">
              <w:t xml:space="preserve">Question Number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C4255">
            <w:r w:rsidRPr="0031035A">
              <w:t>Q</w:t>
            </w:r>
            <w:r w:rsidR="005C4255">
              <w:t>6</w:t>
            </w:r>
          </w:p>
        </w:tc>
      </w:tr>
      <w:tr w:rsidR="007C00D6" w:rsidRPr="008D7221" w:rsidTr="005C4255">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Question date </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F611FB">
            <w:r w:rsidRPr="0031035A">
              <w:t>31</w:t>
            </w:r>
            <w:r w:rsidR="00F611FB">
              <w:t xml:space="preserve"> July 2</w:t>
            </w:r>
            <w:r w:rsidRPr="0031035A">
              <w:t>014</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C4255">
            <w:r w:rsidRPr="0031035A">
              <w:t xml:space="preserve">Answer date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F611FB">
            <w:r w:rsidRPr="0031035A">
              <w:t>4</w:t>
            </w:r>
            <w:r w:rsidR="00F611FB">
              <w:t xml:space="preserve"> August 2</w:t>
            </w:r>
            <w:r w:rsidRPr="0031035A">
              <w:t>014</w:t>
            </w:r>
          </w:p>
        </w:tc>
      </w:tr>
      <w:tr w:rsidR="009C5233" w:rsidRPr="008D7221" w:rsidTr="005C4255">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C5233" w:rsidRPr="008D7221" w:rsidRDefault="009C5233" w:rsidP="005C4255">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C5233" w:rsidRPr="0031035A" w:rsidRDefault="009C5233" w:rsidP="000D1761">
            <w:pPr>
              <w:rPr>
                <w:color w:val="000000"/>
                <w:szCs w:val="20"/>
              </w:rPr>
            </w:pPr>
            <w:bookmarkStart w:id="1" w:name="_GoBack"/>
            <w:bookmarkEnd w:id="1"/>
            <w:r w:rsidRPr="0031035A">
              <w:rPr>
                <w:color w:val="000000"/>
                <w:szCs w:val="20"/>
              </w:rPr>
              <w:t>Section 2 Project Description</w:t>
            </w:r>
          </w:p>
        </w:tc>
      </w:tr>
      <w:tr w:rsidR="009C5233" w:rsidRPr="008D7221" w:rsidTr="005C4255">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C5233" w:rsidRPr="008D7221" w:rsidRDefault="009C5233" w:rsidP="005C4255">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C5233" w:rsidRPr="0031035A" w:rsidRDefault="009C5233" w:rsidP="000D1761">
            <w:r>
              <w:t>Trial Sites</w:t>
            </w:r>
          </w:p>
        </w:tc>
      </w:tr>
      <w:tr w:rsidR="009C5233" w:rsidRPr="008D7221" w:rsidTr="00406E52">
        <w:trPr>
          <w:trHeight w:val="12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C5233" w:rsidRPr="008D7221" w:rsidRDefault="009C5233" w:rsidP="005C4255">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C5233" w:rsidRPr="0031035A" w:rsidRDefault="009C5233" w:rsidP="000D1761">
            <w:pPr>
              <w:rPr>
                <w:color w:val="000000"/>
                <w:szCs w:val="20"/>
              </w:rPr>
            </w:pPr>
            <w:r>
              <w:rPr>
                <w:color w:val="000000"/>
                <w:szCs w:val="20"/>
              </w:rPr>
              <w:t>2.3 – Scale and selection, Pgs 11 &amp; 12 and Appendix B2</w:t>
            </w:r>
          </w:p>
          <w:p w:rsidR="009C5233" w:rsidRDefault="009C5233" w:rsidP="000D1761">
            <w:pPr>
              <w:rPr>
                <w:color w:val="000000"/>
                <w:szCs w:val="20"/>
              </w:rPr>
            </w:pPr>
            <w:r>
              <w:rPr>
                <w:color w:val="000000"/>
                <w:szCs w:val="20"/>
              </w:rPr>
              <w:t>Trial Sites</w:t>
            </w:r>
          </w:p>
          <w:p w:rsidR="009C5233" w:rsidRPr="009C5233" w:rsidRDefault="009C5233" w:rsidP="000D1761">
            <w:pPr>
              <w:rPr>
                <w:color w:val="000000"/>
                <w:szCs w:val="20"/>
              </w:rPr>
            </w:pPr>
            <w:r>
              <w:rPr>
                <w:color w:val="000000"/>
                <w:szCs w:val="20"/>
              </w:rPr>
              <w:t xml:space="preserve">What percentage of all substations are thought to be represented by the AP/Is and FCL Trials? </w:t>
            </w:r>
            <w:proofErr w:type="spellStart"/>
            <w:proofErr w:type="gramStart"/>
            <w:r>
              <w:rPr>
                <w:color w:val="000000"/>
                <w:szCs w:val="20"/>
              </w:rPr>
              <w:t>ie</w:t>
            </w:r>
            <w:proofErr w:type="spellEnd"/>
            <w:proofErr w:type="gramEnd"/>
            <w:r>
              <w:rPr>
                <w:color w:val="000000"/>
                <w:szCs w:val="20"/>
              </w:rPr>
              <w:t xml:space="preserve"> how transferable will the technical solutions be from the selected trials to other locations?</w:t>
            </w:r>
          </w:p>
        </w:tc>
      </w:tr>
      <w:tr w:rsidR="007C00D6" w:rsidRPr="008D7221" w:rsidTr="005C4255">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tc>
      </w:tr>
      <w:tr w:rsidR="007C00D6" w:rsidRPr="008D7221" w:rsidTr="005C4255">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2E1DEA" w:rsidRDefault="002E1DEA" w:rsidP="005C4255">
            <w:r w:rsidRPr="00F15C5B">
              <w:rPr>
                <w:rFonts w:cstheme="minorHAnsi"/>
              </w:rPr>
              <w:t xml:space="preserve">The </w:t>
            </w:r>
            <w:r>
              <w:rPr>
                <w:rFonts w:cstheme="minorHAnsi"/>
              </w:rPr>
              <w:t>T</w:t>
            </w:r>
            <w:r w:rsidRPr="00F15C5B">
              <w:rPr>
                <w:rFonts w:cstheme="minorHAnsi"/>
              </w:rPr>
              <w:t>rial sites have been selected to be representative of the size and types of urban substations across all of the GB DNOs</w:t>
            </w:r>
            <w:r>
              <w:rPr>
                <w:rFonts w:cstheme="minorHAnsi"/>
              </w:rPr>
              <w:t xml:space="preserve">. </w:t>
            </w:r>
            <w:r w:rsidR="00F611FB">
              <w:t xml:space="preserve">We approached the site selection for the Trials to firstly show (and record) how the fault level mitigation techniques can be installed across a range of substation ages and equipment types in order to deliver installation methodologies for </w:t>
            </w:r>
            <w:r w:rsidR="0047086B">
              <w:t xml:space="preserve">transferability; </w:t>
            </w:r>
            <w:r w:rsidR="00F611FB">
              <w:t>and secondly show how the fault level mitigation techniques operates in conjunction with the existing equipment</w:t>
            </w:r>
            <w:r w:rsidR="0047086B">
              <w:t xml:space="preserve"> to deliver operating data and methodologies</w:t>
            </w:r>
            <w:r>
              <w:t>.</w:t>
            </w:r>
          </w:p>
          <w:p w:rsidR="002E1DEA" w:rsidRDefault="002E1DEA" w:rsidP="005C4255">
            <w:r w:rsidRPr="00F15C5B">
              <w:rPr>
                <w:rFonts w:cstheme="minorHAnsi"/>
              </w:rPr>
              <w:t xml:space="preserve">During Project delivery, the site selection methodology will be further refined and peer reviewed by Parsons Brinckerhoff to ensure this. Particular care will need to be taken to ensure that the learning and conclusions from the </w:t>
            </w:r>
            <w:r>
              <w:rPr>
                <w:rFonts w:cstheme="minorHAnsi"/>
              </w:rPr>
              <w:t>T</w:t>
            </w:r>
            <w:r w:rsidRPr="00F15C5B">
              <w:rPr>
                <w:rFonts w:cstheme="minorHAnsi"/>
              </w:rPr>
              <w:t>rials could be applied to substations in interconnected networks, as well as in the more common radial network</w:t>
            </w:r>
            <w:r w:rsidR="00267A95">
              <w:rPr>
                <w:rFonts w:cstheme="minorHAnsi"/>
              </w:rPr>
              <w:t>s.</w:t>
            </w:r>
          </w:p>
          <w:p w:rsidR="007C00D6" w:rsidRDefault="003A78F8" w:rsidP="005C4255">
            <w:r>
              <w:t xml:space="preserve">The </w:t>
            </w:r>
            <w:r w:rsidR="00F611FB">
              <w:t xml:space="preserve">Trials </w:t>
            </w:r>
            <w:r w:rsidR="00133BF0">
              <w:t xml:space="preserve">will provide the information for DNOs to choose which fault level mitigation technique would be applicable to manage a fault level issue. We have not analysed the </w:t>
            </w:r>
            <w:r>
              <w:t xml:space="preserve">percentage of substations </w:t>
            </w:r>
            <w:r w:rsidR="00133BF0">
              <w:t>that the</w:t>
            </w:r>
            <w:r>
              <w:t xml:space="preserve"> techniques in FLARE</w:t>
            </w:r>
            <w:r w:rsidR="00133BF0">
              <w:t xml:space="preserve"> would be applicable</w:t>
            </w:r>
            <w:r w:rsidR="00267A95">
              <w:t xml:space="preserve"> to</w:t>
            </w:r>
            <w:r>
              <w:t xml:space="preserve">. </w:t>
            </w:r>
          </w:p>
          <w:p w:rsidR="00CC230C" w:rsidRDefault="00CC230C" w:rsidP="005C4255">
            <w:r>
              <w:t>For the I</w:t>
            </w:r>
            <w:r w:rsidR="006F7451" w:rsidRPr="006F7451">
              <w:rPr>
                <w:vertAlign w:val="subscript"/>
              </w:rPr>
              <w:t>s</w:t>
            </w:r>
            <w:r>
              <w:t>-limiter there are two recommended installations</w:t>
            </w:r>
            <w:r w:rsidR="00133BF0">
              <w:t>:</w:t>
            </w:r>
            <w:r>
              <w:t xml:space="preserve"> one across a bus-section and one in a transformer incomer</w:t>
            </w:r>
            <w:r w:rsidR="00133BF0">
              <w:t xml:space="preserve"> circuit</w:t>
            </w:r>
            <w:r>
              <w:t>. Both of these installations are being trialled and the methodologies to be produced can be used by any DNO to install the equipment at any substation with a bus-</w:t>
            </w:r>
            <w:r>
              <w:lastRenderedPageBreak/>
              <w:t>section or transformer incomer</w:t>
            </w:r>
            <w:r w:rsidR="00133BF0">
              <w:t xml:space="preserve"> circuit</w:t>
            </w:r>
            <w:r>
              <w:t>.</w:t>
            </w:r>
          </w:p>
          <w:p w:rsidR="00CC230C" w:rsidRDefault="00CC230C" w:rsidP="005C4255">
            <w:r>
              <w:t xml:space="preserve">For </w:t>
            </w:r>
            <w:r w:rsidR="00133BF0">
              <w:t>A</w:t>
            </w:r>
            <w:r>
              <w:t xml:space="preserve">daptive </w:t>
            </w:r>
            <w:r w:rsidR="00133BF0">
              <w:t>P</w:t>
            </w:r>
            <w:r>
              <w:t xml:space="preserve">rotection it is the type of protection equipment which </w:t>
            </w:r>
            <w:r w:rsidR="0014672A">
              <w:t xml:space="preserve">reflects the transferability. In DNO networks there are three </w:t>
            </w:r>
            <w:r w:rsidR="00133BF0">
              <w:t>typ</w:t>
            </w:r>
            <w:r w:rsidR="0014672A">
              <w:t xml:space="preserve">es of protection (electromechanical, </w:t>
            </w:r>
            <w:r w:rsidR="00FE1210">
              <w:t>s</w:t>
            </w:r>
            <w:r w:rsidR="0014672A">
              <w:t xml:space="preserve">tatic electronic and numerical) and we are trialling the technique on all three </w:t>
            </w:r>
            <w:r w:rsidR="00133BF0">
              <w:t>typ</w:t>
            </w:r>
            <w:r w:rsidR="0014672A">
              <w:t xml:space="preserve">es. This will give other DNOs the </w:t>
            </w:r>
            <w:proofErr w:type="spellStart"/>
            <w:r w:rsidR="0014672A">
              <w:t>methodoly</w:t>
            </w:r>
            <w:proofErr w:type="spellEnd"/>
            <w:r w:rsidR="0014672A">
              <w:t xml:space="preserve"> to apply </w:t>
            </w:r>
            <w:r w:rsidR="00133BF0">
              <w:t>A</w:t>
            </w:r>
            <w:r w:rsidR="0014672A">
              <w:t xml:space="preserve">daptive </w:t>
            </w:r>
            <w:r w:rsidR="00133BF0">
              <w:t>P</w:t>
            </w:r>
            <w:r w:rsidR="0014672A">
              <w:t>rotection across their range of relays.</w:t>
            </w:r>
          </w:p>
          <w:p w:rsidR="0014672A" w:rsidRPr="008D7221" w:rsidRDefault="0014672A" w:rsidP="002E1DEA">
            <w:r>
              <w:t xml:space="preserve">From the above ENWL </w:t>
            </w:r>
            <w:r w:rsidR="00F611FB">
              <w:t xml:space="preserve">is </w:t>
            </w:r>
            <w:r>
              <w:t xml:space="preserve">confident that these techniques can be transferred to a </w:t>
            </w:r>
            <w:proofErr w:type="spellStart"/>
            <w:r>
              <w:t>siginifcant</w:t>
            </w:r>
            <w:proofErr w:type="spellEnd"/>
            <w:r>
              <w:t xml:space="preserve"> proportion of other DNO networks.</w:t>
            </w:r>
            <w:r w:rsidR="002E1DEA">
              <w:t xml:space="preserve"> </w:t>
            </w:r>
            <w:r w:rsidR="002E1DEA" w:rsidRPr="00F15C5B">
              <w:rPr>
                <w:rFonts w:cstheme="minorHAnsi"/>
              </w:rPr>
              <w:t>It is expected that the learning and conclusions from the trials would therefore be relevant to all affected substations.</w:t>
            </w:r>
          </w:p>
        </w:tc>
      </w:tr>
      <w:tr w:rsidR="007C00D6" w:rsidRPr="008D7221" w:rsidTr="005C4255">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tc>
      </w:tr>
    </w:tbl>
    <w:p w:rsidR="007C00D6" w:rsidRDefault="007C00D6" w:rsidP="007C00D6"/>
    <w:p w:rsidR="00650A80" w:rsidRDefault="00650A80"/>
    <w:sectPr w:rsidR="00650A80" w:rsidSect="005C425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7C00D6"/>
    <w:rsid w:val="0000221A"/>
    <w:rsid w:val="00002FDB"/>
    <w:rsid w:val="0003377E"/>
    <w:rsid w:val="000450A4"/>
    <w:rsid w:val="000503B9"/>
    <w:rsid w:val="00073948"/>
    <w:rsid w:val="0009165D"/>
    <w:rsid w:val="000F5E44"/>
    <w:rsid w:val="000F7190"/>
    <w:rsid w:val="00110AC5"/>
    <w:rsid w:val="0012619C"/>
    <w:rsid w:val="00133BF0"/>
    <w:rsid w:val="0014672A"/>
    <w:rsid w:val="001535BD"/>
    <w:rsid w:val="00177A95"/>
    <w:rsid w:val="00185B2D"/>
    <w:rsid w:val="001903CE"/>
    <w:rsid w:val="00196983"/>
    <w:rsid w:val="001A7817"/>
    <w:rsid w:val="001C09DC"/>
    <w:rsid w:val="001D6E2A"/>
    <w:rsid w:val="001F0C53"/>
    <w:rsid w:val="00200D54"/>
    <w:rsid w:val="00205841"/>
    <w:rsid w:val="002063C8"/>
    <w:rsid w:val="00227248"/>
    <w:rsid w:val="00252519"/>
    <w:rsid w:val="00267A95"/>
    <w:rsid w:val="00282CE9"/>
    <w:rsid w:val="00293AE4"/>
    <w:rsid w:val="002940A9"/>
    <w:rsid w:val="0029647C"/>
    <w:rsid w:val="002B63A0"/>
    <w:rsid w:val="002C7F9B"/>
    <w:rsid w:val="002D44F2"/>
    <w:rsid w:val="002E0C9E"/>
    <w:rsid w:val="002E1DEA"/>
    <w:rsid w:val="002F75F0"/>
    <w:rsid w:val="0031035A"/>
    <w:rsid w:val="00336FD6"/>
    <w:rsid w:val="003411BE"/>
    <w:rsid w:val="003A78F8"/>
    <w:rsid w:val="003B3301"/>
    <w:rsid w:val="003C6FC8"/>
    <w:rsid w:val="003D3004"/>
    <w:rsid w:val="0040339E"/>
    <w:rsid w:val="00406E52"/>
    <w:rsid w:val="00444718"/>
    <w:rsid w:val="00453FAF"/>
    <w:rsid w:val="0047086B"/>
    <w:rsid w:val="00497B0E"/>
    <w:rsid w:val="004A21B4"/>
    <w:rsid w:val="004B1392"/>
    <w:rsid w:val="004D0CB1"/>
    <w:rsid w:val="00501143"/>
    <w:rsid w:val="00521378"/>
    <w:rsid w:val="00521C9B"/>
    <w:rsid w:val="00543678"/>
    <w:rsid w:val="00565158"/>
    <w:rsid w:val="00570D56"/>
    <w:rsid w:val="005772C1"/>
    <w:rsid w:val="00593D8A"/>
    <w:rsid w:val="005C4255"/>
    <w:rsid w:val="00617191"/>
    <w:rsid w:val="00646018"/>
    <w:rsid w:val="00650A80"/>
    <w:rsid w:val="0066077B"/>
    <w:rsid w:val="006863DD"/>
    <w:rsid w:val="006C6DE9"/>
    <w:rsid w:val="006D50DE"/>
    <w:rsid w:val="006F5077"/>
    <w:rsid w:val="006F7451"/>
    <w:rsid w:val="0071785A"/>
    <w:rsid w:val="00747ECB"/>
    <w:rsid w:val="007712F8"/>
    <w:rsid w:val="00774863"/>
    <w:rsid w:val="00781CDB"/>
    <w:rsid w:val="00785F06"/>
    <w:rsid w:val="0079429A"/>
    <w:rsid w:val="007B1B0F"/>
    <w:rsid w:val="007B766F"/>
    <w:rsid w:val="007C00D6"/>
    <w:rsid w:val="007C4EC0"/>
    <w:rsid w:val="00814BFF"/>
    <w:rsid w:val="008159F6"/>
    <w:rsid w:val="00821699"/>
    <w:rsid w:val="008350AF"/>
    <w:rsid w:val="008568FB"/>
    <w:rsid w:val="00866FAB"/>
    <w:rsid w:val="00881BB7"/>
    <w:rsid w:val="00890AD6"/>
    <w:rsid w:val="008A0429"/>
    <w:rsid w:val="008A1E79"/>
    <w:rsid w:val="008A2A27"/>
    <w:rsid w:val="008C0762"/>
    <w:rsid w:val="008C7736"/>
    <w:rsid w:val="008D053F"/>
    <w:rsid w:val="008E47AF"/>
    <w:rsid w:val="008F419A"/>
    <w:rsid w:val="008F5101"/>
    <w:rsid w:val="008F7C47"/>
    <w:rsid w:val="00900801"/>
    <w:rsid w:val="00900CC1"/>
    <w:rsid w:val="00910B5A"/>
    <w:rsid w:val="00921A43"/>
    <w:rsid w:val="00930055"/>
    <w:rsid w:val="009475B5"/>
    <w:rsid w:val="0099232E"/>
    <w:rsid w:val="00996936"/>
    <w:rsid w:val="009B45EC"/>
    <w:rsid w:val="009C1556"/>
    <w:rsid w:val="009C5233"/>
    <w:rsid w:val="009D6AF8"/>
    <w:rsid w:val="009E3D9D"/>
    <w:rsid w:val="009F5262"/>
    <w:rsid w:val="00A030AC"/>
    <w:rsid w:val="00A2066D"/>
    <w:rsid w:val="00A23B87"/>
    <w:rsid w:val="00A31B96"/>
    <w:rsid w:val="00A61E71"/>
    <w:rsid w:val="00A63005"/>
    <w:rsid w:val="00A67662"/>
    <w:rsid w:val="00AF2166"/>
    <w:rsid w:val="00AF64BE"/>
    <w:rsid w:val="00B02EBC"/>
    <w:rsid w:val="00B11DC7"/>
    <w:rsid w:val="00B120DE"/>
    <w:rsid w:val="00B322F6"/>
    <w:rsid w:val="00B3726F"/>
    <w:rsid w:val="00B53A03"/>
    <w:rsid w:val="00B56288"/>
    <w:rsid w:val="00B65D1E"/>
    <w:rsid w:val="00B81387"/>
    <w:rsid w:val="00B949AC"/>
    <w:rsid w:val="00BA22A6"/>
    <w:rsid w:val="00BB3EBA"/>
    <w:rsid w:val="00BC128C"/>
    <w:rsid w:val="00C11380"/>
    <w:rsid w:val="00C16C05"/>
    <w:rsid w:val="00C26A75"/>
    <w:rsid w:val="00C34513"/>
    <w:rsid w:val="00C34592"/>
    <w:rsid w:val="00C43367"/>
    <w:rsid w:val="00C45482"/>
    <w:rsid w:val="00C46699"/>
    <w:rsid w:val="00C540D9"/>
    <w:rsid w:val="00C665BC"/>
    <w:rsid w:val="00C72ABC"/>
    <w:rsid w:val="00C770B5"/>
    <w:rsid w:val="00CB0455"/>
    <w:rsid w:val="00CB2BE6"/>
    <w:rsid w:val="00CC230C"/>
    <w:rsid w:val="00CD5474"/>
    <w:rsid w:val="00CF2079"/>
    <w:rsid w:val="00CF5C80"/>
    <w:rsid w:val="00D304ED"/>
    <w:rsid w:val="00D370E4"/>
    <w:rsid w:val="00D42926"/>
    <w:rsid w:val="00D46226"/>
    <w:rsid w:val="00D62C66"/>
    <w:rsid w:val="00D80962"/>
    <w:rsid w:val="00D96E2A"/>
    <w:rsid w:val="00DC1189"/>
    <w:rsid w:val="00DC448C"/>
    <w:rsid w:val="00DC709C"/>
    <w:rsid w:val="00DE0541"/>
    <w:rsid w:val="00DF3867"/>
    <w:rsid w:val="00E06BA7"/>
    <w:rsid w:val="00E302B4"/>
    <w:rsid w:val="00E33DF1"/>
    <w:rsid w:val="00E36F15"/>
    <w:rsid w:val="00E40123"/>
    <w:rsid w:val="00E72F94"/>
    <w:rsid w:val="00EA0E9D"/>
    <w:rsid w:val="00ED6D21"/>
    <w:rsid w:val="00EF0CBA"/>
    <w:rsid w:val="00F119C2"/>
    <w:rsid w:val="00F15DE5"/>
    <w:rsid w:val="00F21257"/>
    <w:rsid w:val="00F31840"/>
    <w:rsid w:val="00F461D7"/>
    <w:rsid w:val="00F611FB"/>
    <w:rsid w:val="00F960A7"/>
    <w:rsid w:val="00FC0FC7"/>
    <w:rsid w:val="00FC7AFC"/>
    <w:rsid w:val="00FE12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F61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11F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2092280">
      <w:bodyDiv w:val="1"/>
      <w:marLeft w:val="0"/>
      <w:marRight w:val="0"/>
      <w:marTop w:val="0"/>
      <w:marBottom w:val="0"/>
      <w:divBdr>
        <w:top w:val="none" w:sz="0" w:space="0" w:color="auto"/>
        <w:left w:val="none" w:sz="0" w:space="0" w:color="auto"/>
        <w:bottom w:val="none" w:sz="0" w:space="0" w:color="auto"/>
        <w:right w:val="none" w:sz="0" w:space="0" w:color="auto"/>
      </w:divBdr>
    </w:div>
    <w:div w:id="688289405">
      <w:bodyDiv w:val="1"/>
      <w:marLeft w:val="0"/>
      <w:marRight w:val="0"/>
      <w:marTop w:val="0"/>
      <w:marBottom w:val="0"/>
      <w:divBdr>
        <w:top w:val="none" w:sz="0" w:space="0" w:color="auto"/>
        <w:left w:val="none" w:sz="0" w:space="0" w:color="auto"/>
        <w:bottom w:val="none" w:sz="0" w:space="0" w:color="auto"/>
        <w:right w:val="none" w:sz="0" w:space="0" w:color="auto"/>
      </w:divBdr>
    </w:div>
    <w:div w:id="1052118580">
      <w:bodyDiv w:val="1"/>
      <w:marLeft w:val="0"/>
      <w:marRight w:val="0"/>
      <w:marTop w:val="0"/>
      <w:marBottom w:val="0"/>
      <w:divBdr>
        <w:top w:val="none" w:sz="0" w:space="0" w:color="auto"/>
        <w:left w:val="none" w:sz="0" w:space="0" w:color="auto"/>
        <w:bottom w:val="none" w:sz="0" w:space="0" w:color="auto"/>
        <w:right w:val="none" w:sz="0" w:space="0" w:color="auto"/>
      </w:divBdr>
    </w:div>
    <w:div w:id="1379354981">
      <w:bodyDiv w:val="1"/>
      <w:marLeft w:val="0"/>
      <w:marRight w:val="0"/>
      <w:marTop w:val="0"/>
      <w:marBottom w:val="0"/>
      <w:divBdr>
        <w:top w:val="none" w:sz="0" w:space="0" w:color="auto"/>
        <w:left w:val="none" w:sz="0" w:space="0" w:color="auto"/>
        <w:bottom w:val="none" w:sz="0" w:space="0" w:color="auto"/>
        <w:right w:val="none" w:sz="0" w:space="0" w:color="auto"/>
      </w:divBdr>
    </w:div>
    <w:div w:id="1499466766">
      <w:bodyDiv w:val="1"/>
      <w:marLeft w:val="0"/>
      <w:marRight w:val="0"/>
      <w:marTop w:val="0"/>
      <w:marBottom w:val="0"/>
      <w:divBdr>
        <w:top w:val="none" w:sz="0" w:space="0" w:color="auto"/>
        <w:left w:val="none" w:sz="0" w:space="0" w:color="auto"/>
        <w:bottom w:val="none" w:sz="0" w:space="0" w:color="auto"/>
        <w:right w:val="none" w:sz="0" w:space="0" w:color="auto"/>
      </w:divBdr>
    </w:div>
    <w:div w:id="18401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ECD7852-8BA0-4C10-AB54-FBE193577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8</cp:revision>
  <dcterms:created xsi:type="dcterms:W3CDTF">2014-08-04T08:05:00Z</dcterms:created>
  <dcterms:modified xsi:type="dcterms:W3CDTF">2014-08-04T14:24:00Z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