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9180"/>
      </w:tblGrid>
      <w:tr w:rsidR="007B27FB" w:rsidRPr="00402CDE" w:rsidTr="00402CDE">
        <w:tc>
          <w:tcPr>
            <w:tcW w:w="9180" w:type="dxa"/>
            <w:shd w:val="clear" w:color="auto" w:fill="C6D9F1"/>
          </w:tcPr>
          <w:p w:rsidR="007B27FB" w:rsidRPr="00402CDE" w:rsidRDefault="007B27FB" w:rsidP="00402CDE">
            <w:pPr>
              <w:spacing w:after="0" w:line="240" w:lineRule="auto"/>
              <w:rPr>
                <w:b/>
              </w:rPr>
            </w:pPr>
            <w:r w:rsidRPr="00402CDE">
              <w:rPr>
                <w:b/>
              </w:rPr>
              <w:t>Name of project</w:t>
            </w:r>
          </w:p>
        </w:tc>
      </w:tr>
      <w:tr w:rsidR="007B27FB" w:rsidRPr="00402CDE" w:rsidTr="00402CDE">
        <w:tc>
          <w:tcPr>
            <w:tcW w:w="9180" w:type="dxa"/>
          </w:tcPr>
          <w:p w:rsidR="007B27FB" w:rsidRPr="00402CDE" w:rsidRDefault="007B27FB" w:rsidP="00402CDE">
            <w:pPr>
              <w:spacing w:after="0" w:line="240" w:lineRule="auto"/>
            </w:pPr>
          </w:p>
          <w:p w:rsidR="007B27FB" w:rsidRPr="00402CDE" w:rsidRDefault="007B27FB" w:rsidP="00402CDE">
            <w:pPr>
              <w:spacing w:after="0" w:line="240" w:lineRule="auto"/>
            </w:pPr>
            <w:r w:rsidRPr="00402CDE">
              <w:t>Active Demand (ERDF experiments)</w:t>
            </w:r>
          </w:p>
          <w:p w:rsidR="007B27FB" w:rsidRPr="00402CDE" w:rsidRDefault="007B27FB" w:rsidP="00402CDE">
            <w:pPr>
              <w:spacing w:after="0" w:line="240" w:lineRule="auto"/>
            </w:pPr>
          </w:p>
        </w:tc>
      </w:tr>
      <w:tr w:rsidR="007B27FB" w:rsidRPr="00402CDE" w:rsidTr="00402CDE">
        <w:tc>
          <w:tcPr>
            <w:tcW w:w="9180" w:type="dxa"/>
            <w:shd w:val="clear" w:color="auto" w:fill="C6D9F1"/>
          </w:tcPr>
          <w:p w:rsidR="007B27FB" w:rsidRPr="00402CDE" w:rsidRDefault="007B27FB" w:rsidP="00402CDE">
            <w:pPr>
              <w:spacing w:after="0" w:line="240" w:lineRule="auto"/>
              <w:rPr>
                <w:b/>
              </w:rPr>
            </w:pPr>
            <w:r w:rsidRPr="00402CDE">
              <w:rPr>
                <w:b/>
              </w:rPr>
              <w:t>Location</w:t>
            </w:r>
          </w:p>
        </w:tc>
      </w:tr>
      <w:tr w:rsidR="007B27FB" w:rsidRPr="00402CDE" w:rsidTr="00402CDE">
        <w:tc>
          <w:tcPr>
            <w:tcW w:w="9180" w:type="dxa"/>
          </w:tcPr>
          <w:p w:rsidR="007B27FB" w:rsidRPr="00402CDE" w:rsidRDefault="007B27FB" w:rsidP="00402CDE">
            <w:pPr>
              <w:spacing w:after="0" w:line="240" w:lineRule="auto"/>
            </w:pPr>
          </w:p>
          <w:p w:rsidR="007B27FB" w:rsidRPr="00402CDE" w:rsidRDefault="007B27FB" w:rsidP="00402CDE">
            <w:pPr>
              <w:spacing w:after="0" w:line="240" w:lineRule="auto"/>
            </w:pPr>
            <w:r w:rsidRPr="00402CDE">
              <w:t>Brittany, France</w:t>
            </w:r>
          </w:p>
          <w:p w:rsidR="007B27FB" w:rsidRPr="00402CDE" w:rsidRDefault="007B27FB" w:rsidP="00402CDE">
            <w:pPr>
              <w:spacing w:after="0" w:line="240" w:lineRule="auto"/>
            </w:pPr>
          </w:p>
        </w:tc>
      </w:tr>
      <w:tr w:rsidR="007B27FB" w:rsidRPr="00402CDE" w:rsidTr="00402CDE">
        <w:tc>
          <w:tcPr>
            <w:tcW w:w="9180" w:type="dxa"/>
            <w:shd w:val="clear" w:color="auto" w:fill="C6D9F1"/>
          </w:tcPr>
          <w:p w:rsidR="007B27FB" w:rsidRPr="00402CDE" w:rsidRDefault="007B27FB" w:rsidP="00402CDE">
            <w:pPr>
              <w:spacing w:after="0" w:line="240" w:lineRule="auto"/>
              <w:rPr>
                <w:b/>
              </w:rPr>
            </w:pPr>
            <w:r w:rsidRPr="00402CDE">
              <w:rPr>
                <w:b/>
              </w:rPr>
              <w:t>Time frame</w:t>
            </w:r>
          </w:p>
        </w:tc>
      </w:tr>
      <w:tr w:rsidR="007B27FB" w:rsidRPr="00402CDE" w:rsidTr="00402CDE">
        <w:tc>
          <w:tcPr>
            <w:tcW w:w="9180" w:type="dxa"/>
          </w:tcPr>
          <w:p w:rsidR="007B27FB" w:rsidRPr="00402CDE" w:rsidRDefault="007B27FB" w:rsidP="00402CDE">
            <w:pPr>
              <w:spacing w:after="0" w:line="240" w:lineRule="auto"/>
            </w:pPr>
          </w:p>
          <w:p w:rsidR="007B27FB" w:rsidRPr="00402CDE" w:rsidRDefault="007B27FB" w:rsidP="00402CDE">
            <w:pPr>
              <w:spacing w:after="0" w:line="240" w:lineRule="auto"/>
            </w:pPr>
            <w:r w:rsidRPr="00402CDE">
              <w:t>November 2012 / March 2013</w:t>
            </w:r>
          </w:p>
          <w:p w:rsidR="007B27FB" w:rsidRPr="00402CDE" w:rsidRDefault="007B27FB" w:rsidP="00402CDE">
            <w:pPr>
              <w:spacing w:after="0" w:line="240" w:lineRule="auto"/>
            </w:pPr>
          </w:p>
        </w:tc>
      </w:tr>
      <w:tr w:rsidR="007B27FB" w:rsidRPr="00402CDE" w:rsidTr="00402CDE">
        <w:tc>
          <w:tcPr>
            <w:tcW w:w="9180" w:type="dxa"/>
            <w:shd w:val="clear" w:color="auto" w:fill="C6D9F1"/>
          </w:tcPr>
          <w:p w:rsidR="007B27FB" w:rsidRPr="00402CDE" w:rsidRDefault="007B27FB" w:rsidP="00402CDE">
            <w:pPr>
              <w:spacing w:after="0" w:line="240" w:lineRule="auto"/>
              <w:rPr>
                <w:b/>
              </w:rPr>
            </w:pPr>
            <w:r w:rsidRPr="00402CDE">
              <w:rPr>
                <w:b/>
              </w:rPr>
              <w:t xml:space="preserve">Lead organisation </w:t>
            </w:r>
          </w:p>
        </w:tc>
      </w:tr>
      <w:tr w:rsidR="007B27FB" w:rsidRPr="00402CDE" w:rsidTr="00402CDE">
        <w:tc>
          <w:tcPr>
            <w:tcW w:w="9180" w:type="dxa"/>
          </w:tcPr>
          <w:p w:rsidR="007B27FB" w:rsidRPr="00402CDE" w:rsidRDefault="007B27FB" w:rsidP="00402CDE">
            <w:pPr>
              <w:spacing w:after="0" w:line="240" w:lineRule="auto"/>
            </w:pPr>
            <w:r w:rsidRPr="00402CDE">
              <w:t>RTE</w:t>
            </w:r>
            <w:r>
              <w:t xml:space="preserve"> (French TSO)</w:t>
            </w:r>
          </w:p>
          <w:p w:rsidR="007B27FB" w:rsidRPr="00402CDE" w:rsidRDefault="007B27FB" w:rsidP="00402CDE">
            <w:pPr>
              <w:spacing w:after="0" w:line="240" w:lineRule="auto"/>
            </w:pPr>
          </w:p>
        </w:tc>
      </w:tr>
      <w:tr w:rsidR="007B27FB" w:rsidRPr="00402CDE" w:rsidTr="00402CDE">
        <w:tc>
          <w:tcPr>
            <w:tcW w:w="9180" w:type="dxa"/>
            <w:shd w:val="clear" w:color="auto" w:fill="C6D9F1"/>
          </w:tcPr>
          <w:p w:rsidR="007B27FB" w:rsidRPr="00402CDE" w:rsidRDefault="007B27FB" w:rsidP="00402CDE">
            <w:pPr>
              <w:spacing w:after="0" w:line="240" w:lineRule="auto"/>
              <w:rPr>
                <w:b/>
              </w:rPr>
            </w:pPr>
            <w:r w:rsidRPr="00402CDE">
              <w:rPr>
                <w:b/>
              </w:rPr>
              <w:t>Sponsor/source of funding</w:t>
            </w:r>
          </w:p>
        </w:tc>
      </w:tr>
      <w:tr w:rsidR="007B27FB" w:rsidRPr="00402CDE" w:rsidTr="00402CDE">
        <w:tc>
          <w:tcPr>
            <w:tcW w:w="9180" w:type="dxa"/>
          </w:tcPr>
          <w:p w:rsidR="007B27FB" w:rsidRPr="00402CDE" w:rsidRDefault="007B27FB" w:rsidP="00402CDE">
            <w:pPr>
              <w:spacing w:after="0" w:line="240" w:lineRule="auto"/>
            </w:pPr>
            <w:r w:rsidRPr="00402CDE">
              <w:t>RTE</w:t>
            </w:r>
          </w:p>
          <w:p w:rsidR="007B27FB" w:rsidRPr="00402CDE" w:rsidRDefault="007B27FB" w:rsidP="00402CDE">
            <w:pPr>
              <w:spacing w:after="0" w:line="240" w:lineRule="auto"/>
            </w:pPr>
          </w:p>
        </w:tc>
      </w:tr>
      <w:tr w:rsidR="007B27FB" w:rsidRPr="00402CDE" w:rsidTr="00402CDE">
        <w:tc>
          <w:tcPr>
            <w:tcW w:w="9180" w:type="dxa"/>
            <w:shd w:val="clear" w:color="auto" w:fill="C6D9F1"/>
          </w:tcPr>
          <w:p w:rsidR="007B27FB" w:rsidRPr="00402CDE" w:rsidRDefault="007B27FB" w:rsidP="00402CDE">
            <w:pPr>
              <w:spacing w:after="0" w:line="240" w:lineRule="auto"/>
              <w:rPr>
                <w:b/>
              </w:rPr>
            </w:pPr>
            <w:r w:rsidRPr="00402CDE">
              <w:rPr>
                <w:b/>
              </w:rPr>
              <w:t>Distribution, retail or both</w:t>
            </w:r>
          </w:p>
        </w:tc>
      </w:tr>
      <w:tr w:rsidR="007B27FB" w:rsidRPr="00402CDE" w:rsidTr="00402CDE">
        <w:tc>
          <w:tcPr>
            <w:tcW w:w="9180" w:type="dxa"/>
          </w:tcPr>
          <w:p w:rsidR="007B27FB" w:rsidRPr="00402CDE" w:rsidRDefault="007B27FB" w:rsidP="00402CDE">
            <w:pPr>
              <w:spacing w:after="0" w:line="240" w:lineRule="auto"/>
            </w:pPr>
          </w:p>
          <w:p w:rsidR="007B27FB" w:rsidRPr="00402CDE" w:rsidRDefault="00961387" w:rsidP="00402CDE">
            <w:pPr>
              <w:spacing w:after="0" w:line="240" w:lineRule="auto"/>
            </w:pPr>
            <w:r>
              <w:t>D</w:t>
            </w:r>
            <w:r w:rsidR="007B27FB" w:rsidRPr="00402CDE">
              <w:t xml:space="preserve">istribution and retail </w:t>
            </w:r>
          </w:p>
          <w:p w:rsidR="007B27FB" w:rsidRPr="00402CDE" w:rsidRDefault="007B27FB" w:rsidP="00402CDE">
            <w:pPr>
              <w:spacing w:after="0" w:line="240" w:lineRule="auto"/>
            </w:pPr>
          </w:p>
        </w:tc>
      </w:tr>
      <w:tr w:rsidR="007B27FB" w:rsidRPr="00402CDE" w:rsidTr="00402CDE">
        <w:tc>
          <w:tcPr>
            <w:tcW w:w="9180" w:type="dxa"/>
            <w:shd w:val="clear" w:color="auto" w:fill="C6D9F1"/>
          </w:tcPr>
          <w:p w:rsidR="007B27FB" w:rsidRPr="00402CDE" w:rsidRDefault="007B27FB" w:rsidP="00402CDE">
            <w:pPr>
              <w:spacing w:after="0" w:line="240" w:lineRule="auto"/>
              <w:rPr>
                <w:b/>
              </w:rPr>
            </w:pPr>
            <w:r w:rsidRPr="00402CDE">
              <w:rPr>
                <w:b/>
              </w:rPr>
              <w:t>Mandatory or opt-in</w:t>
            </w:r>
          </w:p>
        </w:tc>
      </w:tr>
      <w:tr w:rsidR="007B27FB" w:rsidRPr="00402CDE" w:rsidTr="00402CDE">
        <w:tc>
          <w:tcPr>
            <w:tcW w:w="9180" w:type="dxa"/>
          </w:tcPr>
          <w:p w:rsidR="007B27FB" w:rsidRPr="00402CDE" w:rsidRDefault="007B27FB" w:rsidP="00402CDE">
            <w:pPr>
              <w:spacing w:after="0" w:line="240" w:lineRule="auto"/>
            </w:pPr>
          </w:p>
          <w:p w:rsidR="007B27FB" w:rsidRPr="00402CDE" w:rsidRDefault="007B27FB" w:rsidP="00402CDE">
            <w:pPr>
              <w:spacing w:after="0" w:line="240" w:lineRule="auto"/>
            </w:pPr>
            <w:r w:rsidRPr="00402CDE">
              <w:t>Opt-in</w:t>
            </w:r>
          </w:p>
          <w:p w:rsidR="007B27FB" w:rsidRPr="00402CDE" w:rsidRDefault="007B27FB" w:rsidP="00402CDE">
            <w:pPr>
              <w:spacing w:after="0" w:line="240" w:lineRule="auto"/>
            </w:pPr>
          </w:p>
        </w:tc>
      </w:tr>
      <w:tr w:rsidR="007B27FB" w:rsidRPr="00402CDE" w:rsidTr="00402CDE">
        <w:tc>
          <w:tcPr>
            <w:tcW w:w="9180" w:type="dxa"/>
            <w:shd w:val="clear" w:color="auto" w:fill="C6D9F1"/>
          </w:tcPr>
          <w:p w:rsidR="007B27FB" w:rsidRPr="00402CDE" w:rsidRDefault="007B27FB" w:rsidP="00402CDE">
            <w:pPr>
              <w:spacing w:after="0" w:line="240" w:lineRule="auto"/>
              <w:rPr>
                <w:b/>
              </w:rPr>
            </w:pPr>
            <w:r w:rsidRPr="00402CDE">
              <w:rPr>
                <w:b/>
              </w:rPr>
              <w:t>Trial or roll-out</w:t>
            </w:r>
          </w:p>
        </w:tc>
      </w:tr>
      <w:tr w:rsidR="007B27FB" w:rsidRPr="00402CDE" w:rsidTr="00402CDE">
        <w:tc>
          <w:tcPr>
            <w:tcW w:w="9180" w:type="dxa"/>
          </w:tcPr>
          <w:p w:rsidR="007B27FB" w:rsidRPr="00402CDE" w:rsidRDefault="007B27FB" w:rsidP="00402CDE">
            <w:pPr>
              <w:spacing w:after="0" w:line="240" w:lineRule="auto"/>
            </w:pPr>
          </w:p>
          <w:p w:rsidR="007B27FB" w:rsidRPr="00402CDE" w:rsidRDefault="007B27FB" w:rsidP="00402CDE">
            <w:pPr>
              <w:spacing w:after="0" w:line="240" w:lineRule="auto"/>
            </w:pPr>
            <w:r w:rsidRPr="00402CDE">
              <w:t>Trial</w:t>
            </w:r>
          </w:p>
          <w:p w:rsidR="007B27FB" w:rsidRPr="00402CDE" w:rsidRDefault="007B27FB" w:rsidP="00402CDE">
            <w:pPr>
              <w:spacing w:after="0" w:line="240" w:lineRule="auto"/>
            </w:pPr>
          </w:p>
        </w:tc>
      </w:tr>
      <w:tr w:rsidR="007B27FB" w:rsidRPr="00402CDE" w:rsidTr="00402CDE">
        <w:tc>
          <w:tcPr>
            <w:tcW w:w="9180" w:type="dxa"/>
            <w:shd w:val="clear" w:color="auto" w:fill="C6D9F1"/>
          </w:tcPr>
          <w:p w:rsidR="007B27FB" w:rsidRPr="00402CDE" w:rsidRDefault="007B27FB" w:rsidP="00402CDE">
            <w:pPr>
              <w:spacing w:after="0" w:line="240" w:lineRule="auto"/>
              <w:rPr>
                <w:b/>
              </w:rPr>
            </w:pPr>
            <w:r w:rsidRPr="00402CDE">
              <w:rPr>
                <w:b/>
              </w:rPr>
              <w:t>Brief overview of project</w:t>
            </w:r>
          </w:p>
        </w:tc>
      </w:tr>
      <w:tr w:rsidR="007B27FB" w:rsidRPr="00402CDE" w:rsidTr="00402CDE">
        <w:tc>
          <w:tcPr>
            <w:tcW w:w="9180" w:type="dxa"/>
          </w:tcPr>
          <w:p w:rsidR="007B27FB" w:rsidRPr="00402CDE" w:rsidRDefault="007B27FB" w:rsidP="00402CDE">
            <w:pPr>
              <w:spacing w:after="0" w:line="240" w:lineRule="auto"/>
            </w:pPr>
          </w:p>
          <w:p w:rsidR="007B27FB" w:rsidRDefault="007B27FB" w:rsidP="00402CDE">
            <w:pPr>
              <w:spacing w:after="0" w:line="240" w:lineRule="auto"/>
            </w:pPr>
            <w:r w:rsidRPr="00402CDE">
              <w:t>The trial aims to experiment of a first local capacity market in Brittany to alleviate network congestions in the electric peninsula during the winter (100 MW capacity reserved)</w:t>
            </w:r>
            <w:r w:rsidR="009314AD">
              <w:t>.</w:t>
            </w:r>
          </w:p>
          <w:p w:rsidR="009314AD" w:rsidRPr="00402CDE" w:rsidRDefault="009314AD" w:rsidP="00402CDE">
            <w:pPr>
              <w:spacing w:after="0" w:line="240" w:lineRule="auto"/>
            </w:pPr>
          </w:p>
          <w:p w:rsidR="007B27FB" w:rsidRPr="00402CDE" w:rsidRDefault="007B27FB" w:rsidP="00402CDE">
            <w:pPr>
              <w:spacing w:after="0" w:line="240" w:lineRule="auto"/>
            </w:pPr>
            <w:r w:rsidRPr="00402CDE">
              <w:t xml:space="preserve">Challenge for the DSO: Legitimize the role of DSO as </w:t>
            </w:r>
            <w:r w:rsidR="00FD5126" w:rsidRPr="00402CDE">
              <w:t>a</w:t>
            </w:r>
            <w:r w:rsidRPr="00402CDE">
              <w:t xml:space="preserve"> </w:t>
            </w:r>
            <w:r w:rsidR="00FD5126">
              <w:t>player</w:t>
            </w:r>
            <w:r w:rsidRPr="00402CDE">
              <w:t xml:space="preserve"> in</w:t>
            </w:r>
            <w:r w:rsidR="00FD5126">
              <w:t xml:space="preserve"> the</w:t>
            </w:r>
            <w:r w:rsidRPr="00402CDE">
              <w:t xml:space="preserve"> interaction with other market stakeholders (TSO, generators, aggregators…)</w:t>
            </w:r>
            <w:r w:rsidR="008C16E7">
              <w:t>:</w:t>
            </w:r>
          </w:p>
          <w:p w:rsidR="007B27FB" w:rsidRPr="00402CDE" w:rsidRDefault="007B27FB" w:rsidP="00402CDE">
            <w:pPr>
              <w:pStyle w:val="ListParagraph"/>
              <w:numPr>
                <w:ilvl w:val="0"/>
                <w:numId w:val="1"/>
              </w:numPr>
              <w:spacing w:after="0" w:line="240" w:lineRule="auto"/>
            </w:pPr>
            <w:r w:rsidRPr="00402CDE">
              <w:t>Certifi</w:t>
            </w:r>
            <w:r w:rsidR="00961387">
              <w:t>cation: analysis of the A</w:t>
            </w:r>
            <w:r w:rsidR="00FD5126">
              <w:t xml:space="preserve">ctive </w:t>
            </w:r>
            <w:r w:rsidR="00961387">
              <w:t>D</w:t>
            </w:r>
            <w:r w:rsidR="00FD5126">
              <w:t>emand (AD)</w:t>
            </w:r>
            <w:r w:rsidR="00961387">
              <w:t xml:space="preserve"> potential</w:t>
            </w:r>
            <w:r w:rsidRPr="00402CDE">
              <w:t>, management of grid constraints, technical prescription to aggregators and suppliers</w:t>
            </w:r>
            <w:r w:rsidR="009314AD">
              <w:t>.</w:t>
            </w:r>
          </w:p>
          <w:p w:rsidR="007B27FB" w:rsidRPr="00402CDE" w:rsidRDefault="008C16E7" w:rsidP="00402CDE">
            <w:pPr>
              <w:pStyle w:val="ListParagraph"/>
              <w:numPr>
                <w:ilvl w:val="0"/>
                <w:numId w:val="1"/>
              </w:numPr>
              <w:spacing w:after="0" w:line="240" w:lineRule="auto"/>
            </w:pPr>
            <w:r w:rsidRPr="00DC415E">
              <w:rPr>
                <w:color w:val="000000" w:themeColor="text1"/>
              </w:rPr>
              <w:t>Call</w:t>
            </w:r>
            <w:r w:rsidR="007B27FB" w:rsidRPr="00DC415E">
              <w:rPr>
                <w:color w:val="000000" w:themeColor="text1"/>
              </w:rPr>
              <w:t xml:space="preserve"> of </w:t>
            </w:r>
            <w:r w:rsidR="00FD5126" w:rsidRPr="00DC415E">
              <w:rPr>
                <w:color w:val="000000" w:themeColor="text1"/>
              </w:rPr>
              <w:t>A</w:t>
            </w:r>
            <w:r w:rsidRPr="00DC415E">
              <w:rPr>
                <w:color w:val="000000" w:themeColor="text1"/>
              </w:rPr>
              <w:t xml:space="preserve">ctive </w:t>
            </w:r>
            <w:r w:rsidR="00FD5126" w:rsidRPr="00DC415E">
              <w:rPr>
                <w:color w:val="000000" w:themeColor="text1"/>
              </w:rPr>
              <w:t>D</w:t>
            </w:r>
            <w:r w:rsidRPr="00DC415E">
              <w:rPr>
                <w:color w:val="000000" w:themeColor="text1"/>
              </w:rPr>
              <w:t>emand</w:t>
            </w:r>
            <w:r>
              <w:rPr>
                <w:color w:val="FF0000"/>
              </w:rPr>
              <w:t>:</w:t>
            </w:r>
            <w:r w:rsidR="007B27FB" w:rsidRPr="00402CDE">
              <w:t xml:space="preserve"> adaptation of Active Demand and generation curtailment depending on the grid capacity</w:t>
            </w:r>
            <w:r w:rsidR="009314AD">
              <w:t>.</w:t>
            </w:r>
          </w:p>
          <w:p w:rsidR="007B27FB" w:rsidRPr="00402CDE" w:rsidRDefault="00961387" w:rsidP="00402CDE">
            <w:pPr>
              <w:pStyle w:val="ListParagraph"/>
              <w:numPr>
                <w:ilvl w:val="0"/>
                <w:numId w:val="1"/>
              </w:numPr>
              <w:spacing w:after="0" w:line="240" w:lineRule="auto"/>
            </w:pPr>
            <w:r>
              <w:t>Control</w:t>
            </w:r>
            <w:r w:rsidR="007B27FB" w:rsidRPr="00402CDE">
              <w:t>: aggregation of distributed</w:t>
            </w:r>
            <w:r>
              <w:t xml:space="preserve"> energy</w:t>
            </w:r>
            <w:r w:rsidR="007B27FB" w:rsidRPr="00402CDE">
              <w:t xml:space="preserve"> resources, measurement and evaluation, coherency control</w:t>
            </w:r>
            <w:r w:rsidR="009314AD">
              <w:t>.</w:t>
            </w:r>
          </w:p>
          <w:p w:rsidR="007B27FB" w:rsidRPr="00402CDE" w:rsidRDefault="007B27FB" w:rsidP="00402CDE">
            <w:pPr>
              <w:spacing w:after="0" w:line="240" w:lineRule="auto"/>
            </w:pPr>
          </w:p>
        </w:tc>
      </w:tr>
      <w:tr w:rsidR="007B27FB" w:rsidRPr="00402CDE" w:rsidTr="00402CDE">
        <w:tc>
          <w:tcPr>
            <w:tcW w:w="9180" w:type="dxa"/>
            <w:shd w:val="clear" w:color="auto" w:fill="C6D9F1"/>
          </w:tcPr>
          <w:p w:rsidR="007B27FB" w:rsidRPr="00402CDE" w:rsidRDefault="007B27FB" w:rsidP="00402CDE">
            <w:pPr>
              <w:spacing w:after="0" w:line="240" w:lineRule="auto"/>
              <w:rPr>
                <w:b/>
              </w:rPr>
            </w:pPr>
            <w:r w:rsidRPr="00402CDE">
              <w:rPr>
                <w:b/>
              </w:rPr>
              <w:t>Customer type</w:t>
            </w:r>
          </w:p>
        </w:tc>
      </w:tr>
      <w:tr w:rsidR="007B27FB" w:rsidRPr="00402CDE" w:rsidTr="00402CDE">
        <w:tc>
          <w:tcPr>
            <w:tcW w:w="9180" w:type="dxa"/>
          </w:tcPr>
          <w:p w:rsidR="007B27FB" w:rsidRPr="00402CDE" w:rsidRDefault="007B27FB" w:rsidP="00402CDE">
            <w:pPr>
              <w:spacing w:after="0" w:line="240" w:lineRule="auto"/>
            </w:pPr>
          </w:p>
          <w:p w:rsidR="007B27FB" w:rsidRPr="00402CDE" w:rsidRDefault="007B27FB" w:rsidP="00402CDE">
            <w:pPr>
              <w:spacing w:after="0" w:line="240" w:lineRule="auto"/>
            </w:pPr>
            <w:r w:rsidRPr="00402CDE">
              <w:t>Industrial and Commercial, partly with generation devices</w:t>
            </w:r>
            <w:r w:rsidR="009314AD">
              <w:t>.</w:t>
            </w:r>
          </w:p>
          <w:p w:rsidR="007B27FB" w:rsidRPr="00402CDE" w:rsidRDefault="007B27FB" w:rsidP="00402CDE">
            <w:pPr>
              <w:spacing w:after="0" w:line="240" w:lineRule="auto"/>
            </w:pPr>
          </w:p>
        </w:tc>
      </w:tr>
      <w:tr w:rsidR="007B27FB" w:rsidRPr="00402CDE" w:rsidTr="00402CDE">
        <w:tc>
          <w:tcPr>
            <w:tcW w:w="9180" w:type="dxa"/>
            <w:shd w:val="clear" w:color="auto" w:fill="C6D9F1"/>
          </w:tcPr>
          <w:p w:rsidR="007B27FB" w:rsidRPr="00402CDE" w:rsidRDefault="007B27FB" w:rsidP="00402CDE">
            <w:pPr>
              <w:spacing w:after="0" w:line="240" w:lineRule="auto"/>
            </w:pPr>
            <w:r w:rsidRPr="00402CDE">
              <w:rPr>
                <w:b/>
              </w:rPr>
              <w:t>Technology used (high-level functionality)</w:t>
            </w:r>
          </w:p>
        </w:tc>
      </w:tr>
      <w:tr w:rsidR="007B27FB" w:rsidRPr="00402CDE" w:rsidTr="00402CDE">
        <w:tc>
          <w:tcPr>
            <w:tcW w:w="9180" w:type="dxa"/>
          </w:tcPr>
          <w:p w:rsidR="00FD5126" w:rsidRDefault="007B27FB" w:rsidP="00402CDE">
            <w:pPr>
              <w:pStyle w:val="ListParagraph"/>
              <w:spacing w:after="0" w:line="240" w:lineRule="auto"/>
              <w:ind w:left="0"/>
            </w:pPr>
            <w:r w:rsidRPr="00402CDE">
              <w:t>Main functions to develop and experiment (from DSO perspective)</w:t>
            </w:r>
            <w:r w:rsidR="00961387">
              <w:t>:</w:t>
            </w:r>
          </w:p>
          <w:p w:rsidR="00961387" w:rsidRDefault="00961387" w:rsidP="00402CDE">
            <w:pPr>
              <w:pStyle w:val="ListParagraph"/>
              <w:spacing w:after="0" w:line="240" w:lineRule="auto"/>
              <w:ind w:left="0"/>
            </w:pPr>
          </w:p>
          <w:p w:rsidR="007B27FB" w:rsidRPr="00402CDE" w:rsidRDefault="00961387" w:rsidP="00402CDE">
            <w:pPr>
              <w:pStyle w:val="ListParagraph"/>
              <w:spacing w:after="0" w:line="240" w:lineRule="auto"/>
              <w:ind w:left="0"/>
            </w:pPr>
            <w:r w:rsidRPr="009314AD">
              <w:t>In</w:t>
            </w:r>
            <w:r w:rsidR="007B27FB" w:rsidRPr="009314AD">
              <w:t xml:space="preserve">terface with </w:t>
            </w:r>
            <w:r w:rsidRPr="009314AD">
              <w:t>third</w:t>
            </w:r>
            <w:r w:rsidR="007B27FB" w:rsidRPr="009314AD">
              <w:t xml:space="preserve"> </w:t>
            </w:r>
            <w:r w:rsidRPr="009314AD">
              <w:t>parties</w:t>
            </w:r>
            <w:r w:rsidR="007B27FB" w:rsidRPr="00402CDE">
              <w:t xml:space="preserve"> : to exchange data and transmit orders</w:t>
            </w:r>
            <w:r w:rsidR="00FD5126">
              <w:t xml:space="preserve"> (</w:t>
            </w:r>
            <w:r w:rsidR="008C16E7">
              <w:t>call</w:t>
            </w:r>
            <w:r w:rsidR="00FD5126">
              <w:t>)</w:t>
            </w:r>
            <w:r w:rsidR="007B27FB" w:rsidRPr="00402CDE">
              <w:t xml:space="preserve"> at different time</w:t>
            </w:r>
            <w:r w:rsidR="00FD5126">
              <w:t>frames</w:t>
            </w:r>
            <w:r w:rsidR="007B27FB" w:rsidRPr="00402CDE">
              <w:t xml:space="preserve"> (middle term / short term) :</w:t>
            </w:r>
          </w:p>
          <w:p w:rsidR="00000000" w:rsidRDefault="007B27FB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360"/>
            </w:pPr>
            <w:r w:rsidRPr="00402CDE">
              <w:t>I</w:t>
            </w:r>
            <w:r w:rsidR="00961387">
              <w:t>dentification and certification</w:t>
            </w:r>
            <w:r w:rsidRPr="00402CDE">
              <w:t xml:space="preserve"> of flexibilities</w:t>
            </w:r>
            <w:r w:rsidR="00FD5126">
              <w:t>.</w:t>
            </w:r>
          </w:p>
          <w:p w:rsidR="00000000" w:rsidRDefault="007B27FB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360"/>
            </w:pPr>
            <w:r w:rsidRPr="00402CDE">
              <w:t xml:space="preserve">Evaluation of curtailments </w:t>
            </w:r>
            <w:r w:rsidR="008C16E7">
              <w:t>after the event</w:t>
            </w:r>
            <w:r w:rsidR="00FD5126">
              <w:t>.</w:t>
            </w:r>
          </w:p>
          <w:p w:rsidR="00000000" w:rsidRDefault="007B27FB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360"/>
            </w:pPr>
            <w:r w:rsidRPr="00402CDE">
              <w:lastRenderedPageBreak/>
              <w:t>Management of contractual data</w:t>
            </w:r>
            <w:r w:rsidR="00FD5126">
              <w:t>.</w:t>
            </w:r>
          </w:p>
          <w:p w:rsidR="00000000" w:rsidRDefault="00EA530F">
            <w:pPr>
              <w:spacing w:after="0" w:line="240" w:lineRule="auto"/>
            </w:pPr>
          </w:p>
          <w:p w:rsidR="007B27FB" w:rsidRPr="00402CDE" w:rsidRDefault="00961387" w:rsidP="00402CDE">
            <w:pPr>
              <w:spacing w:after="0" w:line="240" w:lineRule="auto"/>
            </w:pPr>
            <w:r>
              <w:t>V</w:t>
            </w:r>
            <w:r w:rsidR="007B27FB" w:rsidRPr="00402CDE">
              <w:t>alidation of the curtailments proposed by the suppliers and the aggregators (operational planning tools)</w:t>
            </w:r>
            <w:r w:rsidR="008C16E7">
              <w:t>.</w:t>
            </w:r>
          </w:p>
          <w:p w:rsidR="007B27FB" w:rsidRPr="00402CDE" w:rsidRDefault="007B27FB" w:rsidP="00402CDE">
            <w:pPr>
              <w:spacing w:after="0" w:line="240" w:lineRule="auto"/>
              <w:ind w:left="567"/>
            </w:pPr>
          </w:p>
          <w:p w:rsidR="007B27FB" w:rsidRPr="00402CDE" w:rsidRDefault="00961387" w:rsidP="00402CDE">
            <w:pPr>
              <w:spacing w:after="0" w:line="240" w:lineRule="auto"/>
            </w:pPr>
            <w:r>
              <w:t>T</w:t>
            </w:r>
            <w:r w:rsidR="007B27FB" w:rsidRPr="00402CDE">
              <w:t>echnical comparison of the different available solutions (including call of active demand) to solve a DSO grid constraint</w:t>
            </w:r>
            <w:r w:rsidR="008C16E7">
              <w:t>.</w:t>
            </w:r>
          </w:p>
          <w:p w:rsidR="007B27FB" w:rsidRPr="00402CDE" w:rsidRDefault="007B27FB" w:rsidP="00402CDE">
            <w:pPr>
              <w:spacing w:after="0" w:line="240" w:lineRule="auto"/>
            </w:pPr>
          </w:p>
        </w:tc>
      </w:tr>
      <w:tr w:rsidR="007B27FB" w:rsidRPr="00402CDE" w:rsidTr="00402CDE">
        <w:tc>
          <w:tcPr>
            <w:tcW w:w="9180" w:type="dxa"/>
            <w:shd w:val="clear" w:color="auto" w:fill="C6D9F1"/>
          </w:tcPr>
          <w:p w:rsidR="007B27FB" w:rsidRPr="00402CDE" w:rsidRDefault="007B27FB" w:rsidP="00402CDE">
            <w:pPr>
              <w:spacing w:after="0" w:line="240" w:lineRule="auto"/>
              <w:rPr>
                <w:b/>
              </w:rPr>
            </w:pPr>
            <w:r w:rsidRPr="00402CDE">
              <w:rPr>
                <w:b/>
              </w:rPr>
              <w:lastRenderedPageBreak/>
              <w:t>Means of interaction with customer</w:t>
            </w:r>
          </w:p>
        </w:tc>
      </w:tr>
      <w:tr w:rsidR="007B27FB" w:rsidRPr="00402CDE" w:rsidTr="00402CDE">
        <w:tc>
          <w:tcPr>
            <w:tcW w:w="9180" w:type="dxa"/>
            <w:shd w:val="clear" w:color="auto" w:fill="FFFFFF"/>
          </w:tcPr>
          <w:p w:rsidR="007B27FB" w:rsidRPr="00402CDE" w:rsidRDefault="007B27FB" w:rsidP="00402CDE">
            <w:pPr>
              <w:spacing w:after="0" w:line="240" w:lineRule="auto"/>
            </w:pPr>
            <w:r w:rsidRPr="00402CDE">
              <w:t>Developed by commercial aggregators</w:t>
            </w:r>
            <w:r w:rsidR="008C16E7">
              <w:t>.</w:t>
            </w:r>
          </w:p>
          <w:p w:rsidR="007B27FB" w:rsidRPr="00402CDE" w:rsidRDefault="007B27FB" w:rsidP="00402CDE">
            <w:pPr>
              <w:spacing w:after="0" w:line="240" w:lineRule="auto"/>
            </w:pPr>
          </w:p>
        </w:tc>
      </w:tr>
      <w:tr w:rsidR="007B27FB" w:rsidRPr="00402CDE" w:rsidTr="00402CDE">
        <w:tc>
          <w:tcPr>
            <w:tcW w:w="9180" w:type="dxa"/>
            <w:shd w:val="clear" w:color="auto" w:fill="C6D9F1"/>
          </w:tcPr>
          <w:p w:rsidR="007B27FB" w:rsidRPr="00402CDE" w:rsidRDefault="007B27FB" w:rsidP="00402CDE">
            <w:pPr>
              <w:spacing w:after="0" w:line="240" w:lineRule="auto"/>
              <w:rPr>
                <w:b/>
              </w:rPr>
            </w:pPr>
            <w:r w:rsidRPr="00402CDE">
              <w:rPr>
                <w:b/>
              </w:rPr>
              <w:t>Appliances targeted</w:t>
            </w:r>
          </w:p>
        </w:tc>
      </w:tr>
      <w:tr w:rsidR="007B27FB" w:rsidRPr="00402CDE" w:rsidTr="00402CDE">
        <w:tc>
          <w:tcPr>
            <w:tcW w:w="9180" w:type="dxa"/>
          </w:tcPr>
          <w:p w:rsidR="007B27FB" w:rsidRPr="00402CDE" w:rsidRDefault="009314AD" w:rsidP="00402CDE">
            <w:pPr>
              <w:spacing w:after="0" w:line="240" w:lineRule="auto"/>
            </w:pPr>
            <w:r>
              <w:t>Impact</w:t>
            </w:r>
            <w:r w:rsidR="007B27FB" w:rsidRPr="00402CDE">
              <w:t xml:space="preserve"> on industrial processes (</w:t>
            </w:r>
            <w:r>
              <w:t xml:space="preserve">e.g. </w:t>
            </w:r>
            <w:r w:rsidR="007B27FB" w:rsidRPr="00402CDE">
              <w:t xml:space="preserve">water </w:t>
            </w:r>
            <w:r>
              <w:t>plant</w:t>
            </w:r>
            <w:r w:rsidR="007B27FB" w:rsidRPr="00402CDE">
              <w:t>) and power generators</w:t>
            </w:r>
            <w:r w:rsidR="008C16E7">
              <w:t>.</w:t>
            </w:r>
          </w:p>
          <w:p w:rsidR="007B27FB" w:rsidRPr="00402CDE" w:rsidRDefault="007B27FB" w:rsidP="00402CDE">
            <w:pPr>
              <w:spacing w:after="0" w:line="240" w:lineRule="auto"/>
            </w:pPr>
          </w:p>
        </w:tc>
      </w:tr>
      <w:tr w:rsidR="007B27FB" w:rsidRPr="00402CDE" w:rsidTr="00402CDE">
        <w:tc>
          <w:tcPr>
            <w:tcW w:w="9180" w:type="dxa"/>
            <w:shd w:val="clear" w:color="auto" w:fill="C6D9F1"/>
          </w:tcPr>
          <w:p w:rsidR="007B27FB" w:rsidRPr="00402CDE" w:rsidRDefault="007B27FB" w:rsidP="00402CDE">
            <w:pPr>
              <w:spacing w:after="0" w:line="240" w:lineRule="auto"/>
              <w:rPr>
                <w:b/>
              </w:rPr>
            </w:pPr>
            <w:r w:rsidRPr="00402CDE">
              <w:rPr>
                <w:b/>
              </w:rPr>
              <w:t>Period and duration of interruptions (for direct load control)</w:t>
            </w:r>
          </w:p>
        </w:tc>
      </w:tr>
      <w:tr w:rsidR="007B27FB" w:rsidRPr="00402CDE" w:rsidTr="00402CDE">
        <w:tc>
          <w:tcPr>
            <w:tcW w:w="9180" w:type="dxa"/>
          </w:tcPr>
          <w:p w:rsidR="007B27FB" w:rsidRPr="00402CDE" w:rsidRDefault="007B27FB" w:rsidP="00402CDE">
            <w:pPr>
              <w:spacing w:after="0" w:line="240" w:lineRule="auto"/>
            </w:pPr>
          </w:p>
          <w:p w:rsidR="007B27FB" w:rsidRPr="00402CDE" w:rsidRDefault="007B27FB" w:rsidP="00402CDE">
            <w:pPr>
              <w:spacing w:after="0" w:line="240" w:lineRule="auto"/>
              <w:rPr>
                <w:lang w:val="en-US"/>
              </w:rPr>
            </w:pPr>
            <w:r w:rsidRPr="00402CDE">
              <w:rPr>
                <w:lang w:val="en-US"/>
              </w:rPr>
              <w:t>Total capacity :100 MW (demand curtailment or local production)</w:t>
            </w:r>
          </w:p>
          <w:p w:rsidR="007B27FB" w:rsidRPr="00402CDE" w:rsidRDefault="00961387" w:rsidP="00402CDE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Availability</w:t>
            </w:r>
            <w:r w:rsidR="007B27FB">
              <w:rPr>
                <w:lang w:val="en-US"/>
              </w:rPr>
              <w:t>: N</w:t>
            </w:r>
            <w:r w:rsidR="007B27FB" w:rsidRPr="00402CDE">
              <w:rPr>
                <w:lang w:val="en-US"/>
              </w:rPr>
              <w:t>ovember 2012 / march 2013</w:t>
            </w:r>
          </w:p>
          <w:p w:rsidR="007B27FB" w:rsidRPr="00402CDE" w:rsidRDefault="007B27FB" w:rsidP="00402CDE">
            <w:pPr>
              <w:spacing w:after="0" w:line="240" w:lineRule="auto"/>
              <w:rPr>
                <w:lang w:val="en-US"/>
              </w:rPr>
            </w:pPr>
            <w:r w:rsidRPr="00402CDE">
              <w:rPr>
                <w:lang w:val="en-US"/>
              </w:rPr>
              <w:t>Two time slots</w:t>
            </w:r>
            <w:r w:rsidR="00961387">
              <w:rPr>
                <w:lang w:val="en-US"/>
              </w:rPr>
              <w:t xml:space="preserve">: </w:t>
            </w:r>
            <w:r w:rsidRPr="00402CDE">
              <w:rPr>
                <w:lang w:val="en-US"/>
              </w:rPr>
              <w:t>morning (4h) and evening (2h)</w:t>
            </w:r>
          </w:p>
          <w:p w:rsidR="007B27FB" w:rsidRPr="00402CDE" w:rsidRDefault="00110BB7" w:rsidP="00402CDE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Use</w:t>
            </w:r>
            <w:r w:rsidR="007B27FB" w:rsidRPr="00402CDE">
              <w:rPr>
                <w:lang w:val="en-US"/>
              </w:rPr>
              <w:t>: 20 days maximum</w:t>
            </w:r>
          </w:p>
          <w:p w:rsidR="007B27FB" w:rsidRPr="00402CDE" w:rsidRDefault="00961387" w:rsidP="00402CDE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 xml:space="preserve">Follow a set of rules defined by </w:t>
            </w:r>
            <w:r w:rsidR="007B27FB" w:rsidRPr="00402CDE">
              <w:rPr>
                <w:lang w:val="en-US"/>
              </w:rPr>
              <w:t xml:space="preserve">RTE </w:t>
            </w:r>
            <w:r>
              <w:rPr>
                <w:lang w:val="en-US"/>
              </w:rPr>
              <w:t xml:space="preserve">+ ERDF, </w:t>
            </w:r>
            <w:r w:rsidR="007B27FB" w:rsidRPr="00402CDE">
              <w:rPr>
                <w:lang w:val="en-US"/>
              </w:rPr>
              <w:t>validated by CRE (French regulator)</w:t>
            </w:r>
          </w:p>
          <w:p w:rsidR="007B27FB" w:rsidRPr="00402CDE" w:rsidRDefault="007B27FB" w:rsidP="00402CDE">
            <w:pPr>
              <w:spacing w:after="0" w:line="240" w:lineRule="auto"/>
              <w:rPr>
                <w:lang w:val="en-US"/>
              </w:rPr>
            </w:pPr>
          </w:p>
        </w:tc>
      </w:tr>
      <w:tr w:rsidR="007B27FB" w:rsidRPr="00402CDE" w:rsidTr="00402CDE">
        <w:tc>
          <w:tcPr>
            <w:tcW w:w="9180" w:type="dxa"/>
            <w:shd w:val="clear" w:color="auto" w:fill="C6D9F1"/>
          </w:tcPr>
          <w:p w:rsidR="007B27FB" w:rsidRPr="00402CDE" w:rsidRDefault="007B27FB" w:rsidP="00402CDE">
            <w:pPr>
              <w:spacing w:after="0" w:line="240" w:lineRule="auto"/>
              <w:rPr>
                <w:b/>
              </w:rPr>
            </w:pPr>
            <w:r w:rsidRPr="00402CDE">
              <w:rPr>
                <w:b/>
              </w:rPr>
              <w:t>Level of load reduction (overall and peak)</w:t>
            </w:r>
          </w:p>
        </w:tc>
      </w:tr>
      <w:tr w:rsidR="007B27FB" w:rsidRPr="00402CDE" w:rsidTr="00402CDE">
        <w:tc>
          <w:tcPr>
            <w:tcW w:w="9180" w:type="dxa"/>
          </w:tcPr>
          <w:p w:rsidR="007B27FB" w:rsidRPr="00402CDE" w:rsidRDefault="007B27FB" w:rsidP="00402CDE">
            <w:pPr>
              <w:spacing w:after="0" w:line="240" w:lineRule="auto"/>
            </w:pPr>
          </w:p>
          <w:p w:rsidR="007B27FB" w:rsidRPr="00402CDE" w:rsidRDefault="00961387" w:rsidP="00402CDE">
            <w:pPr>
              <w:spacing w:after="0" w:line="240" w:lineRule="auto"/>
            </w:pPr>
            <w:r>
              <w:t>F</w:t>
            </w:r>
            <w:r w:rsidR="007B27FB" w:rsidRPr="00402CDE">
              <w:t xml:space="preserve">irst </w:t>
            </w:r>
            <w:r w:rsidR="00110BB7">
              <w:t>elements of Brittany experiment</w:t>
            </w:r>
            <w:r w:rsidR="007B27FB" w:rsidRPr="00402CDE">
              <w:t>:</w:t>
            </w:r>
          </w:p>
          <w:p w:rsidR="007B27FB" w:rsidRPr="00402CDE" w:rsidRDefault="007B27FB" w:rsidP="00402CDE">
            <w:pPr>
              <w:spacing w:after="0" w:line="240" w:lineRule="auto"/>
            </w:pPr>
            <w:r w:rsidRPr="00402CDE">
              <w:t xml:space="preserve">Five contractors  : suppliers / aggregators </w:t>
            </w:r>
          </w:p>
          <w:p w:rsidR="007B27FB" w:rsidRDefault="007B27FB" w:rsidP="00402CDE">
            <w:pPr>
              <w:spacing w:after="0" w:line="240" w:lineRule="auto"/>
            </w:pPr>
            <w:r w:rsidRPr="00402CDE">
              <w:t>70 MW</w:t>
            </w:r>
          </w:p>
          <w:p w:rsidR="009314AD" w:rsidRPr="00402CDE" w:rsidRDefault="009314AD" w:rsidP="00402CDE">
            <w:pPr>
              <w:spacing w:after="0" w:line="240" w:lineRule="auto"/>
            </w:pPr>
          </w:p>
          <w:p w:rsidR="008C16E7" w:rsidRDefault="007B27FB" w:rsidP="00402CDE">
            <w:pPr>
              <w:spacing w:after="0" w:line="240" w:lineRule="auto"/>
            </w:pPr>
            <w:r w:rsidRPr="00402CDE">
              <w:t xml:space="preserve">Only one </w:t>
            </w:r>
            <w:r w:rsidR="008C16E7">
              <w:t>call</w:t>
            </w:r>
            <w:r w:rsidRPr="00402CDE">
              <w:t xml:space="preserve"> during the winter. ERDF </w:t>
            </w:r>
            <w:r w:rsidR="008C16E7">
              <w:t>provide</w:t>
            </w:r>
            <w:r w:rsidRPr="00402CDE">
              <w:t xml:space="preserve">s weekly consumption data and </w:t>
            </w:r>
            <w:r w:rsidR="008C16E7" w:rsidRPr="00402CDE">
              <w:t xml:space="preserve">installs </w:t>
            </w:r>
            <w:r w:rsidR="008C16E7">
              <w:t>monitoring</w:t>
            </w:r>
            <w:r w:rsidR="009314AD">
              <w:t xml:space="preserve"> devices at customer sites and</w:t>
            </w:r>
            <w:r w:rsidRPr="00402CDE">
              <w:t xml:space="preserve"> the network to prepare the experience feedback (control of the real contributions)</w:t>
            </w:r>
            <w:r w:rsidR="008C16E7">
              <w:t>.</w:t>
            </w:r>
          </w:p>
          <w:p w:rsidR="007B27FB" w:rsidRPr="00402CDE" w:rsidRDefault="008C16E7" w:rsidP="00402CDE">
            <w:pPr>
              <w:spacing w:after="0" w:line="240" w:lineRule="auto"/>
            </w:pPr>
            <w:r>
              <w:t xml:space="preserve">It won’t be as good as expected </w:t>
            </w:r>
            <w:r w:rsidR="007B27FB" w:rsidRPr="00402CDE">
              <w:t xml:space="preserve">due to the low number of </w:t>
            </w:r>
            <w:r>
              <w:t>call</w:t>
            </w:r>
            <w:r w:rsidR="007B27FB" w:rsidRPr="00402CDE">
              <w:t>s.</w:t>
            </w:r>
          </w:p>
          <w:p w:rsidR="007B27FB" w:rsidRPr="00402CDE" w:rsidRDefault="008C16E7" w:rsidP="00402CDE">
            <w:pPr>
              <w:spacing w:after="0" w:line="240" w:lineRule="auto"/>
            </w:pPr>
            <w:r>
              <w:t>The experimentation is expected to</w:t>
            </w:r>
            <w:r w:rsidR="007B27FB" w:rsidRPr="00402CDE">
              <w:t xml:space="preserve"> be renewed next winter.</w:t>
            </w:r>
          </w:p>
          <w:p w:rsidR="007B27FB" w:rsidRPr="00402CDE" w:rsidRDefault="007B27FB" w:rsidP="00402CDE">
            <w:pPr>
              <w:spacing w:after="0" w:line="240" w:lineRule="auto"/>
            </w:pPr>
          </w:p>
          <w:p w:rsidR="007B27FB" w:rsidRPr="00402CDE" w:rsidRDefault="007B27FB" w:rsidP="00402CDE">
            <w:pPr>
              <w:spacing w:after="0" w:line="240" w:lineRule="auto"/>
            </w:pPr>
          </w:p>
        </w:tc>
      </w:tr>
      <w:tr w:rsidR="007B27FB" w:rsidRPr="00402CDE" w:rsidTr="00402CDE">
        <w:tc>
          <w:tcPr>
            <w:tcW w:w="9180" w:type="dxa"/>
            <w:shd w:val="clear" w:color="auto" w:fill="C6D9F1"/>
          </w:tcPr>
          <w:p w:rsidR="007B27FB" w:rsidRPr="00402CDE" w:rsidRDefault="007B27FB" w:rsidP="00402CDE">
            <w:pPr>
              <w:spacing w:after="0" w:line="240" w:lineRule="auto"/>
              <w:rPr>
                <w:b/>
              </w:rPr>
            </w:pPr>
            <w:r w:rsidRPr="00402CDE">
              <w:rPr>
                <w:b/>
              </w:rPr>
              <w:t>Consumer Experience</w:t>
            </w:r>
          </w:p>
        </w:tc>
      </w:tr>
      <w:tr w:rsidR="007B27FB" w:rsidRPr="00402CDE" w:rsidTr="00402CDE">
        <w:tc>
          <w:tcPr>
            <w:tcW w:w="9180" w:type="dxa"/>
          </w:tcPr>
          <w:p w:rsidR="007B27FB" w:rsidRPr="00402CDE" w:rsidRDefault="007B27FB" w:rsidP="00402CDE">
            <w:pPr>
              <w:spacing w:after="0" w:line="240" w:lineRule="auto"/>
              <w:rPr>
                <w:lang w:val="en-US"/>
              </w:rPr>
            </w:pPr>
            <w:r w:rsidRPr="00402CDE">
              <w:rPr>
                <w:lang w:val="en-US"/>
              </w:rPr>
              <w:t xml:space="preserve">To be </w:t>
            </w:r>
            <w:r w:rsidR="009314AD" w:rsidRPr="00402CDE">
              <w:rPr>
                <w:lang w:val="en-US"/>
              </w:rPr>
              <w:t>developed</w:t>
            </w:r>
            <w:r w:rsidR="008C16E7">
              <w:rPr>
                <w:lang w:val="en-US"/>
              </w:rPr>
              <w:t>.</w:t>
            </w:r>
          </w:p>
          <w:p w:rsidR="007B27FB" w:rsidRPr="00402CDE" w:rsidRDefault="007B27FB" w:rsidP="00402CDE">
            <w:pPr>
              <w:spacing w:after="0" w:line="240" w:lineRule="auto"/>
              <w:rPr>
                <w:lang w:val="en-US"/>
              </w:rPr>
            </w:pPr>
          </w:p>
        </w:tc>
      </w:tr>
    </w:tbl>
    <w:p w:rsidR="007B27FB" w:rsidRDefault="007B27FB"/>
    <w:sectPr w:rsidR="007B27FB" w:rsidSect="008A4D0F">
      <w:headerReference w:type="default" r:id="rId7"/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D5126" w:rsidRDefault="00FD5126" w:rsidP="00816F98">
      <w:pPr>
        <w:spacing w:after="0" w:line="240" w:lineRule="auto"/>
      </w:pPr>
      <w:r>
        <w:separator/>
      </w:r>
    </w:p>
  </w:endnote>
  <w:endnote w:type="continuationSeparator" w:id="0">
    <w:p w:rsidR="00FD5126" w:rsidRDefault="00FD5126" w:rsidP="00816F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altName w:val="Verdana"/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5126" w:rsidRDefault="00FD512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D5126" w:rsidRDefault="00FD5126" w:rsidP="00816F98">
      <w:pPr>
        <w:spacing w:after="0" w:line="240" w:lineRule="auto"/>
      </w:pPr>
      <w:r>
        <w:separator/>
      </w:r>
    </w:p>
  </w:footnote>
  <w:footnote w:type="continuationSeparator" w:id="0">
    <w:p w:rsidR="00FD5126" w:rsidRDefault="00FD5126" w:rsidP="00816F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5126" w:rsidRDefault="00FD5126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50497C"/>
    <w:multiLevelType w:val="hybridMultilevel"/>
    <w:tmpl w:val="7BB08B4C"/>
    <w:lvl w:ilvl="0" w:tplc="08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5AC628BB"/>
    <w:multiLevelType w:val="hybridMultilevel"/>
    <w:tmpl w:val="9BBCEBD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16F98"/>
    <w:rsid w:val="0002160D"/>
    <w:rsid w:val="00021A9A"/>
    <w:rsid w:val="000E4711"/>
    <w:rsid w:val="00110BB7"/>
    <w:rsid w:val="00131F93"/>
    <w:rsid w:val="001B6327"/>
    <w:rsid w:val="001C157D"/>
    <w:rsid w:val="001E35C9"/>
    <w:rsid w:val="001E488F"/>
    <w:rsid w:val="00203802"/>
    <w:rsid w:val="00213FF1"/>
    <w:rsid w:val="00244B90"/>
    <w:rsid w:val="00291DB2"/>
    <w:rsid w:val="002B0A97"/>
    <w:rsid w:val="002B66CC"/>
    <w:rsid w:val="002C0DF9"/>
    <w:rsid w:val="00324F1B"/>
    <w:rsid w:val="003278B7"/>
    <w:rsid w:val="0034332B"/>
    <w:rsid w:val="00364694"/>
    <w:rsid w:val="003727C9"/>
    <w:rsid w:val="00394FED"/>
    <w:rsid w:val="003C6572"/>
    <w:rsid w:val="00402CDE"/>
    <w:rsid w:val="00404ADA"/>
    <w:rsid w:val="0043425F"/>
    <w:rsid w:val="00491A7A"/>
    <w:rsid w:val="00506E09"/>
    <w:rsid w:val="005270ED"/>
    <w:rsid w:val="00547F0A"/>
    <w:rsid w:val="00582450"/>
    <w:rsid w:val="005A1E4C"/>
    <w:rsid w:val="00625009"/>
    <w:rsid w:val="006738E9"/>
    <w:rsid w:val="006A7E73"/>
    <w:rsid w:val="006F4A5E"/>
    <w:rsid w:val="0071674E"/>
    <w:rsid w:val="007B0512"/>
    <w:rsid w:val="007B27FB"/>
    <w:rsid w:val="007C0054"/>
    <w:rsid w:val="007D5650"/>
    <w:rsid w:val="007F6157"/>
    <w:rsid w:val="00813929"/>
    <w:rsid w:val="00816F98"/>
    <w:rsid w:val="00831F27"/>
    <w:rsid w:val="00842B27"/>
    <w:rsid w:val="00870876"/>
    <w:rsid w:val="00891ECA"/>
    <w:rsid w:val="008A4D0F"/>
    <w:rsid w:val="008C16E7"/>
    <w:rsid w:val="008F0B55"/>
    <w:rsid w:val="009314AD"/>
    <w:rsid w:val="00961387"/>
    <w:rsid w:val="009B54B3"/>
    <w:rsid w:val="009E0935"/>
    <w:rsid w:val="009E2108"/>
    <w:rsid w:val="009E56EC"/>
    <w:rsid w:val="009F1B85"/>
    <w:rsid w:val="00A26041"/>
    <w:rsid w:val="00A37D25"/>
    <w:rsid w:val="00A54F93"/>
    <w:rsid w:val="00AB6070"/>
    <w:rsid w:val="00AF75A0"/>
    <w:rsid w:val="00B375AB"/>
    <w:rsid w:val="00B753CD"/>
    <w:rsid w:val="00BA6C83"/>
    <w:rsid w:val="00BF3E11"/>
    <w:rsid w:val="00CB2202"/>
    <w:rsid w:val="00CC476C"/>
    <w:rsid w:val="00CE1905"/>
    <w:rsid w:val="00DA15F6"/>
    <w:rsid w:val="00DC415E"/>
    <w:rsid w:val="00E71BCC"/>
    <w:rsid w:val="00EA530F"/>
    <w:rsid w:val="00EB3A6C"/>
    <w:rsid w:val="00ED4711"/>
    <w:rsid w:val="00EE0B5F"/>
    <w:rsid w:val="00F105CC"/>
    <w:rsid w:val="00F57F88"/>
    <w:rsid w:val="00F6118F"/>
    <w:rsid w:val="00F750EA"/>
    <w:rsid w:val="00FB4EF5"/>
    <w:rsid w:val="00FD51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Verdana" w:eastAsia="Calibri" w:hAnsi="Verdana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1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6F98"/>
    <w:pPr>
      <w:spacing w:after="200" w:line="276" w:lineRule="auto"/>
    </w:pPr>
    <w:rPr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816F9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">
    <w:name w:val="footnote text"/>
    <w:basedOn w:val="Normal"/>
    <w:link w:val="FootnoteTextChar"/>
    <w:uiPriority w:val="99"/>
    <w:semiHidden/>
    <w:rsid w:val="00816F98"/>
    <w:pPr>
      <w:spacing w:after="0" w:line="240" w:lineRule="auto"/>
    </w:pPr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816F98"/>
    <w:rPr>
      <w:rFonts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816F98"/>
    <w:rPr>
      <w:rFonts w:cs="Times New Roman"/>
      <w:vertAlign w:val="superscript"/>
    </w:rPr>
  </w:style>
  <w:style w:type="character" w:styleId="Hyperlink">
    <w:name w:val="Hyperlink"/>
    <w:basedOn w:val="DefaultParagraphFont"/>
    <w:uiPriority w:val="99"/>
    <w:rsid w:val="00816F98"/>
    <w:rPr>
      <w:rFonts w:cs="Times New Roman"/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rsid w:val="006738E9"/>
    <w:rPr>
      <w:rFonts w:cs="Times New Roman"/>
      <w:color w:val="800080"/>
      <w:u w:val="single"/>
    </w:rPr>
  </w:style>
  <w:style w:type="character" w:styleId="HTMLCite">
    <w:name w:val="HTML Cite"/>
    <w:basedOn w:val="DefaultParagraphFont"/>
    <w:uiPriority w:val="99"/>
    <w:semiHidden/>
    <w:rsid w:val="00244B90"/>
    <w:rPr>
      <w:rFonts w:cs="Times New Roman"/>
      <w:color w:val="009933"/>
    </w:rPr>
  </w:style>
  <w:style w:type="paragraph" w:styleId="ListParagraph">
    <w:name w:val="List Paragraph"/>
    <w:basedOn w:val="Normal"/>
    <w:uiPriority w:val="99"/>
    <w:qFormat/>
    <w:rsid w:val="00831F2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BF3E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F3E11"/>
    <w:rPr>
      <w:szCs w:val="22"/>
      <w:lang w:eastAsia="en-US"/>
    </w:rPr>
  </w:style>
  <w:style w:type="paragraph" w:styleId="Footer">
    <w:name w:val="footer"/>
    <w:basedOn w:val="Normal"/>
    <w:link w:val="FooterChar"/>
    <w:uiPriority w:val="99"/>
    <w:semiHidden/>
    <w:unhideWhenUsed/>
    <w:rsid w:val="00BF3E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F3E11"/>
    <w:rPr>
      <w:szCs w:val="22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F3E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3E11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8656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656587">
          <w:marLeft w:val="230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656589">
          <w:marLeft w:val="230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656599">
          <w:marLeft w:val="230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656610">
          <w:marLeft w:val="230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8656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656593">
          <w:marLeft w:val="230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656600">
          <w:marLeft w:val="230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656601">
          <w:marLeft w:val="230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656602">
          <w:marLeft w:val="230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656609">
          <w:marLeft w:val="230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8656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656588">
          <w:marLeft w:val="994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656592">
          <w:marLeft w:val="1714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656594">
          <w:marLeft w:val="994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656603">
          <w:marLeft w:val="1714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656605">
          <w:marLeft w:val="994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656607">
          <w:marLeft w:val="1714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8656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656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656590">
          <w:marLeft w:val="994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656591">
          <w:marLeft w:val="994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656598">
          <w:marLeft w:val="230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656604">
          <w:marLeft w:val="994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Information" ma:contentTypeID="0x010100028D52C9A5433B438C8A1988457E2557000E4F726D76CBB44984B364E973C41319" ma:contentTypeVersion="18" ma:contentTypeDescription="This is for internal and external Ofgem information." ma:contentTypeScope="" ma:versionID="6e8549aebcae6ad1610d825849c9583c">
  <xsd:schema xmlns:xsd="http://www.w3.org/2001/XMLSchema" xmlns:p="http://schemas.microsoft.com/office/2006/metadata/properties" xmlns:ns2="eecedeb9-13b3-4e62-b003-046c92e1668a" xmlns:ns3="http://schemas.microsoft.com/sharepoint/v3/fields" targetNamespace="http://schemas.microsoft.com/office/2006/metadata/properties" ma:root="true" ma:fieldsID="4cc7b158b952ccb19da6a73fa2aeea13" ns2:_="" ns3:_="">
    <xsd:import namespace="eecedeb9-13b3-4e62-b003-046c92e1668a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Organisation" minOccurs="0"/>
                <xsd:element ref="ns2:_x003a_" minOccurs="0"/>
                <xsd:element ref="ns2:_x003a__x003a_" minOccurs="0"/>
                <xsd:element ref="ns3:_Status" minOccurs="0"/>
                <xsd:element ref="ns2:Classification"/>
                <xsd:element ref="ns2:Descriptor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eecedeb9-13b3-4e62-b003-046c92e1668a" elementFormDefault="qualified">
    <xsd:import namespace="http://schemas.microsoft.com/office/2006/documentManagement/types"/>
    <xsd:element name="Organisation" ma:index="8" nillable="true" ma:displayName="Organisation" ma:default="Choose an Organisation" ma:description="Choose from the drop-down menu or fill in a value" ma:format="Dropdown" ma:internalName="Organisation">
      <xsd:simpleType>
        <xsd:union memberTypes="dms:Text">
          <xsd:simpleType>
            <xsd:restriction base="dms:Choice">
              <xsd:enumeration value="Choose an Organisation"/>
              <xsd:enumeration value="Assoc Elec Producers"/>
              <xsd:enumeration value="Atomic Energy Auth"/>
              <xsd:enumeration value="BERR"/>
              <xsd:enumeration value="British Energy"/>
              <xsd:enumeration value="Brit Wind Energy Assoc"/>
              <xsd:enumeration value="Building Research Est"/>
              <xsd:enumeration value="Carbon Trust"/>
              <xsd:enumeration value="Cavendish"/>
              <xsd:enumeration value="Centrica"/>
              <xsd:enumeration value="Central Networks"/>
              <xsd:enumeration value="CE"/>
              <xsd:enumeration value="CEER"/>
              <xsd:enumeration value="CHPA"/>
              <xsd:enumeration value="Competition Commission"/>
              <xsd:enumeration value="DCLG"/>
              <xsd:enumeration value="DCUSA Ltd"/>
              <xsd:enumeration value="DECC"/>
              <xsd:enumeration value="DEFRA"/>
              <xsd:enumeration value="DETI (Northern Ireland)"/>
              <xsd:enumeration value="European Commission"/>
              <xsd:enumeration value="EdF"/>
              <xsd:enumeration value="Elec DNO"/>
              <xsd:enumeration value="ELEXON"/>
              <xsd:enumeration value="eon"/>
              <xsd:enumeration value="Electricity North West"/>
              <xsd:enumeration value="Energy Networks Association"/>
              <xsd:enumeration value="Energy Retail Association"/>
              <xsd:enumeration value="Energy Saving Trust"/>
              <xsd:enumeration value="energywatch"/>
              <xsd:enumeration value="ERGEG"/>
              <xsd:enumeration value="Ernst &amp; Young"/>
              <xsd:enumeration value="ESTA"/>
              <xsd:enumeration value="Gas DNs"/>
              <xsd:enumeration value="Gas Forum"/>
              <xsd:enumeration value="Gaz de France"/>
              <xsd:enumeration value="Government"/>
              <xsd:enumeration value="HM Revenue &amp; Customs"/>
              <xsd:enumeration value="HM Treasury"/>
              <xsd:enumeration value="House of Commons"/>
              <xsd:enumeration value="HSE"/>
              <xsd:enumeration value="IDNO"/>
              <xsd:enumeration value="IGT"/>
              <xsd:enumeration value="National Grid Gas"/>
              <xsd:enumeration value="National Grid Elec"/>
              <xsd:enumeration value="nPower"/>
              <xsd:enumeration value="NWOperators"/>
              <xsd:enumeration value="NEDL &amp;  YEDL"/>
              <xsd:enumeration value="Northern Gas Networks"/>
              <xsd:enumeration value="OFGEM"/>
              <xsd:enumeration value="OFREG"/>
              <xsd:enumeration value="OFT"/>
              <xsd:enumeration value="Parity"/>
              <xsd:enumeration value="Parl Renew &amp; Sustain Energy Grp"/>
              <xsd:enumeration value="Renewble Energy Assoc"/>
              <xsd:enumeration value="RWE"/>
              <xsd:enumeration value="Scotia Gas Networks"/>
              <xsd:enumeration value="Scottish and Southern"/>
              <xsd:enumeration value="Scottish Executive"/>
              <xsd:enumeration value="Scottish Power"/>
              <xsd:enumeration value="SmartestEnergy"/>
              <xsd:enumeration value="Suppliers"/>
              <xsd:enumeration value="UK Power Networks"/>
              <xsd:enumeration value="Wales &amp; West Utilities"/>
              <xsd:enumeration value="Welsh Assembly"/>
              <xsd:enumeration value="WPD"/>
              <xsd:enumeration value="Xoserve"/>
              <xsd:enumeration value="-"/>
            </xsd:restriction>
          </xsd:simpleType>
        </xsd:union>
      </xsd:simpleType>
    </xsd:element>
    <xsd:element name="_x003a_" ma:index="9" nillable="true" ma:displayName=":" ma:default="" ma:description="To group documents together eg Responses with a Consultation Doc.  The format is Main Document Publication Date as YYYY/MM/DD - Main Document Title - Ref No &#10;(keep the Title part short and use copy and paste to ensure grouping works - check in Publication view)" ma:internalName="_x003A_">
      <xsd:simpleType>
        <xsd:restriction base="dms:Text">
          <xsd:maxLength value="255"/>
        </xsd:restriction>
      </xsd:simpleType>
    </xsd:element>
    <xsd:element name="_x003a__x003a_" ma:index="10" nillable="true" ma:displayName="::" ma:default="-Main Document" ma:description="Used to place Subsidiary Documents and Responses as 'children' to the Main Document, with Subsidiary Documents first" ma:format="Dropdown" ma:internalName="_x003A__x003A_">
      <xsd:simpleType>
        <xsd:restriction base="dms:Choice">
          <xsd:enumeration value="-Main Document"/>
          <xsd:enumeration value="-Subsidiary Document"/>
          <xsd:enumeration value="Response"/>
        </xsd:restriction>
      </xsd:simpleType>
    </xsd:element>
    <xsd:element name="Classification" ma:index="12" ma:displayName="Classification" ma:default="Unclassified" ma:format="Dropdown" ma:internalName="Classification">
      <xsd:simpleType>
        <xsd:restriction base="dms:Choice">
          <xsd:enumeration value="Unclassified"/>
          <xsd:enumeration value="Protect"/>
          <xsd:enumeration value="Restricted"/>
        </xsd:restriction>
      </xsd:simpleType>
    </xsd:element>
    <xsd:element name="Descriptor" ma:index="13" nillable="true" ma:displayName="Descriptor" ma:format="Dropdown" ma:internalName="Descriptor">
      <xsd:simpleType>
        <xsd:restriction base="dms:Choice">
          <xsd:enumeration value="Commercial"/>
          <xsd:enumeration value="Management"/>
          <xsd:enumeration value="Market Sensitive"/>
          <xsd:enumeration value="Staff"/>
        </xsd:restriction>
      </xsd:simple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tatus" ma:index="11" nillable="true" ma:displayName="Status" ma:default="Draft" ma:description="Choose the appropriate status from the drop-down" ma:format="Dropdown" ma:internalName="_Status">
      <xsd:simpleType>
        <xsd:restriction base="dms:Choice">
          <xsd:enumeration value="Draft"/>
          <xsd:enumeration value="For comment"/>
          <xsd:enumeration value="Peer Reviewed"/>
          <xsd:enumeration value="Head of Dept Reviewed"/>
          <xsd:enumeration value="Legally Reviewed"/>
          <xsd:enumeration value="MD Approved"/>
          <xsd:enumeration value="Final not for Registry"/>
          <xsd:enumeration value="Final and Sent to Registry"/>
          <xsd:enumeration value="Published"/>
          <xsd:enumeration value="For deletion review"/>
          <xsd:enumeration value="External Draft"/>
          <xsd:enumeration value="External for comment"/>
          <xsd:enumeration value="External for action"/>
          <xsd:enumeration value="External Final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>
    <Classification xmlns="eecedeb9-13b3-4e62-b003-046c92e1668a">Unclassified</Classification>
    <Descriptor xmlns="eecedeb9-13b3-4e62-b003-046c92e1668a" xsi:nil="true"/>
    <_x003a__x003a_ xmlns="eecedeb9-13b3-4e62-b003-046c92e1668a">-Main Document</_x003a__x003a_>
    <Organisation xmlns="eecedeb9-13b3-4e62-b003-046c92e1668a">Choose an Organisation</Organisation>
    <_x003a_ xmlns="eecedeb9-13b3-4e62-b003-046c92e1668a" xsi:nil="true"/>
    <_Status xmlns="http://schemas.microsoft.com/sharepoint/v3/fields">Draft</_Status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>
    <Classification xmlns="eecedeb9-13b3-4e62-b003-046c92e1668a">Unclassified</Classification>
    <From xmlns="eecedeb9-13b3-4e62-b003-046c92e1668a" xsi:nil="true"/>
    <Select_x0020_Content_x0020_Type_x0020_Above xmlns="eecedeb9-13b3-4e62-b003-046c92e1668a"/>
    <BCC xmlns="eecedeb9-13b3-4e62-b003-046c92e1668a" xsi:nil="true"/>
    <To xmlns="eecedeb9-13b3-4e62-b003-046c92e1668a" xsi:nil="true"/>
    <CC xmlns="eecedeb9-13b3-4e62-b003-046c92e1668a" xsi:nil="true"/>
    <Descriptor xmlns="eecedeb9-13b3-4e62-b003-046c92e1668a" xsi:nil="true"/>
  </documentManagement>
</p:properties>
</file>

<file path=customXml/itemProps1.xml><?xml version="1.0" encoding="utf-8"?>
<ds:datastoreItem xmlns:ds="http://schemas.openxmlformats.org/officeDocument/2006/customXml" ds:itemID="{4124F056-3DD4-4ABF-82A5-BA2DE3041DE3}"/>
</file>

<file path=customXml/itemProps2.xml><?xml version="1.0" encoding="utf-8"?>
<ds:datastoreItem xmlns:ds="http://schemas.openxmlformats.org/officeDocument/2006/customXml" ds:itemID="{F6BCC832-4CA9-4D9A-BBFE-5AE411DF73B1}"/>
</file>

<file path=customXml/itemProps3.xml><?xml version="1.0" encoding="utf-8"?>
<ds:datastoreItem xmlns:ds="http://schemas.openxmlformats.org/officeDocument/2006/customXml" ds:itemID="{6BD06375-C3C2-465A-9E71-BDA50899EDBB}"/>
</file>

<file path=customXml/itemProps4.xml><?xml version="1.0" encoding="utf-8"?>
<ds:datastoreItem xmlns:ds="http://schemas.openxmlformats.org/officeDocument/2006/customXml" ds:itemID="{F6BCC832-4CA9-4D9A-BBFE-5AE411DF73B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387</Words>
  <Characters>2318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IT</Company>
  <LinksUpToDate>false</LinksUpToDate>
  <CharactersWithSpaces>2700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ERDF AD_final (UKPN)</dc:title>
  <dc:subject/>
  <dc:creator>Ed Freeman</dc:creator>
  <cp:keywords/>
  <dc:description/>
  <cp:lastModifiedBy>miche1m</cp:lastModifiedBy>
  <cp:revision>4</cp:revision>
  <cp:lastPrinted>2013-03-12T09:50:00Z</cp:lastPrinted>
  <dcterms:created xsi:type="dcterms:W3CDTF">2013-04-04T07:52:00Z</dcterms:created>
  <dcterms:modified xsi:type="dcterms:W3CDTF">2013-04-05T11:22:00Z</dcterms:modified>
  <cp:contentType>Information</cp:contentType>
  <cp:contentStatus>Draft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0x010100028D52C9A5433B438C8A1988457E2557000E4F726D76CBB44984B364E973C41319</vt:lpwstr>
  </property>
</Properties>
</file>