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harts/chart10.xml" ContentType="application/vnd.openxmlformats-officedocument.drawingml.chart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Default Extension="png" ContentType="image/png"/>
  <Override PartName="/customXml/itemProps2.xml" ContentType="application/vnd.openxmlformats-officedocument.customXmlProperties+xml"/>
  <Default Extension="emf" ContentType="image/x-emf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83" w:rsidRPr="00F57FA5" w:rsidRDefault="00391D8E" w:rsidP="00F57FA5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F57FA5">
        <w:rPr>
          <w:b/>
          <w:sz w:val="40"/>
          <w:szCs w:val="40"/>
        </w:rPr>
        <w:t xml:space="preserve">Issue </w:t>
      </w:r>
      <w:r w:rsidR="00F57FA5" w:rsidRPr="00F57FA5">
        <w:rPr>
          <w:b/>
          <w:sz w:val="40"/>
          <w:szCs w:val="40"/>
        </w:rPr>
        <w:t xml:space="preserve">For The Mid East </w:t>
      </w:r>
      <w:r w:rsidR="00B7483B">
        <w:rPr>
          <w:b/>
          <w:sz w:val="40"/>
          <w:szCs w:val="40"/>
        </w:rPr>
        <w:t>From</w:t>
      </w:r>
      <w:r w:rsidRPr="00F57FA5">
        <w:rPr>
          <w:b/>
          <w:sz w:val="40"/>
          <w:szCs w:val="40"/>
        </w:rPr>
        <w:t xml:space="preserve"> Using The Normal Period </w:t>
      </w:r>
      <w:r w:rsidR="00B7483B">
        <w:rPr>
          <w:b/>
          <w:sz w:val="40"/>
          <w:szCs w:val="40"/>
        </w:rPr>
        <w:t>Created From The</w:t>
      </w:r>
      <w:r w:rsidRPr="00F57FA5">
        <w:rPr>
          <w:b/>
          <w:sz w:val="40"/>
          <w:szCs w:val="40"/>
        </w:rPr>
        <w:t xml:space="preserve"> Aggregate </w:t>
      </w:r>
      <w:r w:rsidR="00F57FA5" w:rsidRPr="00F57FA5">
        <w:rPr>
          <w:b/>
          <w:sz w:val="40"/>
          <w:szCs w:val="40"/>
        </w:rPr>
        <w:t>Of All The DNO Reconciliation Data</w:t>
      </w:r>
    </w:p>
    <w:p w:rsidR="007F7AC6" w:rsidRPr="007F7AC6" w:rsidRDefault="007F7AC6">
      <w:pPr>
        <w:rPr>
          <w:b/>
        </w:rPr>
      </w:pPr>
      <w:r>
        <w:rPr>
          <w:b/>
        </w:rPr>
        <w:t>Introduction</w:t>
      </w:r>
    </w:p>
    <w:p w:rsidR="00CE425C" w:rsidRDefault="00FA02D2">
      <w:r>
        <w:t xml:space="preserve">In Ofgem's </w:t>
      </w:r>
      <w:r w:rsidR="00CE425C">
        <w:t>“</w:t>
      </w:r>
      <w:r w:rsidR="00CE425C" w:rsidRPr="00CE425C">
        <w:t>Decision on the process to follow for closing out the losses incentive mechanism for the fourth distribution price control (</w:t>
      </w:r>
      <w:r w:rsidR="00CE425C" w:rsidRPr="00A77528">
        <w:rPr>
          <w:b/>
        </w:rPr>
        <w:t>DPCR4</w:t>
      </w:r>
      <w:r w:rsidR="00CE425C" w:rsidRPr="00CE425C">
        <w:t>)</w:t>
      </w:r>
      <w:r w:rsidR="00CE425C">
        <w:t>” issued on the 12</w:t>
      </w:r>
      <w:r w:rsidR="00CE425C" w:rsidRPr="00CE425C">
        <w:rPr>
          <w:vertAlign w:val="superscript"/>
        </w:rPr>
        <w:t>th</w:t>
      </w:r>
      <w:r w:rsidR="00C67009">
        <w:t xml:space="preserve"> July 2013</w:t>
      </w:r>
      <w:r w:rsidR="005775C0">
        <w:t xml:space="preserve"> (</w:t>
      </w:r>
      <w:r w:rsidR="005775C0">
        <w:rPr>
          <w:b/>
        </w:rPr>
        <w:t>July Decision</w:t>
      </w:r>
      <w:r w:rsidR="005775C0">
        <w:t>)</w:t>
      </w:r>
      <w:r>
        <w:t xml:space="preserve">, Ofgem decided </w:t>
      </w:r>
      <w:r w:rsidR="00C67009">
        <w:t>that</w:t>
      </w:r>
      <w:r w:rsidR="00CE425C">
        <w:t xml:space="preserve"> </w:t>
      </w:r>
      <w:r>
        <w:t xml:space="preserve">any </w:t>
      </w:r>
      <w:r w:rsidR="00CE425C">
        <w:t xml:space="preserve">DNOs wanting to restate their 2009-10 data </w:t>
      </w:r>
      <w:r>
        <w:t xml:space="preserve">were required to </w:t>
      </w:r>
      <w:r w:rsidR="00CE425C">
        <w:t>use a fixed normal period of April 2006 to Mar</w:t>
      </w:r>
      <w:r w:rsidR="005775C0">
        <w:t>ch</w:t>
      </w:r>
      <w:r w:rsidR="00CE425C">
        <w:t xml:space="preserve"> 2008 in applying the SP for adjusting for GVC.</w:t>
      </w:r>
    </w:p>
    <w:p w:rsidR="00CE425C" w:rsidRDefault="00FA02D2">
      <w:r>
        <w:t xml:space="preserve">The </w:t>
      </w:r>
      <w:r w:rsidR="005775C0">
        <w:t>reason</w:t>
      </w:r>
      <w:r>
        <w:t xml:space="preserve"> for this decision was that the</w:t>
      </w:r>
      <w:r w:rsidR="00A91DEA">
        <w:t xml:space="preserve"> 2005-06 and 2006-</w:t>
      </w:r>
      <w:r w:rsidR="00CE425C">
        <w:t xml:space="preserve">07 </w:t>
      </w:r>
      <w:r>
        <w:t>peri</w:t>
      </w:r>
      <w:r w:rsidR="00CF70DB">
        <w:t>od appears</w:t>
      </w:r>
      <w:r>
        <w:t xml:space="preserve"> </w:t>
      </w:r>
      <w:r w:rsidR="00CE425C">
        <w:t>normal when</w:t>
      </w:r>
      <w:r w:rsidR="005775C0">
        <w:t xml:space="preserve"> assessing </w:t>
      </w:r>
      <w:r w:rsidR="00A91DEA">
        <w:t>the aggregate of DNO data</w:t>
      </w:r>
      <w:r>
        <w:t xml:space="preserve">.  On that basis, OFGEM </w:t>
      </w:r>
      <w:r w:rsidR="005775C0">
        <w:t>decided</w:t>
      </w:r>
      <w:r>
        <w:t xml:space="preserve"> that</w:t>
      </w:r>
      <w:r w:rsidR="00A91DEA">
        <w:t xml:space="preserve"> all DNOs should use a </w:t>
      </w:r>
      <w:r>
        <w:t xml:space="preserve">stipulated </w:t>
      </w:r>
      <w:r w:rsidR="00A91DEA">
        <w:t>normal period of 2005-06 and 2006-07 when restating.</w:t>
      </w:r>
    </w:p>
    <w:p w:rsidR="00FA02D2" w:rsidRDefault="005775C0" w:rsidP="00AB1139">
      <w:r>
        <w:t>On 21 October 2013</w:t>
      </w:r>
      <w:r w:rsidR="00FA02D2">
        <w:t>,</w:t>
      </w:r>
      <w:r>
        <w:t xml:space="preserve"> as a result of concerns raised by some DNOs in response to the July Decision that a stipulated normal period should be used, OFGEM stated it would consider additional evidence from particular DNOs which would support the use of a different normal period to assess a particular licensee's restatement application. </w:t>
      </w:r>
    </w:p>
    <w:p w:rsidR="00CE425C" w:rsidRDefault="005775C0">
      <w:r>
        <w:t xml:space="preserve">In this document, </w:t>
      </w:r>
      <w:r w:rsidR="00A91DEA">
        <w:t xml:space="preserve">WPD will </w:t>
      </w:r>
      <w:r>
        <w:t>provide strong evidence to show that the stipulated normal period is not normal for WPD's East Midlands licence area</w:t>
      </w:r>
      <w:r w:rsidR="00BA4CC4">
        <w:t xml:space="preserve"> (the </w:t>
      </w:r>
      <w:r w:rsidR="00BA4CC4">
        <w:rPr>
          <w:b/>
        </w:rPr>
        <w:t>Mid East</w:t>
      </w:r>
      <w:r w:rsidR="00BA4CC4">
        <w:t>)</w:t>
      </w:r>
      <w:r>
        <w:t>.  In particular, this document will show that while</w:t>
      </w:r>
      <w:r w:rsidR="00A91DEA">
        <w:t xml:space="preserve"> the data on an aggregate basis</w:t>
      </w:r>
      <w:r w:rsidR="00FA02D2">
        <w:t xml:space="preserve"> shows 2005-06 and 2006-07 to be normal,</w:t>
      </w:r>
      <w:r w:rsidR="00A91DEA">
        <w:t xml:space="preserve"> </w:t>
      </w:r>
      <w:r>
        <w:t xml:space="preserve">this </w:t>
      </w:r>
      <w:r w:rsidR="00A91DEA">
        <w:t>is not the case when</w:t>
      </w:r>
      <w:r>
        <w:t xml:space="preserve"> the</w:t>
      </w:r>
      <w:r w:rsidR="00A91DEA">
        <w:t xml:space="preserve"> </w:t>
      </w:r>
      <w:r w:rsidR="00BA4CC4">
        <w:t>Mid East</w:t>
      </w:r>
      <w:r>
        <w:t xml:space="preserve"> settlement data is assessed</w:t>
      </w:r>
      <w:r w:rsidR="00A91DEA">
        <w:t xml:space="preserve"> on an individual </w:t>
      </w:r>
      <w:r w:rsidR="00984E97">
        <w:t>basis</w:t>
      </w:r>
      <w:r w:rsidR="00A91DEA">
        <w:t xml:space="preserve">. </w:t>
      </w:r>
      <w:r>
        <w:t xml:space="preserve"> </w:t>
      </w:r>
    </w:p>
    <w:p w:rsidR="00A91DEA" w:rsidRPr="007F7AC6" w:rsidRDefault="00A91DEA">
      <w:pPr>
        <w:rPr>
          <w:b/>
        </w:rPr>
      </w:pPr>
      <w:r w:rsidRPr="007F7AC6">
        <w:rPr>
          <w:b/>
        </w:rPr>
        <w:t>OFGEM Analysis</w:t>
      </w:r>
    </w:p>
    <w:p w:rsidR="00A228FB" w:rsidRDefault="00CD199D">
      <w:r>
        <w:t>OFGEM have based their analysi</w:t>
      </w:r>
      <w:r w:rsidR="00A91DEA">
        <w:t>s</w:t>
      </w:r>
      <w:r w:rsidR="005775C0">
        <w:t xml:space="preserve"> that 2005-06 and 2006-07 are normal</w:t>
      </w:r>
      <w:r>
        <w:t xml:space="preserve"> on aggregate data </w:t>
      </w:r>
      <w:r w:rsidR="00A228FB">
        <w:t>for all 11 DNOs applying for restatement.</w:t>
      </w:r>
    </w:p>
    <w:p w:rsidR="00A91DEA" w:rsidRDefault="00A228FB">
      <w:r>
        <w:t xml:space="preserve">The table below shows the </w:t>
      </w:r>
      <w:r w:rsidR="00201438">
        <w:t>individual DNO r</w:t>
      </w:r>
      <w:r w:rsidR="00201438" w:rsidRPr="00201438">
        <w:t>econciliations</w:t>
      </w:r>
      <w:r w:rsidR="008D4DB3">
        <w:t>,</w:t>
      </w:r>
      <w:r w:rsidR="00201438" w:rsidRPr="00201438">
        <w:t xml:space="preserve"> based </w:t>
      </w:r>
      <w:r w:rsidR="00201438">
        <w:t xml:space="preserve">on </w:t>
      </w:r>
      <w:r w:rsidR="00201438" w:rsidRPr="00201438">
        <w:t xml:space="preserve">post-SF adjustment and normalisation mapping, </w:t>
      </w:r>
      <w:r w:rsidR="00201438">
        <w:t>(</w:t>
      </w:r>
      <w:r w:rsidR="00201438" w:rsidRPr="00201438">
        <w:t>i</w:t>
      </w:r>
      <w:r w:rsidR="00201438">
        <w:t>.</w:t>
      </w:r>
      <w:r w:rsidR="00201438" w:rsidRPr="00201438">
        <w:t>e</w:t>
      </w:r>
      <w:r w:rsidR="00201438">
        <w:t>.</w:t>
      </w:r>
      <w:r w:rsidR="00201438" w:rsidRPr="00201438">
        <w:t xml:space="preserve"> based on </w:t>
      </w:r>
      <w:r w:rsidR="00984E97">
        <w:t>the data</w:t>
      </w:r>
      <w:r w:rsidR="00201438" w:rsidRPr="00201438">
        <w:t xml:space="preserve"> used in the statistical test for each DNO</w:t>
      </w:r>
      <w:r w:rsidR="00201438">
        <w:t>,) and the total that was used in the analysis</w:t>
      </w:r>
      <w:r w:rsidR="00201438" w:rsidRPr="00201438">
        <w:t>.</w:t>
      </w:r>
    </w:p>
    <w:p w:rsidR="00201438" w:rsidRDefault="00201438">
      <w:r w:rsidRPr="00201438">
        <w:rPr>
          <w:noProof/>
          <w:lang w:eastAsia="en-GB"/>
        </w:rPr>
        <w:drawing>
          <wp:inline distT="0" distB="0" distL="0" distR="0" wp14:anchorId="739C2EC7" wp14:editId="49BB8D97">
            <wp:extent cx="5731510" cy="1065506"/>
            <wp:effectExtent l="0" t="0" r="254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1065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1438" w:rsidRDefault="00201438">
      <w:r>
        <w:t>The aggregate values in the total column are then graphically represented below.</w:t>
      </w:r>
    </w:p>
    <w:p w:rsidR="00201438" w:rsidRDefault="00201438">
      <w:r>
        <w:rPr>
          <w:noProof/>
          <w:lang w:eastAsia="en-GB"/>
        </w:rPr>
        <w:lastRenderedPageBreak/>
        <w:drawing>
          <wp:inline distT="0" distB="0" distL="0" distR="0" wp14:anchorId="3B33B917" wp14:editId="4A507C06">
            <wp:extent cx="4536141" cy="2743200"/>
            <wp:effectExtent l="0" t="0" r="17145" b="1905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9240F" w:rsidRDefault="00201438">
      <w:r>
        <w:t xml:space="preserve">The </w:t>
      </w:r>
      <w:r w:rsidR="00CF70DB">
        <w:t>tables show that</w:t>
      </w:r>
      <w:r w:rsidR="009E461B">
        <w:t xml:space="preserve"> 2006-07 and 2007-08 </w:t>
      </w:r>
      <w:r w:rsidR="00CF70DB">
        <w:t>loss levels are slightly negative</w:t>
      </w:r>
      <w:r w:rsidR="009E461B">
        <w:t xml:space="preserve"> and </w:t>
      </w:r>
      <w:r w:rsidR="00984E97">
        <w:t xml:space="preserve">are </w:t>
      </w:r>
      <w:r w:rsidR="009E461B">
        <w:t>close to being equal</w:t>
      </w:r>
      <w:r w:rsidR="00CF70DB">
        <w:t xml:space="preserve">.  The </w:t>
      </w:r>
      <w:r w:rsidR="009E461B">
        <w:t xml:space="preserve">2009-10 </w:t>
      </w:r>
      <w:r w:rsidR="00CF70DB">
        <w:t>levels, however, show</w:t>
      </w:r>
      <w:r w:rsidR="008D4DB3">
        <w:t xml:space="preserve"> a</w:t>
      </w:r>
      <w:r w:rsidR="00CF70DB">
        <w:t xml:space="preserve"> sudden and</w:t>
      </w:r>
      <w:r w:rsidR="008D4DB3">
        <w:t xml:space="preserve"> significant increase in losses</w:t>
      </w:r>
      <w:r w:rsidR="009E461B">
        <w:t xml:space="preserve">. </w:t>
      </w:r>
      <w:r w:rsidR="008D4DB3">
        <w:t xml:space="preserve"> The losses in </w:t>
      </w:r>
      <w:r w:rsidR="009E461B">
        <w:t xml:space="preserve">2009-10 </w:t>
      </w:r>
      <w:r w:rsidR="008D4DB3">
        <w:t xml:space="preserve">are </w:t>
      </w:r>
      <w:r w:rsidR="009E461B">
        <w:t>503% greater than</w:t>
      </w:r>
      <w:r w:rsidR="008D4DB3">
        <w:t xml:space="preserve"> those in</w:t>
      </w:r>
      <w:r w:rsidR="009E461B">
        <w:t xml:space="preserve"> 2006-07 and 437% greater than 2007-08. </w:t>
      </w:r>
      <w:r w:rsidR="008D4DB3">
        <w:t xml:space="preserve"> </w:t>
      </w:r>
      <w:r w:rsidR="009E461B">
        <w:t xml:space="preserve">This implies that 2006-07 and 2007-08 </w:t>
      </w:r>
      <w:r w:rsidR="007F7AC6">
        <w:t xml:space="preserve">on an aggregate basis </w:t>
      </w:r>
      <w:r w:rsidR="009E461B">
        <w:t>are normal when compared to the rest of DPCR4</w:t>
      </w:r>
      <w:r w:rsidR="007F7AC6">
        <w:t>.</w:t>
      </w:r>
      <w:r w:rsidR="008D4DB3">
        <w:t xml:space="preserve"> </w:t>
      </w:r>
    </w:p>
    <w:p w:rsidR="007F7AC6" w:rsidRDefault="007F7AC6"/>
    <w:p w:rsidR="007F7AC6" w:rsidRPr="002E2CC6" w:rsidRDefault="007F7AC6">
      <w:pPr>
        <w:rPr>
          <w:b/>
        </w:rPr>
      </w:pPr>
      <w:r w:rsidRPr="002E2CC6">
        <w:rPr>
          <w:b/>
        </w:rPr>
        <w:t>WPD Analysis On The Mid East</w:t>
      </w:r>
    </w:p>
    <w:p w:rsidR="008D4DB3" w:rsidRDefault="007F7AC6">
      <w:r>
        <w:t xml:space="preserve">WPD have taken the individual profile of the Mid East and compared </w:t>
      </w:r>
      <w:r w:rsidR="008D4DB3">
        <w:t>it t</w:t>
      </w:r>
      <w:r>
        <w:t xml:space="preserve">o the average of the 11 DNOs applying for restatement. </w:t>
      </w:r>
      <w:r w:rsidR="008D4DB3">
        <w:t xml:space="preserve"> </w:t>
      </w:r>
    </w:p>
    <w:p w:rsidR="007F7AC6" w:rsidRDefault="007F7AC6">
      <w:r>
        <w:t xml:space="preserve">WPD have also compared </w:t>
      </w:r>
      <w:r w:rsidR="008D4DB3">
        <w:t xml:space="preserve">the individual profile of the Mid East </w:t>
      </w:r>
      <w:r>
        <w:t xml:space="preserve">to the average of the DNOs applying for restatement </w:t>
      </w:r>
      <w:r w:rsidR="008D4DB3">
        <w:t xml:space="preserve">when data relating to the </w:t>
      </w:r>
      <w:r>
        <w:t>Mid East area</w:t>
      </w:r>
      <w:r w:rsidR="008D4DB3">
        <w:t xml:space="preserve"> is</w:t>
      </w:r>
      <w:r>
        <w:t xml:space="preserve"> removed</w:t>
      </w:r>
      <w:r w:rsidR="008D4DB3">
        <w:t>.  This demonstrates t</w:t>
      </w:r>
      <w:r>
        <w:t xml:space="preserve">he effect the </w:t>
      </w:r>
      <w:r w:rsidR="00BA4CC4">
        <w:t>Mid East</w:t>
      </w:r>
      <w:r>
        <w:t xml:space="preserve"> reconciliations have on the aggregate</w:t>
      </w:r>
      <w:r w:rsidR="008D4DB3">
        <w:t xml:space="preserve"> numbers</w:t>
      </w:r>
      <w:r>
        <w:t>.</w:t>
      </w:r>
    </w:p>
    <w:p w:rsidR="007F7AC6" w:rsidRDefault="007F7AC6">
      <w:r>
        <w:t xml:space="preserve">The </w:t>
      </w:r>
      <w:r w:rsidR="0030573E">
        <w:t>table</w:t>
      </w:r>
      <w:r w:rsidR="008D4DB3">
        <w:t>s</w:t>
      </w:r>
      <w:r w:rsidR="0030573E">
        <w:t xml:space="preserve"> below shows average reconciliation runs of the 11 DNOs applying for restatement compared with the Mid East reconciliations.</w:t>
      </w:r>
    </w:p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960"/>
        <w:gridCol w:w="2560"/>
        <w:gridCol w:w="1720"/>
        <w:gridCol w:w="4700"/>
      </w:tblGrid>
      <w:tr w:rsidR="0030573E" w:rsidRPr="0030573E" w:rsidTr="0030573E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0573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0573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East Midlands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30573E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Mid East % Difference To The Average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78.8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-28%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-167.8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166%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-308.0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335%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-323.1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129%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-391.2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3%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-269.5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28%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-283.6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26%</w:t>
            </w:r>
          </w:p>
        </w:tc>
      </w:tr>
      <w:tr w:rsidR="0030573E" w:rsidRPr="0030573E" w:rsidTr="0030573E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-236.2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30573E" w:rsidRPr="0030573E" w:rsidRDefault="0030573E" w:rsidP="0030573E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30573E">
              <w:rPr>
                <w:rFonts w:ascii="Calibri" w:eastAsia="Times New Roman" w:hAnsi="Calibri" w:cs="Calibri"/>
                <w:color w:val="000000"/>
                <w:lang w:eastAsia="en-GB"/>
              </w:rPr>
              <w:t>34%</w:t>
            </w:r>
          </w:p>
        </w:tc>
      </w:tr>
    </w:tbl>
    <w:p w:rsidR="0030573E" w:rsidRDefault="0030573E"/>
    <w:p w:rsidR="0030573E" w:rsidRDefault="0030573E"/>
    <w:p w:rsidR="0030573E" w:rsidRDefault="00BF6BB6">
      <w:r>
        <w:rPr>
          <w:noProof/>
          <w:lang w:eastAsia="en-GB"/>
        </w:rPr>
        <w:lastRenderedPageBreak/>
        <w:drawing>
          <wp:inline distT="0" distB="0" distL="0" distR="0" wp14:anchorId="156E2D18" wp14:editId="3EC4A68B">
            <wp:extent cx="4572000" cy="2743200"/>
            <wp:effectExtent l="0" t="0" r="19050" b="19050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2A6FBF" w:rsidRDefault="008D4DB3">
      <w:r>
        <w:t xml:space="preserve">These tables show that the </w:t>
      </w:r>
      <w:r w:rsidR="002A6FBF">
        <w:t xml:space="preserve">2005-06 </w:t>
      </w:r>
      <w:r>
        <w:t xml:space="preserve">and </w:t>
      </w:r>
      <w:r w:rsidR="002A6FBF">
        <w:t>2009-10</w:t>
      </w:r>
      <w:r>
        <w:t xml:space="preserve"> loss levels for the Mid East are of similar magnitude to the loss levels of the</w:t>
      </w:r>
      <w:r w:rsidR="00CF70DB">
        <w:t xml:space="preserve"> average</w:t>
      </w:r>
      <w:r>
        <w:t xml:space="preserve"> DNOs.  In particular, t</w:t>
      </w:r>
      <w:r w:rsidR="002A6FBF">
        <w:t xml:space="preserve">he levels of GVC in 2009-10 in the Mid East are similar to the rest of the DNOs. </w:t>
      </w:r>
    </w:p>
    <w:p w:rsidR="00201438" w:rsidRDefault="008D4DB3">
      <w:r>
        <w:t>However, for the years 2006-07, 2007-08 and 2008-09, th</w:t>
      </w:r>
      <w:r w:rsidR="002A6FBF">
        <w:t xml:space="preserve">e Mid East has a very different shape to the average of the DNOs. </w:t>
      </w:r>
      <w:r>
        <w:t xml:space="preserve"> </w:t>
      </w:r>
      <w:r w:rsidR="002A6FBF">
        <w:t xml:space="preserve">The rate at which the reconciliations move towards 2009-10 levels </w:t>
      </w:r>
      <w:r>
        <w:t xml:space="preserve">commences </w:t>
      </w:r>
      <w:r w:rsidR="002A6FBF">
        <w:t xml:space="preserve">much </w:t>
      </w:r>
      <w:r w:rsidR="002E2CC6">
        <w:t>earlier</w:t>
      </w:r>
      <w:r w:rsidR="002A6FBF">
        <w:t>.</w:t>
      </w:r>
      <w:r w:rsidR="00CF70DB">
        <w:t xml:space="preserve">  In particular, the 2007-08 period shows a sudden and significant increase in losses, similar to that of 2009-10.</w:t>
      </w:r>
    </w:p>
    <w:p w:rsidR="00AB1139" w:rsidRDefault="00AB1139" w:rsidP="00BA4CC4">
      <w:r>
        <w:t>By way of example:</w:t>
      </w:r>
    </w:p>
    <w:p w:rsidR="00AB1139" w:rsidRDefault="00AB1139" w:rsidP="00A77528">
      <w:pPr>
        <w:pStyle w:val="ListParagraph"/>
        <w:numPr>
          <w:ilvl w:val="0"/>
          <w:numId w:val="1"/>
        </w:numPr>
      </w:pPr>
      <w:r>
        <w:t>2009-10 losses for the Mid East are 133% greater than its 2006-07 losses compared with 503% for the DNO average; and</w:t>
      </w:r>
    </w:p>
    <w:p w:rsidR="002A6FBF" w:rsidRDefault="002A6FBF" w:rsidP="00A77528">
      <w:pPr>
        <w:pStyle w:val="ListParagraph"/>
        <w:numPr>
          <w:ilvl w:val="0"/>
          <w:numId w:val="1"/>
        </w:numPr>
      </w:pPr>
      <w:r>
        <w:t>2009-10</w:t>
      </w:r>
      <w:r w:rsidR="00AB1139">
        <w:t xml:space="preserve"> losses for the Mid East are </w:t>
      </w:r>
      <w:r w:rsidR="003A1691">
        <w:t>only 27</w:t>
      </w:r>
      <w:r>
        <w:t>% greater than</w:t>
      </w:r>
      <w:r w:rsidR="00AB1139">
        <w:t xml:space="preserve"> its</w:t>
      </w:r>
      <w:r>
        <w:t xml:space="preserve"> 2007-08</w:t>
      </w:r>
      <w:r w:rsidR="003A1691">
        <w:t xml:space="preserve"> </w:t>
      </w:r>
      <w:r w:rsidR="000A6330">
        <w:t>losses</w:t>
      </w:r>
      <w:r w:rsidR="00AB1139">
        <w:t xml:space="preserve"> </w:t>
      </w:r>
      <w:r w:rsidR="003A1691">
        <w:t>compared with 437% for the DNO average.</w:t>
      </w:r>
    </w:p>
    <w:p w:rsidR="00201438" w:rsidRDefault="003A1691">
      <w:r>
        <w:t xml:space="preserve">This </w:t>
      </w:r>
      <w:r w:rsidR="00AB1139">
        <w:t xml:space="preserve">shows </w:t>
      </w:r>
      <w:r>
        <w:t xml:space="preserve">that levels of GVC in 2007-08 in the Mid East </w:t>
      </w:r>
      <w:r w:rsidR="00AB1139">
        <w:t xml:space="preserve">are </w:t>
      </w:r>
      <w:r>
        <w:t>very close to the level</w:t>
      </w:r>
      <w:r w:rsidR="00AB1139">
        <w:t>s</w:t>
      </w:r>
      <w:r>
        <w:t xml:space="preserve"> of GVC applied in 2009-10 and </w:t>
      </w:r>
      <w:r w:rsidR="00CF70DB">
        <w:t>provides</w:t>
      </w:r>
      <w:r w:rsidR="00AB1139">
        <w:t xml:space="preserve"> strong evidence</w:t>
      </w:r>
      <w:r>
        <w:t xml:space="preserve"> that </w:t>
      </w:r>
      <w:r w:rsidR="00AB1139">
        <w:t xml:space="preserve">the </w:t>
      </w:r>
      <w:r>
        <w:t>2007-08</w:t>
      </w:r>
      <w:r w:rsidR="00AB1139">
        <w:t xml:space="preserve"> period</w:t>
      </w:r>
      <w:r>
        <w:t xml:space="preserve"> is not normal for the Mid East.</w:t>
      </w:r>
    </w:p>
    <w:p w:rsidR="00201438" w:rsidRDefault="00201438"/>
    <w:p w:rsidR="002E2CC6" w:rsidRPr="002E2CC6" w:rsidRDefault="002E2CC6">
      <w:pPr>
        <w:rPr>
          <w:b/>
        </w:rPr>
      </w:pPr>
      <w:r w:rsidRPr="002E2CC6">
        <w:rPr>
          <w:b/>
        </w:rPr>
        <w:t>WPD Analysis With The Removal Of WPD Mid East From The DNO Average.</w:t>
      </w:r>
    </w:p>
    <w:p w:rsidR="002E2CC6" w:rsidRDefault="002E2CC6" w:rsidP="002E2CC6">
      <w:r>
        <w:t xml:space="preserve">WPD have also compared </w:t>
      </w:r>
      <w:r w:rsidR="00CF70DB">
        <w:t xml:space="preserve">the Mid East data </w:t>
      </w:r>
      <w:r>
        <w:t xml:space="preserve">to the average of the DNOs applying for restatement </w:t>
      </w:r>
      <w:r w:rsidR="00CF70DB">
        <w:t>with</w:t>
      </w:r>
      <w:r w:rsidR="00AB1139">
        <w:t xml:space="preserve"> data relating to </w:t>
      </w:r>
      <w:r>
        <w:t>the Mid East area removed</w:t>
      </w:r>
      <w:r w:rsidR="00CF70DB">
        <w:t>.  This allowed WPD</w:t>
      </w:r>
      <w:r>
        <w:t xml:space="preserve"> to understand the effect the </w:t>
      </w:r>
      <w:r w:rsidR="00BA4CC4">
        <w:t xml:space="preserve">Mid East </w:t>
      </w:r>
      <w:r>
        <w:t>reconciliations have on the aggregate.</w:t>
      </w:r>
    </w:p>
    <w:p w:rsidR="002E2CC6" w:rsidRDefault="002E2CC6" w:rsidP="002E2CC6">
      <w:r>
        <w:t xml:space="preserve">The table below shows average reconciliation runs of the </w:t>
      </w:r>
      <w:r w:rsidR="0059240F">
        <w:t xml:space="preserve">other </w:t>
      </w:r>
      <w:r>
        <w:t>1</w:t>
      </w:r>
      <w:r w:rsidR="0059240F">
        <w:t>0</w:t>
      </w:r>
      <w:r>
        <w:t xml:space="preserve"> DNOs applying for restatement compared with the Mid East reconciliations.</w:t>
      </w:r>
    </w:p>
    <w:p w:rsidR="002E2CC6" w:rsidRDefault="002E2CC6" w:rsidP="002E2CC6"/>
    <w:p w:rsidR="00A77528" w:rsidRDefault="00A77528" w:rsidP="002E2CC6"/>
    <w:tbl>
      <w:tblPr>
        <w:tblW w:w="9940" w:type="dxa"/>
        <w:tblInd w:w="93" w:type="dxa"/>
        <w:tblLook w:val="04A0" w:firstRow="1" w:lastRow="0" w:firstColumn="1" w:lastColumn="0" w:noHBand="0" w:noVBand="1"/>
      </w:tblPr>
      <w:tblGrid>
        <w:gridCol w:w="960"/>
        <w:gridCol w:w="2560"/>
        <w:gridCol w:w="1720"/>
        <w:gridCol w:w="4700"/>
      </w:tblGrid>
      <w:tr w:rsidR="002E2CC6" w:rsidRPr="002E2CC6" w:rsidTr="002E2CC6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2CC6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 Excluding WPD Mid East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2CC6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East Midlands</w:t>
            </w:r>
          </w:p>
        </w:tc>
        <w:tc>
          <w:tcPr>
            <w:tcW w:w="4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2E2CC6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Mid East % Difference To The Average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112.2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78.8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-30%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-52.6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-167.8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219%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-47.1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-308.0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554%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-122.8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-323.1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163%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-379.5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-391.2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3%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-204.3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-269.5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32%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-220.2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-283.6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29%</w:t>
            </w:r>
          </w:p>
        </w:tc>
      </w:tr>
      <w:tr w:rsidR="002E2CC6" w:rsidRPr="002E2CC6" w:rsidTr="002E2CC6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-169.6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-236.2</w:t>
            </w:r>
          </w:p>
        </w:tc>
        <w:tc>
          <w:tcPr>
            <w:tcW w:w="4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2E2CC6" w:rsidRPr="002E2CC6" w:rsidRDefault="002E2CC6" w:rsidP="002E2CC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2E2CC6">
              <w:rPr>
                <w:rFonts w:ascii="Calibri" w:eastAsia="Times New Roman" w:hAnsi="Calibri" w:cs="Calibri"/>
                <w:color w:val="000000"/>
                <w:lang w:eastAsia="en-GB"/>
              </w:rPr>
              <w:t>39%</w:t>
            </w:r>
          </w:p>
        </w:tc>
      </w:tr>
    </w:tbl>
    <w:p w:rsidR="002E2CC6" w:rsidRDefault="002E2CC6" w:rsidP="002E2CC6"/>
    <w:p w:rsidR="002E2CC6" w:rsidRDefault="002E2CC6" w:rsidP="002E2CC6">
      <w:r>
        <w:rPr>
          <w:noProof/>
          <w:lang w:eastAsia="en-GB"/>
        </w:rPr>
        <w:drawing>
          <wp:inline distT="0" distB="0" distL="0" distR="0" wp14:anchorId="6E650FED" wp14:editId="3620FA86">
            <wp:extent cx="4572000" cy="2743200"/>
            <wp:effectExtent l="0" t="0" r="19050" b="19050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E2CC6" w:rsidRDefault="00CF70DB" w:rsidP="002E2CC6">
      <w:r>
        <w:t>Similarly to the tables in the Mid East analysis,</w:t>
      </w:r>
      <w:r w:rsidR="00AB1139">
        <w:t xml:space="preserve"> the </w:t>
      </w:r>
      <w:r w:rsidR="002E2CC6">
        <w:t>2005-06</w:t>
      </w:r>
      <w:r w:rsidR="00AB1139">
        <w:t xml:space="preserve"> and 2009-10 levels</w:t>
      </w:r>
      <w:r>
        <w:t xml:space="preserve"> for both the Mid East and the average of DNOS (excluding Mid East)</w:t>
      </w:r>
      <w:r w:rsidR="002E2CC6">
        <w:t xml:space="preserve"> are</w:t>
      </w:r>
      <w:r w:rsidR="00AB1139">
        <w:t xml:space="preserve"> of</w:t>
      </w:r>
      <w:r w:rsidR="002E2CC6">
        <w:t xml:space="preserve"> similar magnitude. </w:t>
      </w:r>
      <w:r w:rsidR="00AB1139">
        <w:t xml:space="preserve"> </w:t>
      </w:r>
      <w:r w:rsidR="002E2CC6">
        <w:t>Th</w:t>
      </w:r>
      <w:r w:rsidR="00AB1139">
        <w:t xml:space="preserve">ere is </w:t>
      </w:r>
      <w:r w:rsidR="002E2CC6">
        <w:t xml:space="preserve">no change </w:t>
      </w:r>
      <w:r w:rsidR="00984E97">
        <w:t>in the</w:t>
      </w:r>
      <w:r w:rsidR="00AB1139">
        <w:t xml:space="preserve"> comparison for these years</w:t>
      </w:r>
      <w:r w:rsidR="00984E97">
        <w:t xml:space="preserve"> </w:t>
      </w:r>
      <w:r w:rsidR="002E2CC6">
        <w:t xml:space="preserve">from the previous table.  </w:t>
      </w:r>
    </w:p>
    <w:p w:rsidR="000A6330" w:rsidRDefault="00AB1139" w:rsidP="002E2CC6">
      <w:r>
        <w:t>For 2006-07, 2007-08 and 2008-09</w:t>
      </w:r>
      <w:r w:rsidR="00984E97">
        <w:t>, t</w:t>
      </w:r>
      <w:r w:rsidR="002E2CC6">
        <w:t>he Mid East</w:t>
      </w:r>
      <w:r w:rsidR="00CF70DB">
        <w:t xml:space="preserve"> again</w:t>
      </w:r>
      <w:r w:rsidR="002E2CC6">
        <w:t xml:space="preserve"> has a very different shape to the average of the DNOs</w:t>
      </w:r>
      <w:r w:rsidR="00CF70DB">
        <w:t xml:space="preserve"> and t</w:t>
      </w:r>
      <w:r w:rsidRPr="00AB1139">
        <w:t>he rate at which the reconciliations move towards 2009-10 levels commences much earlier.</w:t>
      </w:r>
      <w:r w:rsidR="00CF70DB">
        <w:t xml:space="preserve"> However, there</w:t>
      </w:r>
      <w:r>
        <w:t xml:space="preserve"> is</w:t>
      </w:r>
      <w:r w:rsidR="00CF70DB">
        <w:t xml:space="preserve"> now</w:t>
      </w:r>
      <w:r>
        <w:t xml:space="preserve"> an even greater discrepancy between the loss levels for the </w:t>
      </w:r>
      <w:r w:rsidR="000A6330">
        <w:t xml:space="preserve">Mid East </w:t>
      </w:r>
      <w:r>
        <w:t xml:space="preserve">for these years </w:t>
      </w:r>
      <w:r w:rsidR="002E2CC6">
        <w:t xml:space="preserve">and the DNO average </w:t>
      </w:r>
      <w:r w:rsidR="009C164A">
        <w:t>(</w:t>
      </w:r>
      <w:r w:rsidR="00CF70DB">
        <w:t>excluding Mid East</w:t>
      </w:r>
      <w:r w:rsidR="009C164A">
        <w:t>)</w:t>
      </w:r>
      <w:r w:rsidR="000A6330">
        <w:t>.</w:t>
      </w:r>
    </w:p>
    <w:p w:rsidR="002E2CC6" w:rsidRDefault="000A6330" w:rsidP="002E2CC6">
      <w:r>
        <w:t>By way of example:</w:t>
      </w:r>
    </w:p>
    <w:p w:rsidR="002E2CC6" w:rsidRDefault="002E2CC6" w:rsidP="00A77528">
      <w:pPr>
        <w:pStyle w:val="ListParagraph"/>
        <w:numPr>
          <w:ilvl w:val="0"/>
          <w:numId w:val="3"/>
        </w:numPr>
      </w:pPr>
      <w:r>
        <w:t>2009-10</w:t>
      </w:r>
      <w:r w:rsidR="000A6330">
        <w:t xml:space="preserve"> losses for the Mid East</w:t>
      </w:r>
      <w:r>
        <w:t xml:space="preserve"> </w:t>
      </w:r>
      <w:r w:rsidR="000A6330">
        <w:t>are</w:t>
      </w:r>
      <w:r>
        <w:t xml:space="preserve"> </w:t>
      </w:r>
      <w:r w:rsidR="000A6330">
        <w:t xml:space="preserve">again </w:t>
      </w:r>
      <w:r>
        <w:t xml:space="preserve">133% greater than </w:t>
      </w:r>
      <w:r w:rsidR="000A6330">
        <w:t xml:space="preserve">its </w:t>
      </w:r>
      <w:r>
        <w:t xml:space="preserve">2006-07 </w:t>
      </w:r>
      <w:r w:rsidR="000A6330">
        <w:t>losses</w:t>
      </w:r>
      <w:r>
        <w:t xml:space="preserve"> compared with </w:t>
      </w:r>
      <w:r w:rsidR="009C164A" w:rsidRPr="00A77528">
        <w:rPr>
          <w:b/>
        </w:rPr>
        <w:t>621</w:t>
      </w:r>
      <w:r w:rsidRPr="00A77528">
        <w:rPr>
          <w:b/>
        </w:rPr>
        <w:t>%</w:t>
      </w:r>
      <w:r>
        <w:t xml:space="preserve"> for the DNO average. </w:t>
      </w:r>
    </w:p>
    <w:p w:rsidR="000A6330" w:rsidRDefault="002E2CC6" w:rsidP="00A77528">
      <w:pPr>
        <w:pStyle w:val="ListParagraph"/>
        <w:numPr>
          <w:ilvl w:val="0"/>
          <w:numId w:val="3"/>
        </w:numPr>
      </w:pPr>
      <w:r>
        <w:t xml:space="preserve">2009-10 </w:t>
      </w:r>
      <w:r w:rsidR="000A6330">
        <w:t xml:space="preserve">losses for the Mid East are again </w:t>
      </w:r>
      <w:r>
        <w:t xml:space="preserve">only 27% greater than </w:t>
      </w:r>
      <w:r w:rsidR="000A6330">
        <w:t xml:space="preserve">its </w:t>
      </w:r>
      <w:r>
        <w:t>2007-08</w:t>
      </w:r>
      <w:r w:rsidR="000A6330">
        <w:t xml:space="preserve"> losses </w:t>
      </w:r>
      <w:r w:rsidR="009C164A">
        <w:t xml:space="preserve">compared with </w:t>
      </w:r>
      <w:r w:rsidR="009C164A" w:rsidRPr="00A77528">
        <w:rPr>
          <w:b/>
        </w:rPr>
        <w:t>706</w:t>
      </w:r>
      <w:r w:rsidRPr="00A77528">
        <w:rPr>
          <w:b/>
        </w:rPr>
        <w:t>%</w:t>
      </w:r>
      <w:r>
        <w:t xml:space="preserve"> for the DNO average.</w:t>
      </w:r>
    </w:p>
    <w:p w:rsidR="00201438" w:rsidRDefault="009C164A">
      <w:r>
        <w:t xml:space="preserve">This not only reinforces the fact that </w:t>
      </w:r>
      <w:r w:rsidR="000A6330">
        <w:t xml:space="preserve">the </w:t>
      </w:r>
      <w:r>
        <w:t>2007-08</w:t>
      </w:r>
      <w:r w:rsidR="000A6330">
        <w:t xml:space="preserve"> period</w:t>
      </w:r>
      <w:r>
        <w:t xml:space="preserve"> for the Mid East is not normal but </w:t>
      </w:r>
      <w:r w:rsidR="000A6330">
        <w:t>inclusion of Mid East data has a significant effect on</w:t>
      </w:r>
      <w:r>
        <w:t xml:space="preserve"> the levels of reconciliations in OFGEM</w:t>
      </w:r>
      <w:r w:rsidR="00CF70DB">
        <w:t>'s</w:t>
      </w:r>
      <w:r>
        <w:t xml:space="preserve"> analysis </w:t>
      </w:r>
      <w:r w:rsidR="00FD56AE">
        <w:t>for the total number of DNOs.</w:t>
      </w:r>
      <w:r>
        <w:t xml:space="preserve"> </w:t>
      </w:r>
    </w:p>
    <w:p w:rsidR="00201438" w:rsidRPr="00E3586F" w:rsidRDefault="00FD56AE">
      <w:pPr>
        <w:rPr>
          <w:b/>
        </w:rPr>
      </w:pPr>
      <w:r w:rsidRPr="00E3586F">
        <w:rPr>
          <w:b/>
        </w:rPr>
        <w:t>The Effect Of These Reconciliations On The Statistical Tests</w:t>
      </w:r>
    </w:p>
    <w:p w:rsidR="00656C12" w:rsidRDefault="00843283">
      <w:r>
        <w:t xml:space="preserve">The statistical tests </w:t>
      </w:r>
      <w:r w:rsidR="000A6330">
        <w:t xml:space="preserve">set out in the July Decision </w:t>
      </w:r>
      <w:r>
        <w:t xml:space="preserve">are a comparison between the average reconciliations in the first four years </w:t>
      </w:r>
      <w:r w:rsidR="00656C12">
        <w:t xml:space="preserve">of </w:t>
      </w:r>
      <w:r>
        <w:t xml:space="preserve">DPCR4 </w:t>
      </w:r>
      <w:r w:rsidR="000A6330">
        <w:t xml:space="preserve">and reconciliations in </w:t>
      </w:r>
      <w:r>
        <w:t xml:space="preserve">2009-10. </w:t>
      </w:r>
      <w:r w:rsidR="000A6330">
        <w:t xml:space="preserve"> As shown above, significant</w:t>
      </w:r>
      <w:r>
        <w:t xml:space="preserve"> GVC</w:t>
      </w:r>
      <w:r w:rsidR="000A6330">
        <w:t xml:space="preserve"> adjustments</w:t>
      </w:r>
      <w:r>
        <w:t xml:space="preserve"> began earlier in DPCR4 in the Mid East</w:t>
      </w:r>
      <w:r w:rsidR="000A6330">
        <w:t xml:space="preserve"> t</w:t>
      </w:r>
      <w:r>
        <w:t>han</w:t>
      </w:r>
      <w:r w:rsidR="000A6330">
        <w:t xml:space="preserve"> for</w:t>
      </w:r>
      <w:r>
        <w:t xml:space="preserve"> the othe</w:t>
      </w:r>
      <w:r w:rsidR="00656C12">
        <w:t>r DNOs applying for restatement.</w:t>
      </w:r>
    </w:p>
    <w:p w:rsidR="00FD56AE" w:rsidRDefault="000A6330">
      <w:r>
        <w:t xml:space="preserve">This means that for the Mid East, </w:t>
      </w:r>
      <w:r w:rsidR="00656C12">
        <w:t>t</w:t>
      </w:r>
      <w:r w:rsidR="00843283">
        <w:t xml:space="preserve">he difference between the reconciliations in 2009-10 and </w:t>
      </w:r>
      <w:r>
        <w:t xml:space="preserve">the </w:t>
      </w:r>
      <w:r w:rsidR="00843283">
        <w:t>average reconciliations in the first 4 years of</w:t>
      </w:r>
      <w:r>
        <w:t xml:space="preserve"> DPCR4</w:t>
      </w:r>
      <w:r w:rsidR="00843283">
        <w:t xml:space="preserve"> are</w:t>
      </w:r>
      <w:r>
        <w:t xml:space="preserve"> far</w:t>
      </w:r>
      <w:r w:rsidR="00843283">
        <w:t xml:space="preserve"> smaller</w:t>
      </w:r>
      <w:r w:rsidR="00656C12">
        <w:t xml:space="preserve"> than for the average DNO</w:t>
      </w:r>
      <w:r w:rsidR="00843283">
        <w:t>.</w:t>
      </w:r>
    </w:p>
    <w:p w:rsidR="00843283" w:rsidRDefault="00843283">
      <w:r>
        <w:t xml:space="preserve">This makes it impossible for the Mid East to pass the </w:t>
      </w:r>
      <w:r w:rsidR="000A6330">
        <w:t xml:space="preserve">statistical </w:t>
      </w:r>
      <w:r>
        <w:t>test</w:t>
      </w:r>
      <w:r w:rsidR="000A6330">
        <w:t xml:space="preserve"> despite</w:t>
      </w:r>
      <w:r>
        <w:t xml:space="preserve"> </w:t>
      </w:r>
      <w:r w:rsidR="000A6330">
        <w:t xml:space="preserve">having the same </w:t>
      </w:r>
      <w:r>
        <w:t xml:space="preserve">2009-10 </w:t>
      </w:r>
      <w:r w:rsidR="000A6330">
        <w:t xml:space="preserve">levels </w:t>
      </w:r>
      <w:r>
        <w:t xml:space="preserve">as the average </w:t>
      </w:r>
      <w:r w:rsidR="000A6330">
        <w:t xml:space="preserve">of </w:t>
      </w:r>
      <w:r>
        <w:t>the rest of the DNOs applying for restatement.</w:t>
      </w:r>
    </w:p>
    <w:p w:rsidR="00656C12" w:rsidRDefault="00656C12">
      <w:r>
        <w:t>The graphs also show that the level of GVC applied in the years post 2009-10 was greater in the Mid East by an average of 33%.</w:t>
      </w:r>
    </w:p>
    <w:p w:rsidR="00656C12" w:rsidRDefault="00656C12"/>
    <w:p w:rsidR="00656C12" w:rsidRPr="00656C12" w:rsidRDefault="00656C12">
      <w:pPr>
        <w:rPr>
          <w:b/>
        </w:rPr>
      </w:pPr>
      <w:r w:rsidRPr="00656C12">
        <w:rPr>
          <w:b/>
        </w:rPr>
        <w:t>Solution To Normal Period</w:t>
      </w:r>
      <w:r w:rsidR="00391D8E">
        <w:rPr>
          <w:b/>
        </w:rPr>
        <w:t xml:space="preserve"> For The Mid East</w:t>
      </w:r>
    </w:p>
    <w:p w:rsidR="00843283" w:rsidRDefault="000A6330">
      <w:r>
        <w:t>In the</w:t>
      </w:r>
      <w:r w:rsidR="00656C12">
        <w:t xml:space="preserve"> </w:t>
      </w:r>
      <w:r w:rsidR="008E1B1E">
        <w:t xml:space="preserve">OFGEM losses </w:t>
      </w:r>
      <w:r w:rsidR="00656C12">
        <w:t xml:space="preserve">workshop </w:t>
      </w:r>
      <w:r w:rsidR="008E1B1E">
        <w:t>on 18/11/2013</w:t>
      </w:r>
      <w:r>
        <w:t>, it was suggested</w:t>
      </w:r>
      <w:r w:rsidR="008E1B1E">
        <w:t xml:space="preserve"> </w:t>
      </w:r>
      <w:r w:rsidR="00656C12">
        <w:t>that WPD be allowed to deviate from the fixed normal period</w:t>
      </w:r>
      <w:r w:rsidR="008E1B1E">
        <w:t xml:space="preserve"> for the Mid East and </w:t>
      </w:r>
      <w:r w:rsidR="00767A3C">
        <w:t xml:space="preserve">be allowed </w:t>
      </w:r>
      <w:r w:rsidR="008E1B1E">
        <w:t xml:space="preserve">to find a 24 month period </w:t>
      </w:r>
      <w:r>
        <w:t xml:space="preserve">in DPCR4 </w:t>
      </w:r>
      <w:r w:rsidR="008E1B1E">
        <w:t>which showed normal losses.</w:t>
      </w:r>
    </w:p>
    <w:p w:rsidR="008E1B1E" w:rsidRPr="00A77528" w:rsidRDefault="008B77C5" w:rsidP="008E1B1E">
      <w:pPr>
        <w:rPr>
          <w:b/>
        </w:rPr>
      </w:pPr>
      <w:r>
        <w:t>WPD have done this</w:t>
      </w:r>
      <w:r w:rsidR="008E1B1E">
        <w:t xml:space="preserve"> using the losses % in the revised app</w:t>
      </w:r>
      <w:r w:rsidR="000A6330">
        <w:t>roach</w:t>
      </w:r>
      <w:r w:rsidR="008E1B1E">
        <w:t xml:space="preserve"> C - restatement sheet. </w:t>
      </w:r>
      <w:r w:rsidR="001257FF">
        <w:t xml:space="preserve"> Using </w:t>
      </w:r>
      <w:r w:rsidR="008E1B1E">
        <w:t xml:space="preserve">a weighted average losses % for each 24 month period </w:t>
      </w:r>
      <w:r>
        <w:t>in between April 05 and March 08</w:t>
      </w:r>
      <w:r w:rsidR="001257FF">
        <w:t xml:space="preserve">, WPD has taken </w:t>
      </w:r>
      <w:r w:rsidR="008E1B1E">
        <w:t>the point at which this crosses the Mid East target</w:t>
      </w:r>
      <w:r w:rsidR="001257FF">
        <w:t>, which has</w:t>
      </w:r>
      <w:r>
        <w:t xml:space="preserve"> a start date </w:t>
      </w:r>
      <w:r w:rsidR="008E1B1E">
        <w:t xml:space="preserve">between Jan 06 and Feb 06. </w:t>
      </w:r>
      <w:r w:rsidR="001257FF">
        <w:t xml:space="preserve">  On this basis, a suitable n</w:t>
      </w:r>
      <w:r w:rsidR="008E1B1E">
        <w:t>ormal period</w:t>
      </w:r>
      <w:r w:rsidR="001257FF">
        <w:t xml:space="preserve"> for the Mid East</w:t>
      </w:r>
      <w:r w:rsidR="008E1B1E">
        <w:t xml:space="preserve"> is either Jan 06 to Dec 07 or Feb 06 to Jan 08.</w:t>
      </w:r>
    </w:p>
    <w:p w:rsidR="008B77C5" w:rsidRDefault="006233B7" w:rsidP="008E1B1E">
      <w:r>
        <w:t>Please see the table below.</w:t>
      </w:r>
    </w:p>
    <w:p w:rsidR="00391D8E" w:rsidRDefault="006233B7" w:rsidP="008E1B1E">
      <w:r w:rsidRPr="006233B7">
        <w:rPr>
          <w:noProof/>
          <w:lang w:eastAsia="en-GB"/>
        </w:rPr>
        <w:drawing>
          <wp:inline distT="0" distB="0" distL="0" distR="0" wp14:anchorId="1E162D95" wp14:editId="53DF6D57">
            <wp:extent cx="5731510" cy="755274"/>
            <wp:effectExtent l="0" t="0" r="2540" b="698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755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33B7" w:rsidRDefault="006233B7" w:rsidP="008E1B1E">
      <w:r>
        <w:t>The Graph below shows the point at which the Losses and the Mid East Target intersect.</w:t>
      </w:r>
    </w:p>
    <w:p w:rsidR="006233B7" w:rsidRDefault="00F655DE" w:rsidP="008E1B1E">
      <w:r>
        <w:rPr>
          <w:noProof/>
          <w:lang w:eastAsia="en-GB"/>
        </w:rPr>
        <w:drawing>
          <wp:inline distT="0" distB="0" distL="0" distR="0" wp14:anchorId="40D20738" wp14:editId="546BBFAA">
            <wp:extent cx="5467350" cy="3995738"/>
            <wp:effectExtent l="0" t="0" r="19050" b="24130"/>
            <wp:docPr id="19" name="Chart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201438" w:rsidRDefault="008E1B1E">
      <w:r>
        <w:t xml:space="preserve">WPD have run the GVC calculation for both periods </w:t>
      </w:r>
      <w:r w:rsidR="00391D8E">
        <w:t>and have re</w:t>
      </w:r>
      <w:r w:rsidR="00984E97">
        <w:t>-</w:t>
      </w:r>
      <w:r w:rsidR="00391D8E">
        <w:t>submitted both to OFGEM for consultation.</w:t>
      </w:r>
    </w:p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FD56AE" w:rsidRDefault="00FD56AE"/>
    <w:p w:rsidR="004F23B4" w:rsidRPr="004F23B4" w:rsidRDefault="00391D8E">
      <w:pPr>
        <w:rPr>
          <w:b/>
        </w:rPr>
      </w:pPr>
      <w:r>
        <w:rPr>
          <w:b/>
        </w:rPr>
        <w:t>A</w:t>
      </w:r>
      <w:r w:rsidR="00FD56AE" w:rsidRPr="004F23B4">
        <w:rPr>
          <w:b/>
        </w:rPr>
        <w:t>ppendix A: Tables</w:t>
      </w:r>
      <w:r w:rsidR="004F23B4" w:rsidRPr="004F23B4">
        <w:rPr>
          <w:b/>
        </w:rPr>
        <w:t xml:space="preserve"> And Graphs Showing The Reconciliations Of The Other 10 DNOs Applying For Restatement</w:t>
      </w:r>
    </w:p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NPgN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NPgN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6.0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-94%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-65.8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-108.9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54%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-117.3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-295.0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-147.2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-165.2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-27%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-76.9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-56%</w:t>
            </w:r>
          </w:p>
        </w:tc>
      </w:tr>
    </w:tbl>
    <w:p w:rsidR="004F23B4" w:rsidRDefault="004F23B4"/>
    <w:p w:rsidR="00FD56AE" w:rsidRDefault="004F23B4">
      <w:r>
        <w:rPr>
          <w:noProof/>
          <w:lang w:eastAsia="en-GB"/>
        </w:rPr>
        <w:drawing>
          <wp:inline distT="0" distB="0" distL="0" distR="0" wp14:anchorId="44A4D22C" wp14:editId="021FADAB">
            <wp:extent cx="4572000" cy="2743200"/>
            <wp:effectExtent l="0" t="0" r="19050" b="19050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  <w:r>
        <w:t xml:space="preserve"> </w:t>
      </w:r>
    </w:p>
    <w:p w:rsidR="00201438" w:rsidRDefault="00201438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NPgY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NPgY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550.4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404%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24.2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-138%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-169.1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139%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-127.2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-496.8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31%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-276.9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32%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-166.1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-27%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-172.5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-2%</w:t>
            </w:r>
          </w:p>
        </w:tc>
      </w:tr>
    </w:tbl>
    <w:p w:rsidR="00201438" w:rsidRDefault="00201438"/>
    <w:p w:rsidR="004F23B4" w:rsidRDefault="004F23B4">
      <w:r>
        <w:rPr>
          <w:noProof/>
          <w:lang w:eastAsia="en-GB"/>
        </w:rPr>
        <w:drawing>
          <wp:inline distT="0" distB="0" distL="0" distR="0" wp14:anchorId="145617C5" wp14:editId="45DA9F35">
            <wp:extent cx="4572000" cy="2743200"/>
            <wp:effectExtent l="0" t="0" r="19050" b="19050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WMID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WMID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174.6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60%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-104.5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66%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-131.6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86%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-117.4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-236.2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-113.8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-243.1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8%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-255.6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46%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6F1A9F66" wp14:editId="6B620284">
            <wp:extent cx="4572000" cy="2743200"/>
            <wp:effectExtent l="0" t="0" r="19050" b="19050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SWEST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SWEST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74.0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-32%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-54.5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-87.9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-75.6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-227.6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-122.5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-42%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-202.9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-119.6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-32%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2A07628A" wp14:editId="785C00DA">
            <wp:extent cx="4572000" cy="2743200"/>
            <wp:effectExtent l="0" t="0" r="19050" b="19050"/>
            <wp:docPr id="10" name="Chart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ENWL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ENWL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8.8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-92%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-72.2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15%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59.5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-184%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-132.6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-342.8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-243.0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-198.0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-12%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-160.3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-9%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7C99984A" wp14:editId="2B743AB5">
            <wp:extent cx="4572000" cy="2743200"/>
            <wp:effectExtent l="0" t="0" r="19050" b="19050"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EPN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EPN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145.9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34%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-239.9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280%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-27.2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-62%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-164.7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17%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-1177.5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209%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-837.5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298%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-494.6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119%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-397.4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126%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24FCF3EB" wp14:editId="172640C3">
            <wp:extent cx="4572000" cy="2743200"/>
            <wp:effectExtent l="0" t="0" r="19050" b="19050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LPN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LPN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141.6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30%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136.1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-316%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127.3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-280%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-12.7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-91%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-192.2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-50%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-113.3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-370.1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64%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-282.6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61%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318F29C5" wp14:editId="5C42357E">
            <wp:extent cx="4572000" cy="2743200"/>
            <wp:effectExtent l="0" t="0" r="19050" b="19050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SPN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SPN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271.7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149%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78.7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-225%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14.7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-121%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56.3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-121.1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-68%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-189.4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-362.1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60%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-230.9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31%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730B1530" wp14:editId="0B38BA4B">
            <wp:extent cx="4572000" cy="2743200"/>
            <wp:effectExtent l="0" t="0" r="19050" b="19050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SPM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SPM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-28.3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-126%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-68.7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9%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-56.9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-20%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-234.0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66%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-292.1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-23%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#VALUE!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#VALUE!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#VALUE!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1A4F7949" wp14:editId="75EC952C">
            <wp:extent cx="4572000" cy="2743200"/>
            <wp:effectExtent l="0" t="0" r="19050" b="19050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p w:rsidR="004F23B4" w:rsidRDefault="004F23B4"/>
    <w:tbl>
      <w:tblPr>
        <w:tblW w:w="9440" w:type="dxa"/>
        <w:tblInd w:w="93" w:type="dxa"/>
        <w:tblLook w:val="04A0" w:firstRow="1" w:lastRow="0" w:firstColumn="1" w:lastColumn="0" w:noHBand="0" w:noVBand="1"/>
      </w:tblPr>
      <w:tblGrid>
        <w:gridCol w:w="960"/>
        <w:gridCol w:w="2440"/>
        <w:gridCol w:w="1660"/>
        <w:gridCol w:w="4380"/>
      </w:tblGrid>
      <w:tr w:rsidR="004F23B4" w:rsidRPr="004F23B4" w:rsidTr="004F23B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b/>
                <w:bCs/>
                <w:color w:val="000000"/>
                <w:lang w:eastAsia="en-GB"/>
              </w:rPr>
              <w:t>SF to LRT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Average of the DNOs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SPD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B703D0" w:rsidP="004F23B4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>SPD</w:t>
            </w:r>
            <w:r w:rsidR="004F23B4" w:rsidRPr="004F23B4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eastAsia="en-GB"/>
              </w:rPr>
              <w:t xml:space="preserve"> % Difference To The Average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2005-06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109.2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-222.5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-304%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2006-07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-63.1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-159.4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153%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2007-08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-70.8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-90.9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28%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2008-09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-141.0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-302.9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115%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2009-10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-380.6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-414.1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9%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2010-11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-210.3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#VALUE!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2011-12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-226.0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#VALUE!</w:t>
            </w:r>
          </w:p>
        </w:tc>
      </w:tr>
      <w:tr w:rsidR="004F23B4" w:rsidRPr="004F23B4" w:rsidTr="004F23B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2012-13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-175.6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-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CE6F1"/>
            <w:noWrap/>
            <w:vAlign w:val="bottom"/>
            <w:hideMark/>
          </w:tcPr>
          <w:p w:rsidR="004F23B4" w:rsidRPr="004F23B4" w:rsidRDefault="004F23B4" w:rsidP="004F23B4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en-GB"/>
              </w:rPr>
            </w:pPr>
            <w:r w:rsidRPr="004F23B4">
              <w:rPr>
                <w:rFonts w:ascii="Calibri" w:eastAsia="Times New Roman" w:hAnsi="Calibri" w:cs="Calibri"/>
                <w:color w:val="000000"/>
                <w:lang w:eastAsia="en-GB"/>
              </w:rPr>
              <w:t>#VALUE!</w:t>
            </w:r>
          </w:p>
        </w:tc>
      </w:tr>
    </w:tbl>
    <w:p w:rsidR="004F23B4" w:rsidRDefault="004F23B4"/>
    <w:p w:rsidR="004F23B4" w:rsidRDefault="004F23B4">
      <w:r>
        <w:rPr>
          <w:noProof/>
          <w:lang w:eastAsia="en-GB"/>
        </w:rPr>
        <w:drawing>
          <wp:inline distT="0" distB="0" distL="0" distR="0" wp14:anchorId="1023A6E8" wp14:editId="42C6D7BD">
            <wp:extent cx="4572000" cy="2743200"/>
            <wp:effectExtent l="0" t="0" r="19050" b="19050"/>
            <wp:docPr id="16" name="Chart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sectPr w:rsidR="004F23B4" w:rsidSect="00A77528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pgSz w:w="11906" w:h="16838"/>
      <w:pgMar w:top="1440" w:right="1440" w:bottom="1440" w:left="1440" w:header="708" w:footer="708" w:gutter="0"/>
      <w:paperSrc w:first="268" w:other="26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75AF" w:rsidRDefault="00E975AF" w:rsidP="00B7483B">
      <w:pPr>
        <w:spacing w:after="0" w:line="240" w:lineRule="auto"/>
      </w:pPr>
      <w:r>
        <w:separator/>
      </w:r>
    </w:p>
  </w:endnote>
  <w:endnote w:type="continuationSeparator" w:id="0">
    <w:p w:rsidR="00E975AF" w:rsidRDefault="00E975AF" w:rsidP="00B748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AF" w:rsidRDefault="00E975AF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AF" w:rsidRDefault="00E975AF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AF" w:rsidRDefault="00E975A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75AF" w:rsidRDefault="00E975AF" w:rsidP="00B7483B">
      <w:pPr>
        <w:spacing w:after="0" w:line="240" w:lineRule="auto"/>
      </w:pPr>
      <w:r>
        <w:separator/>
      </w:r>
    </w:p>
  </w:footnote>
  <w:footnote w:type="continuationSeparator" w:id="0">
    <w:p w:rsidR="00E975AF" w:rsidRDefault="00E975AF" w:rsidP="00B748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AF" w:rsidRDefault="00E975A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AF" w:rsidRDefault="00E975AF" w:rsidP="00B7483B">
    <w:pPr>
      <w:pStyle w:val="Header"/>
      <w:jc w:val="right"/>
    </w:pPr>
    <w:r>
      <w:rPr>
        <w:noProof/>
        <w:lang w:eastAsia="en-GB"/>
      </w:rPr>
      <w:drawing>
        <wp:inline distT="0" distB="0" distL="0" distR="0" wp14:anchorId="36FB91C9" wp14:editId="6C1497C5">
          <wp:extent cx="1816735" cy="572770"/>
          <wp:effectExtent l="0" t="0" r="0" b="0"/>
          <wp:docPr id="20" name="Picture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673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5AF" w:rsidRDefault="00E975A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F70EA"/>
    <w:multiLevelType w:val="hybridMultilevel"/>
    <w:tmpl w:val="1856DD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42106C"/>
    <w:multiLevelType w:val="hybridMultilevel"/>
    <w:tmpl w:val="56AC8494"/>
    <w:lvl w:ilvl="0" w:tplc="0809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2">
    <w:nsid w:val="69825C22"/>
    <w:multiLevelType w:val="hybridMultilevel"/>
    <w:tmpl w:val="A01AB4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revisionView w:markup="0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25C"/>
    <w:rsid w:val="000A6330"/>
    <w:rsid w:val="001257FF"/>
    <w:rsid w:val="001C0231"/>
    <w:rsid w:val="00201438"/>
    <w:rsid w:val="002A6FBF"/>
    <w:rsid w:val="002E2CC6"/>
    <w:rsid w:val="0030573E"/>
    <w:rsid w:val="00391D8E"/>
    <w:rsid w:val="003A1691"/>
    <w:rsid w:val="004F23B4"/>
    <w:rsid w:val="00570063"/>
    <w:rsid w:val="005775C0"/>
    <w:rsid w:val="0059240F"/>
    <w:rsid w:val="006233B7"/>
    <w:rsid w:val="00656C12"/>
    <w:rsid w:val="00767A3C"/>
    <w:rsid w:val="007A3525"/>
    <w:rsid w:val="007C07AA"/>
    <w:rsid w:val="007F7AC6"/>
    <w:rsid w:val="00843283"/>
    <w:rsid w:val="008B77C5"/>
    <w:rsid w:val="008D4DB3"/>
    <w:rsid w:val="008E1B1E"/>
    <w:rsid w:val="009054FA"/>
    <w:rsid w:val="00984E97"/>
    <w:rsid w:val="009C164A"/>
    <w:rsid w:val="009E461B"/>
    <w:rsid w:val="00A228FB"/>
    <w:rsid w:val="00A77528"/>
    <w:rsid w:val="00A91DEA"/>
    <w:rsid w:val="00AB1139"/>
    <w:rsid w:val="00B703D0"/>
    <w:rsid w:val="00B7483B"/>
    <w:rsid w:val="00BA4CC4"/>
    <w:rsid w:val="00BF6BB6"/>
    <w:rsid w:val="00C67009"/>
    <w:rsid w:val="00CD199D"/>
    <w:rsid w:val="00CE425C"/>
    <w:rsid w:val="00CF70DB"/>
    <w:rsid w:val="00E3586F"/>
    <w:rsid w:val="00E975AF"/>
    <w:rsid w:val="00F456DE"/>
    <w:rsid w:val="00F57FA5"/>
    <w:rsid w:val="00F655DE"/>
    <w:rsid w:val="00F74941"/>
    <w:rsid w:val="00FA02D2"/>
    <w:rsid w:val="00FD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4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83B"/>
  </w:style>
  <w:style w:type="paragraph" w:styleId="Footer">
    <w:name w:val="footer"/>
    <w:basedOn w:val="Normal"/>
    <w:link w:val="FooterChar"/>
    <w:uiPriority w:val="99"/>
    <w:unhideWhenUsed/>
    <w:rsid w:val="00B74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83B"/>
  </w:style>
  <w:style w:type="paragraph" w:styleId="ListParagraph">
    <w:name w:val="List Paragraph"/>
    <w:basedOn w:val="Normal"/>
    <w:uiPriority w:val="34"/>
    <w:qFormat/>
    <w:rsid w:val="00AB113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014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43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74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483B"/>
  </w:style>
  <w:style w:type="paragraph" w:styleId="Footer">
    <w:name w:val="footer"/>
    <w:basedOn w:val="Normal"/>
    <w:link w:val="FooterChar"/>
    <w:uiPriority w:val="99"/>
    <w:unhideWhenUsed/>
    <w:rsid w:val="00B7483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483B"/>
  </w:style>
  <w:style w:type="paragraph" w:styleId="ListParagraph">
    <w:name w:val="List Paragraph"/>
    <w:basedOn w:val="Normal"/>
    <w:uiPriority w:val="34"/>
    <w:qFormat/>
    <w:rsid w:val="00AB1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0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6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2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4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4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6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emf"/><Relationship Id="rId18" Type="http://schemas.openxmlformats.org/officeDocument/2006/relationships/chart" Target="charts/chart8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chart" Target="charts/chart11.xml"/><Relationship Id="rId34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17" Type="http://schemas.openxmlformats.org/officeDocument/2006/relationships/chart" Target="charts/chart7.xml"/><Relationship Id="rId25" Type="http://schemas.openxmlformats.org/officeDocument/2006/relationships/header" Target="header1.xml"/><Relationship Id="rId33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chart" Target="charts/chart6.xml"/><Relationship Id="rId20" Type="http://schemas.openxmlformats.org/officeDocument/2006/relationships/chart" Target="charts/chart10.xml"/><Relationship Id="rId29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24" Type="http://schemas.openxmlformats.org/officeDocument/2006/relationships/chart" Target="charts/chart14.xml"/><Relationship Id="rId32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chart" Target="charts/chart5.xml"/><Relationship Id="rId23" Type="http://schemas.openxmlformats.org/officeDocument/2006/relationships/chart" Target="charts/chart13.xml"/><Relationship Id="rId28" Type="http://schemas.openxmlformats.org/officeDocument/2006/relationships/footer" Target="footer2.xml"/><Relationship Id="rId36" Type="http://schemas.openxmlformats.org/officeDocument/2006/relationships/customXml" Target="../customXml/item5.xml"/><Relationship Id="rId10" Type="http://schemas.openxmlformats.org/officeDocument/2006/relationships/chart" Target="charts/chart1.xml"/><Relationship Id="rId19" Type="http://schemas.openxmlformats.org/officeDocument/2006/relationships/chart" Target="charts/chart9.xml"/><Relationship Id="rId3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chart" Target="charts/chart4.xml"/><Relationship Id="rId22" Type="http://schemas.openxmlformats.org/officeDocument/2006/relationships/chart" Target="charts/chart12.xml"/><Relationship Id="rId27" Type="http://schemas.openxmlformats.org/officeDocument/2006/relationships/footer" Target="footer1.xml"/><Relationship Id="rId30" Type="http://schemas.openxmlformats.org/officeDocument/2006/relationships/footer" Target="footer3.xml"/><Relationship Id="rId8" Type="http://schemas.openxmlformats.org/officeDocument/2006/relationships/endnotes" Target="endnot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wornell\AppData\Local\Microsoft\Windows\Temporary%20Internet%20Files\Content.Outlook\32WRC0TO\Total%20reconciliations%20for%20WPD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dwornell\AppData\Local\Microsoft\Windows\Temporary%20Internet%20Files\Content.Outlook\32WRC0TO\Total%20reconciliations%20for%20WPD.xlsx" TargetMode="Externa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\\FFYDCS01\REVMOD\P&amp;S\REG\LOSS\GVC\Final%20Submission%20July%202013\Submission%20Documents\23%20september%20Submission%20to%20OFGEM\Total%20reconciliations%20for%20WPD%202111201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 b="0" i="0" baseline="0"/>
              <a:t>Total reconciliatios across 11 DNOs applying for restatement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5234998206625411"/>
          <c:y val="0.18704870224555267"/>
          <c:w val="0.8168529152863635"/>
          <c:h val="0.6857250656167979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'total reconciliations'!$N$4</c:f>
              <c:strCache>
                <c:ptCount val="1"/>
                <c:pt idx="0">
                  <c:v>TOTAL</c:v>
                </c:pt>
              </c:strCache>
            </c:strRef>
          </c:tx>
          <c:invertIfNegative val="0"/>
          <c:cat>
            <c:strRef>
              <c:f>'total reconciliations'!$B$5:$B$9</c:f>
              <c:strCache>
                <c:ptCount val="5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</c:strCache>
            </c:strRef>
          </c:cat>
          <c:val>
            <c:numRef>
              <c:f>'total reconciliations'!$N$5:$N$9</c:f>
              <c:numCache>
                <c:formatCode>0.0</c:formatCode>
                <c:ptCount val="5"/>
                <c:pt idx="0">
                  <c:v>1200.9100286487142</c:v>
                </c:pt>
                <c:pt idx="1">
                  <c:v>-693.82066499999553</c:v>
                </c:pt>
                <c:pt idx="2">
                  <c:v>-779.18540599999994</c:v>
                </c:pt>
                <c:pt idx="3">
                  <c:v>-1551.2573940120251</c:v>
                </c:pt>
                <c:pt idx="4">
                  <c:v>-4186.6182998264348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3095680"/>
        <c:axId val="143097216"/>
      </c:barChart>
      <c:catAx>
        <c:axId val="14309568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143097216"/>
        <c:crosses val="autoZero"/>
        <c:auto val="1"/>
        <c:lblAlgn val="ctr"/>
        <c:lblOffset val="100"/>
        <c:noMultiLvlLbl val="0"/>
      </c:catAx>
      <c:valAx>
        <c:axId val="143097216"/>
        <c:scaling>
          <c:orientation val="minMax"/>
        </c:scaling>
        <c:delete val="0"/>
        <c:axPos val="l"/>
        <c:majorGridlines/>
        <c:title>
          <c:tx>
            <c:rich>
              <a:bodyPr rot="0" vert="horz"/>
              <a:lstStyle/>
              <a:p>
                <a:pPr>
                  <a:defRPr/>
                </a:pPr>
                <a:r>
                  <a:rPr lang="en-US"/>
                  <a:t>GWh</a:t>
                </a:r>
              </a:p>
            </c:rich>
          </c:tx>
          <c:layout>
            <c:manualLayout>
              <c:xMode val="edge"/>
              <c:yMode val="edge"/>
              <c:x val="0"/>
              <c:y val="0.3511956838728492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crossAx val="14309568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(7)'!$C$3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(7)'!$B$4:$B$11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(7)'!$C$4:$C$11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(7)'!$D$3</c:f>
              <c:strCache>
                <c:ptCount val="1"/>
                <c:pt idx="0">
                  <c:v>EPN</c:v>
                </c:pt>
              </c:strCache>
            </c:strRef>
          </c:tx>
          <c:invertIfNegative val="0"/>
          <c:cat>
            <c:strRef>
              <c:f>'Sheet1 (7)'!$B$4:$B$11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(7)'!$D$4:$D$11</c:f>
              <c:numCache>
                <c:formatCode>0.0</c:formatCode>
                <c:ptCount val="8"/>
                <c:pt idx="0">
                  <c:v>145.92368000000033</c:v>
                </c:pt>
                <c:pt idx="1">
                  <c:v>-239.94421299999999</c:v>
                </c:pt>
                <c:pt idx="2">
                  <c:v>-27.238080999999966</c:v>
                </c:pt>
                <c:pt idx="3">
                  <c:v>-164.68987718105086</c:v>
                </c:pt>
                <c:pt idx="4">
                  <c:v>-1177.4810627523827</c:v>
                </c:pt>
                <c:pt idx="5">
                  <c:v>-837.47039966620378</c:v>
                </c:pt>
                <c:pt idx="6">
                  <c:v>-494.58649545074104</c:v>
                </c:pt>
                <c:pt idx="7">
                  <c:v>-397.3520580000004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51055488"/>
        <c:axId val="302384256"/>
      </c:barChart>
      <c:catAx>
        <c:axId val="251055488"/>
        <c:scaling>
          <c:orientation val="minMax"/>
        </c:scaling>
        <c:delete val="0"/>
        <c:axPos val="b"/>
        <c:majorTickMark val="out"/>
        <c:minorTickMark val="none"/>
        <c:tickLblPos val="nextTo"/>
        <c:crossAx val="302384256"/>
        <c:crosses val="autoZero"/>
        <c:auto val="1"/>
        <c:lblAlgn val="ctr"/>
        <c:lblOffset val="100"/>
        <c:noMultiLvlLbl val="0"/>
      </c:catAx>
      <c:valAx>
        <c:axId val="302384256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25105548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(8)'!$C$3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(8)'!$B$4:$B$11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(8)'!$C$4:$C$11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(8)'!$D$3</c:f>
              <c:strCache>
                <c:ptCount val="1"/>
                <c:pt idx="0">
                  <c:v>LPN</c:v>
                </c:pt>
              </c:strCache>
            </c:strRef>
          </c:tx>
          <c:invertIfNegative val="0"/>
          <c:cat>
            <c:strRef>
              <c:f>'Sheet1 (8)'!$B$4:$B$11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(8)'!$D$4:$D$11</c:f>
              <c:numCache>
                <c:formatCode>0.0</c:formatCode>
                <c:ptCount val="8"/>
                <c:pt idx="0">
                  <c:v>141.56827199999998</c:v>
                </c:pt>
                <c:pt idx="1">
                  <c:v>136.14612800000066</c:v>
                </c:pt>
                <c:pt idx="2">
                  <c:v>127.29955200000006</c:v>
                </c:pt>
                <c:pt idx="3">
                  <c:v>-12.738509849711818</c:v>
                </c:pt>
                <c:pt idx="4">
                  <c:v>-192.15057768865381</c:v>
                </c:pt>
                <c:pt idx="5">
                  <c:v>-113.33542024674318</c:v>
                </c:pt>
                <c:pt idx="6">
                  <c:v>-370.07122332827089</c:v>
                </c:pt>
                <c:pt idx="7">
                  <c:v>-282.59789900000021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2401408"/>
        <c:axId val="302402944"/>
      </c:barChart>
      <c:catAx>
        <c:axId val="302401408"/>
        <c:scaling>
          <c:orientation val="minMax"/>
        </c:scaling>
        <c:delete val="0"/>
        <c:axPos val="b"/>
        <c:majorTickMark val="out"/>
        <c:minorTickMark val="none"/>
        <c:tickLblPos val="nextTo"/>
        <c:crossAx val="302402944"/>
        <c:crosses val="autoZero"/>
        <c:auto val="1"/>
        <c:lblAlgn val="ctr"/>
        <c:lblOffset val="100"/>
        <c:noMultiLvlLbl val="0"/>
      </c:catAx>
      <c:valAx>
        <c:axId val="30240294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3024014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(9)'!$C$3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(9)'!$B$4:$B$11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(9)'!$C$4:$C$11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(9)'!$D$3</c:f>
              <c:strCache>
                <c:ptCount val="1"/>
                <c:pt idx="0">
                  <c:v>SPN</c:v>
                </c:pt>
              </c:strCache>
            </c:strRef>
          </c:tx>
          <c:invertIfNegative val="0"/>
          <c:cat>
            <c:strRef>
              <c:f>'Sheet1 (9)'!$B$4:$B$11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(9)'!$D$4:$D$11</c:f>
              <c:numCache>
                <c:formatCode>0.0</c:formatCode>
                <c:ptCount val="8"/>
                <c:pt idx="0">
                  <c:v>271.69746100000009</c:v>
                </c:pt>
                <c:pt idx="1">
                  <c:v>78.656157000000462</c:v>
                </c:pt>
                <c:pt idx="2">
                  <c:v>14.65543899999966</c:v>
                </c:pt>
                <c:pt idx="3">
                  <c:v>56.28369204588148</c:v>
                </c:pt>
                <c:pt idx="4">
                  <c:v>-121.07644941215824</c:v>
                </c:pt>
                <c:pt idx="5">
                  <c:v>-189.431921930626</c:v>
                </c:pt>
                <c:pt idx="6">
                  <c:v>-362.09013375358563</c:v>
                </c:pt>
                <c:pt idx="7">
                  <c:v>-230.89338899999984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2412544"/>
        <c:axId val="302414080"/>
      </c:barChart>
      <c:catAx>
        <c:axId val="302412544"/>
        <c:scaling>
          <c:orientation val="minMax"/>
        </c:scaling>
        <c:delete val="0"/>
        <c:axPos val="b"/>
        <c:majorTickMark val="out"/>
        <c:minorTickMark val="none"/>
        <c:tickLblPos val="nextTo"/>
        <c:crossAx val="302414080"/>
        <c:crosses val="autoZero"/>
        <c:auto val="1"/>
        <c:lblAlgn val="ctr"/>
        <c:lblOffset val="100"/>
        <c:noMultiLvlLbl val="0"/>
      </c:catAx>
      <c:valAx>
        <c:axId val="302414080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30241254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(10)'!$C$3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(10)'!$B$4:$B$11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(10)'!$C$4:$C$11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(10)'!$D$3</c:f>
              <c:strCache>
                <c:ptCount val="1"/>
                <c:pt idx="0">
                  <c:v>SPM</c:v>
                </c:pt>
              </c:strCache>
            </c:strRef>
          </c:tx>
          <c:invertIfNegative val="0"/>
          <c:cat>
            <c:strRef>
              <c:f>'Sheet1 (10)'!$B$4:$B$11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(10)'!$D$4:$D$11</c:f>
              <c:numCache>
                <c:formatCode>0.0</c:formatCode>
                <c:ptCount val="8"/>
                <c:pt idx="0">
                  <c:v>-28.322999999999979</c:v>
                </c:pt>
                <c:pt idx="1">
                  <c:v>-68.658999999999878</c:v>
                </c:pt>
                <c:pt idx="2">
                  <c:v>-56.902000000000044</c:v>
                </c:pt>
                <c:pt idx="3">
                  <c:v>-234.03655746763741</c:v>
                </c:pt>
                <c:pt idx="4">
                  <c:v>-292.12838210660107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2422656"/>
        <c:axId val="302440832"/>
      </c:barChart>
      <c:catAx>
        <c:axId val="302422656"/>
        <c:scaling>
          <c:orientation val="minMax"/>
        </c:scaling>
        <c:delete val="0"/>
        <c:axPos val="b"/>
        <c:majorTickMark val="out"/>
        <c:minorTickMark val="none"/>
        <c:tickLblPos val="nextTo"/>
        <c:crossAx val="302440832"/>
        <c:crosses val="autoZero"/>
        <c:auto val="1"/>
        <c:lblAlgn val="ctr"/>
        <c:lblOffset val="100"/>
        <c:noMultiLvlLbl val="0"/>
      </c:catAx>
      <c:valAx>
        <c:axId val="302440832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30242265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(2)'!$C$3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(2)'!$B$4:$B$11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(2)'!$C$4:$C$11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(2)'!$D$3</c:f>
              <c:strCache>
                <c:ptCount val="1"/>
                <c:pt idx="0">
                  <c:v>SPD</c:v>
                </c:pt>
              </c:strCache>
            </c:strRef>
          </c:tx>
          <c:invertIfNegative val="0"/>
          <c:cat>
            <c:strRef>
              <c:f>'Sheet1 (2)'!$B$4:$B$11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(2)'!$D$4:$D$11</c:f>
              <c:numCache>
                <c:formatCode>0.0</c:formatCode>
                <c:ptCount val="8"/>
                <c:pt idx="0">
                  <c:v>-222.49000000000035</c:v>
                </c:pt>
                <c:pt idx="1">
                  <c:v>-159.38999999999987</c:v>
                </c:pt>
                <c:pt idx="2">
                  <c:v>-90.854000000000042</c:v>
                </c:pt>
                <c:pt idx="3">
                  <c:v>-302.94538084134331</c:v>
                </c:pt>
                <c:pt idx="4">
                  <c:v>-414.14691372087532</c:v>
                </c:pt>
                <c:pt idx="5">
                  <c:v>0</c:v>
                </c:pt>
                <c:pt idx="6">
                  <c:v>0</c:v>
                </c:pt>
                <c:pt idx="7">
                  <c:v>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02723840"/>
        <c:axId val="302725376"/>
      </c:barChart>
      <c:catAx>
        <c:axId val="302723840"/>
        <c:scaling>
          <c:orientation val="minMax"/>
        </c:scaling>
        <c:delete val="0"/>
        <c:axPos val="b"/>
        <c:majorTickMark val="out"/>
        <c:minorTickMark val="none"/>
        <c:tickLblPos val="nextTo"/>
        <c:crossAx val="302725376"/>
        <c:crosses val="autoZero"/>
        <c:auto val="1"/>
        <c:lblAlgn val="ctr"/>
        <c:lblOffset val="100"/>
        <c:noMultiLvlLbl val="0"/>
      </c:catAx>
      <c:valAx>
        <c:axId val="302725376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30272384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'total reconciliations'!$R$4</c:f>
              <c:strCache>
                <c:ptCount val="1"/>
                <c:pt idx="0">
                  <c:v>East Midlands</c:v>
                </c:pt>
              </c:strCache>
            </c:strRef>
          </c:tx>
          <c:invertIfNegative val="0"/>
          <c:cat>
            <c:strRef>
              <c:f>'total reconciliations'!$P$5:$P$12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'total reconciliations'!$R$5:$R$12</c:f>
              <c:numCache>
                <c:formatCode>0.0</c:formatCode>
                <c:ptCount val="8"/>
                <c:pt idx="0">
                  <c:v>78.777054648714966</c:v>
                </c:pt>
                <c:pt idx="1">
                  <c:v>-167.77797599999883</c:v>
                </c:pt>
                <c:pt idx="2">
                  <c:v>-308.03860999999972</c:v>
                </c:pt>
                <c:pt idx="3">
                  <c:v>-323.10175139723424</c:v>
                </c:pt>
                <c:pt idx="4">
                  <c:v>-391.24679100954791</c:v>
                </c:pt>
                <c:pt idx="5">
                  <c:v>-269.51997740142292</c:v>
                </c:pt>
                <c:pt idx="6">
                  <c:v>-283.59227060331341</c:v>
                </c:pt>
                <c:pt idx="7">
                  <c:v>-236.19016400000089</c:v>
                </c:pt>
              </c:numCache>
            </c:numRef>
          </c:val>
        </c:ser>
        <c:ser>
          <c:idx val="1"/>
          <c:order val="1"/>
          <c:tx>
            <c:strRef>
              <c:f>'total reconciliations'!$Q$4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'total reconciliations'!$P$5:$P$12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'total reconciliations'!$Q$5:$Q$12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48558592"/>
        <c:axId val="153891200"/>
      </c:barChart>
      <c:catAx>
        <c:axId val="148558592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5400000" vert="horz"/>
          <a:lstStyle/>
          <a:p>
            <a:pPr>
              <a:defRPr/>
            </a:pPr>
            <a:endParaRPr lang="en-US"/>
          </a:p>
        </c:txPr>
        <c:crossAx val="153891200"/>
        <c:crosses val="autoZero"/>
        <c:auto val="1"/>
        <c:lblAlgn val="ctr"/>
        <c:lblOffset val="100"/>
        <c:noMultiLvlLbl val="0"/>
      </c:catAx>
      <c:valAx>
        <c:axId val="153891200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4855859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'total reconciliations'!$Q$14</c:f>
              <c:strCache>
                <c:ptCount val="1"/>
                <c:pt idx="0">
                  <c:v>Average of the DNOs Excluding WPD Mid East</c:v>
                </c:pt>
              </c:strCache>
            </c:strRef>
          </c:tx>
          <c:invertIfNegative val="0"/>
          <c:cat>
            <c:strRef>
              <c:f>'total reconciliations'!$P$15:$P$22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'total reconciliations'!$Q$15:$Q$22</c:f>
              <c:numCache>
                <c:formatCode>0.0</c:formatCode>
                <c:ptCount val="8"/>
                <c:pt idx="0">
                  <c:v>112.21329739999992</c:v>
                </c:pt>
                <c:pt idx="1">
                  <c:v>-52.604268899999667</c:v>
                </c:pt>
                <c:pt idx="2">
                  <c:v>-47.114679600000024</c:v>
                </c:pt>
                <c:pt idx="3">
                  <c:v>-122.81556426147908</c:v>
                </c:pt>
                <c:pt idx="4">
                  <c:v>-379.53715088168872</c:v>
                </c:pt>
                <c:pt idx="5">
                  <c:v>-204.34924049900698</c:v>
                </c:pt>
                <c:pt idx="6">
                  <c:v>-220.201195199914</c:v>
                </c:pt>
                <c:pt idx="7">
                  <c:v>-169.56595210000015</c:v>
                </c:pt>
              </c:numCache>
            </c:numRef>
          </c:val>
        </c:ser>
        <c:ser>
          <c:idx val="1"/>
          <c:order val="1"/>
          <c:tx>
            <c:strRef>
              <c:f>'total reconciliations'!$R$14</c:f>
              <c:strCache>
                <c:ptCount val="1"/>
                <c:pt idx="0">
                  <c:v>East Midlands</c:v>
                </c:pt>
              </c:strCache>
            </c:strRef>
          </c:tx>
          <c:invertIfNegative val="0"/>
          <c:cat>
            <c:strRef>
              <c:f>'total reconciliations'!$P$15:$P$22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'total reconciliations'!$R$15:$R$22</c:f>
              <c:numCache>
                <c:formatCode>0.0</c:formatCode>
                <c:ptCount val="8"/>
                <c:pt idx="0">
                  <c:v>78.777054648714966</c:v>
                </c:pt>
                <c:pt idx="1">
                  <c:v>-167.77797599999883</c:v>
                </c:pt>
                <c:pt idx="2">
                  <c:v>-308.03860999999972</c:v>
                </c:pt>
                <c:pt idx="3">
                  <c:v>-323.10175139723424</c:v>
                </c:pt>
                <c:pt idx="4">
                  <c:v>-391.24679100954791</c:v>
                </c:pt>
                <c:pt idx="5">
                  <c:v>-269.51997740142292</c:v>
                </c:pt>
                <c:pt idx="6">
                  <c:v>-283.59227060331341</c:v>
                </c:pt>
                <c:pt idx="7">
                  <c:v>-236.19016400000089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175360"/>
        <c:axId val="155070464"/>
      </c:barChart>
      <c:catAx>
        <c:axId val="15417536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5400000" vert="horz"/>
          <a:lstStyle/>
          <a:p>
            <a:pPr>
              <a:defRPr/>
            </a:pPr>
            <a:endParaRPr lang="en-US"/>
          </a:p>
        </c:txPr>
        <c:crossAx val="155070464"/>
        <c:crosses val="autoZero"/>
        <c:auto val="1"/>
        <c:lblAlgn val="ctr"/>
        <c:lblOffset val="100"/>
        <c:noMultiLvlLbl val="0"/>
      </c:catAx>
      <c:valAx>
        <c:axId val="15507046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541753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Sheet2!$B$12</c:f>
              <c:strCache>
                <c:ptCount val="1"/>
                <c:pt idx="0">
                  <c:v>Losses As % Of Sales</c:v>
                </c:pt>
              </c:strCache>
            </c:strRef>
          </c:tx>
          <c:marker>
            <c:symbol val="none"/>
          </c:marker>
          <c:cat>
            <c:strRef>
              <c:f>Sheet2!$C$11:$O$11</c:f>
              <c:strCache>
                <c:ptCount val="13"/>
                <c:pt idx="0">
                  <c:v>Apr 05 to Mar 07</c:v>
                </c:pt>
                <c:pt idx="1">
                  <c:v>May 05 to Apr 07</c:v>
                </c:pt>
                <c:pt idx="2">
                  <c:v>Jun 05 to May 07</c:v>
                </c:pt>
                <c:pt idx="3">
                  <c:v>Jul 05 to Jun 07</c:v>
                </c:pt>
                <c:pt idx="4">
                  <c:v>Aug 05 to Jul 07</c:v>
                </c:pt>
                <c:pt idx="5">
                  <c:v>Sep 05 to Aug 07</c:v>
                </c:pt>
                <c:pt idx="6">
                  <c:v>Oct 05 to Sep 07</c:v>
                </c:pt>
                <c:pt idx="7">
                  <c:v>Nov 05 to Oct 07</c:v>
                </c:pt>
                <c:pt idx="8">
                  <c:v>Dec 05 to Nov 07</c:v>
                </c:pt>
                <c:pt idx="9">
                  <c:v>Jan 06 to Dec 07</c:v>
                </c:pt>
                <c:pt idx="10">
                  <c:v>Feb 06 to Jan 08</c:v>
                </c:pt>
                <c:pt idx="11">
                  <c:v>Mar 06 to Feb 08</c:v>
                </c:pt>
                <c:pt idx="12">
                  <c:v>Apr 06 to Mar 08</c:v>
                </c:pt>
              </c:strCache>
            </c:strRef>
          </c:cat>
          <c:val>
            <c:numRef>
              <c:f>Sheet2!$C$12:$O$12</c:f>
              <c:numCache>
                <c:formatCode>0%</c:formatCode>
                <c:ptCount val="13"/>
                <c:pt idx="0">
                  <c:v>4.5242788630562331E-2</c:v>
                </c:pt>
                <c:pt idx="1">
                  <c:v>4.4782068264109874E-2</c:v>
                </c:pt>
                <c:pt idx="2">
                  <c:v>4.6818595511015498E-2</c:v>
                </c:pt>
                <c:pt idx="3">
                  <c:v>4.8759144599871837E-2</c:v>
                </c:pt>
                <c:pt idx="4">
                  <c:v>5.1300413027142056E-2</c:v>
                </c:pt>
                <c:pt idx="5">
                  <c:v>5.2029363314547869E-2</c:v>
                </c:pt>
                <c:pt idx="6">
                  <c:v>5.2728777599721506E-2</c:v>
                </c:pt>
                <c:pt idx="7">
                  <c:v>5.4211526860773733E-2</c:v>
                </c:pt>
                <c:pt idx="8">
                  <c:v>5.5264671292457143E-2</c:v>
                </c:pt>
                <c:pt idx="9">
                  <c:v>5.6133419315142576E-2</c:v>
                </c:pt>
                <c:pt idx="10">
                  <c:v>5.716511691972663E-2</c:v>
                </c:pt>
                <c:pt idx="11">
                  <c:v>5.8928678720980746E-2</c:v>
                </c:pt>
                <c:pt idx="12">
                  <c:v>5.9110295805559453E-2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Sheet2!$B$13</c:f>
              <c:strCache>
                <c:ptCount val="1"/>
                <c:pt idx="0">
                  <c:v>WPD Mid East Target</c:v>
                </c:pt>
              </c:strCache>
            </c:strRef>
          </c:tx>
          <c:marker>
            <c:symbol val="none"/>
          </c:marker>
          <c:cat>
            <c:strRef>
              <c:f>Sheet2!$C$11:$O$11</c:f>
              <c:strCache>
                <c:ptCount val="13"/>
                <c:pt idx="0">
                  <c:v>Apr 05 to Mar 07</c:v>
                </c:pt>
                <c:pt idx="1">
                  <c:v>May 05 to Apr 07</c:v>
                </c:pt>
                <c:pt idx="2">
                  <c:v>Jun 05 to May 07</c:v>
                </c:pt>
                <c:pt idx="3">
                  <c:v>Jul 05 to Jun 07</c:v>
                </c:pt>
                <c:pt idx="4">
                  <c:v>Aug 05 to Jul 07</c:v>
                </c:pt>
                <c:pt idx="5">
                  <c:v>Sep 05 to Aug 07</c:v>
                </c:pt>
                <c:pt idx="6">
                  <c:v>Oct 05 to Sep 07</c:v>
                </c:pt>
                <c:pt idx="7">
                  <c:v>Nov 05 to Oct 07</c:v>
                </c:pt>
                <c:pt idx="8">
                  <c:v>Dec 05 to Nov 07</c:v>
                </c:pt>
                <c:pt idx="9">
                  <c:v>Jan 06 to Dec 07</c:v>
                </c:pt>
                <c:pt idx="10">
                  <c:v>Feb 06 to Jan 08</c:v>
                </c:pt>
                <c:pt idx="11">
                  <c:v>Mar 06 to Feb 08</c:v>
                </c:pt>
                <c:pt idx="12">
                  <c:v>Apr 06 to Mar 08</c:v>
                </c:pt>
              </c:strCache>
            </c:strRef>
          </c:cat>
          <c:val>
            <c:numRef>
              <c:f>Sheet2!$C$13:$O$13</c:f>
              <c:numCache>
                <c:formatCode>0%</c:formatCode>
                <c:ptCount val="13"/>
                <c:pt idx="0">
                  <c:v>5.6899999999999999E-2</c:v>
                </c:pt>
                <c:pt idx="1">
                  <c:v>5.6899999999999999E-2</c:v>
                </c:pt>
                <c:pt idx="2">
                  <c:v>5.6899999999999999E-2</c:v>
                </c:pt>
                <c:pt idx="3">
                  <c:v>5.6899999999999999E-2</c:v>
                </c:pt>
                <c:pt idx="4">
                  <c:v>5.6899999999999999E-2</c:v>
                </c:pt>
                <c:pt idx="5">
                  <c:v>5.6899999999999999E-2</c:v>
                </c:pt>
                <c:pt idx="6">
                  <c:v>5.6899999999999999E-2</c:v>
                </c:pt>
                <c:pt idx="7">
                  <c:v>5.6899999999999999E-2</c:v>
                </c:pt>
                <c:pt idx="8">
                  <c:v>5.6899999999999999E-2</c:v>
                </c:pt>
                <c:pt idx="9">
                  <c:v>5.6899999999999999E-2</c:v>
                </c:pt>
                <c:pt idx="10">
                  <c:v>5.6899999999999999E-2</c:v>
                </c:pt>
                <c:pt idx="11">
                  <c:v>5.6899999999999999E-2</c:v>
                </c:pt>
                <c:pt idx="12">
                  <c:v>5.6899999999999999E-2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51551744"/>
        <c:axId val="277925248"/>
      </c:lineChart>
      <c:catAx>
        <c:axId val="25155174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-5400000" vert="horz"/>
          <a:lstStyle/>
          <a:p>
            <a:pPr>
              <a:defRPr/>
            </a:pPr>
            <a:endParaRPr lang="en-US"/>
          </a:p>
        </c:txPr>
        <c:crossAx val="277925248"/>
        <c:crosses val="autoZero"/>
        <c:auto val="1"/>
        <c:lblAlgn val="ctr"/>
        <c:lblOffset val="100"/>
        <c:noMultiLvlLbl val="0"/>
      </c:catAx>
      <c:valAx>
        <c:axId val="277925248"/>
        <c:scaling>
          <c:orientation val="minMax"/>
          <c:max val="6.0000000000000012E-2"/>
          <c:min val="4.0000000000000008E-2"/>
        </c:scaling>
        <c:delete val="0"/>
        <c:axPos val="l"/>
        <c:majorGridlines/>
        <c:numFmt formatCode="0.0%" sourceLinked="0"/>
        <c:majorTickMark val="out"/>
        <c:minorTickMark val="none"/>
        <c:tickLblPos val="nextTo"/>
        <c:crossAx val="251551744"/>
        <c:crosses val="autoZero"/>
        <c:crossBetween val="between"/>
      </c:valAx>
    </c:plotArea>
    <c:legend>
      <c:legendPos val="b"/>
      <c:overlay val="0"/>
    </c:legend>
    <c:plotVisOnly val="1"/>
    <c:dispBlanksAs val="gap"/>
    <c:showDLblsOverMax val="0"/>
  </c:chart>
  <c:externalData r:id="rId1">
    <c:autoUpdate val="0"/>
  </c:externalData>
  <c:userShapes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Sheet1!$B$4:$B$11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Sheet1!$C$4:$C$11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Sheet1!$D$3</c:f>
              <c:strCache>
                <c:ptCount val="1"/>
                <c:pt idx="0">
                  <c:v>NPgN</c:v>
                </c:pt>
              </c:strCache>
            </c:strRef>
          </c:tx>
          <c:invertIfNegative val="0"/>
          <c:cat>
            <c:strRef>
              <c:f>Sheet1!$B$4:$B$11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Sheet1!$D$4:$D$11</c:f>
              <c:numCache>
                <c:formatCode>0.0</c:formatCode>
                <c:ptCount val="8"/>
                <c:pt idx="0">
                  <c:v>6.0101489999996147</c:v>
                </c:pt>
                <c:pt idx="1">
                  <c:v>-65.774069999999824</c:v>
                </c:pt>
                <c:pt idx="2">
                  <c:v>-108.94634099999996</c:v>
                </c:pt>
                <c:pt idx="3">
                  <c:v>-117.3097153850905</c:v>
                </c:pt>
                <c:pt idx="4">
                  <c:v>-294.98219057245774</c:v>
                </c:pt>
                <c:pt idx="5">
                  <c:v>-147.20671335609956</c:v>
                </c:pt>
                <c:pt idx="6">
                  <c:v>-165.1901837687567</c:v>
                </c:pt>
                <c:pt idx="7">
                  <c:v>-76.858203000000003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4907776"/>
        <c:axId val="154909312"/>
      </c:barChart>
      <c:catAx>
        <c:axId val="154907776"/>
        <c:scaling>
          <c:orientation val="minMax"/>
        </c:scaling>
        <c:delete val="0"/>
        <c:axPos val="b"/>
        <c:majorTickMark val="out"/>
        <c:minorTickMark val="none"/>
        <c:tickLblPos val="nextTo"/>
        <c:crossAx val="154909312"/>
        <c:crosses val="autoZero"/>
        <c:auto val="1"/>
        <c:lblAlgn val="ctr"/>
        <c:lblOffset val="100"/>
        <c:noMultiLvlLbl val="0"/>
      </c:catAx>
      <c:valAx>
        <c:axId val="154909312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5490777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(3)'!$C$3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(3)'!$B$4:$B$11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(3)'!$C$4:$C$11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(3)'!$D$3</c:f>
              <c:strCache>
                <c:ptCount val="1"/>
                <c:pt idx="0">
                  <c:v>NPgY</c:v>
                </c:pt>
              </c:strCache>
            </c:strRef>
          </c:tx>
          <c:invertIfNegative val="0"/>
          <c:cat>
            <c:strRef>
              <c:f>'Sheet1 (3)'!$B$4:$B$11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(3)'!$D$4:$D$11</c:f>
              <c:numCache>
                <c:formatCode>0.0</c:formatCode>
                <c:ptCount val="8"/>
                <c:pt idx="0">
                  <c:v>550.36092299999973</c:v>
                </c:pt>
                <c:pt idx="1">
                  <c:v>24.184160000000361</c:v>
                </c:pt>
                <c:pt idx="2">
                  <c:v>-169.13250099999971</c:v>
                </c:pt>
                <c:pt idx="3">
                  <c:v>-127.19998833861337</c:v>
                </c:pt>
                <c:pt idx="4">
                  <c:v>-496.77941713563268</c:v>
                </c:pt>
                <c:pt idx="5">
                  <c:v>-276.85187017012117</c:v>
                </c:pt>
                <c:pt idx="6">
                  <c:v>-166.0690938385834</c:v>
                </c:pt>
                <c:pt idx="7">
                  <c:v>-172.4796070000001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082112"/>
        <c:axId val="155083904"/>
      </c:barChart>
      <c:catAx>
        <c:axId val="155082112"/>
        <c:scaling>
          <c:orientation val="minMax"/>
        </c:scaling>
        <c:delete val="0"/>
        <c:axPos val="b"/>
        <c:majorTickMark val="out"/>
        <c:minorTickMark val="none"/>
        <c:tickLblPos val="nextTo"/>
        <c:crossAx val="155083904"/>
        <c:crosses val="autoZero"/>
        <c:auto val="1"/>
        <c:lblAlgn val="ctr"/>
        <c:lblOffset val="100"/>
        <c:noMultiLvlLbl val="0"/>
      </c:catAx>
      <c:valAx>
        <c:axId val="15508390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55082112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(4)'!$C$3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(4)'!$B$4:$B$11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(4)'!$C$4:$C$11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(4)'!$D$3</c:f>
              <c:strCache>
                <c:ptCount val="1"/>
                <c:pt idx="0">
                  <c:v>WMID</c:v>
                </c:pt>
              </c:strCache>
            </c:strRef>
          </c:tx>
          <c:invertIfNegative val="0"/>
          <c:cat>
            <c:strRef>
              <c:f>'Sheet1 (4)'!$B$4:$B$11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(4)'!$D$4:$D$11</c:f>
              <c:numCache>
                <c:formatCode>0.0</c:formatCode>
                <c:ptCount val="8"/>
                <c:pt idx="0">
                  <c:v>174.59143800000049</c:v>
                </c:pt>
                <c:pt idx="1">
                  <c:v>-104.52758000000028</c:v>
                </c:pt>
                <c:pt idx="2">
                  <c:v>-131.6154300000004</c:v>
                </c:pt>
                <c:pt idx="3">
                  <c:v>-117.35653630878414</c:v>
                </c:pt>
                <c:pt idx="4">
                  <c:v>-236.21421054604002</c:v>
                </c:pt>
                <c:pt idx="5">
                  <c:v>-113.76794094908007</c:v>
                </c:pt>
                <c:pt idx="6">
                  <c:v>-243.06953674694591</c:v>
                </c:pt>
                <c:pt idx="7">
                  <c:v>-255.56705300000044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112960"/>
        <c:axId val="155114496"/>
      </c:barChart>
      <c:catAx>
        <c:axId val="155112960"/>
        <c:scaling>
          <c:orientation val="minMax"/>
        </c:scaling>
        <c:delete val="0"/>
        <c:axPos val="b"/>
        <c:majorTickMark val="out"/>
        <c:minorTickMark val="none"/>
        <c:tickLblPos val="nextTo"/>
        <c:crossAx val="155114496"/>
        <c:crosses val="autoZero"/>
        <c:auto val="1"/>
        <c:lblAlgn val="ctr"/>
        <c:lblOffset val="100"/>
        <c:noMultiLvlLbl val="0"/>
      </c:catAx>
      <c:valAx>
        <c:axId val="155114496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55112960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(5)'!$C$3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(5)'!$B$4:$B$11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(5)'!$C$4:$C$11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(5)'!$D$3</c:f>
              <c:strCache>
                <c:ptCount val="1"/>
                <c:pt idx="0">
                  <c:v>SWEST</c:v>
                </c:pt>
              </c:strCache>
            </c:strRef>
          </c:tx>
          <c:invertIfNegative val="0"/>
          <c:cat>
            <c:strRef>
              <c:f>'Sheet1 (5)'!$B$4:$B$11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(5)'!$D$4:$D$11</c:f>
              <c:numCache>
                <c:formatCode>0.0</c:formatCode>
                <c:ptCount val="8"/>
                <c:pt idx="0">
                  <c:v>74.00307299999929</c:v>
                </c:pt>
                <c:pt idx="1">
                  <c:v>-54.484280999998191</c:v>
                </c:pt>
                <c:pt idx="2">
                  <c:v>-87.941234999999551</c:v>
                </c:pt>
                <c:pt idx="3">
                  <c:v>-75.582437238175203</c:v>
                </c:pt>
                <c:pt idx="4">
                  <c:v>-227.58827631231202</c:v>
                </c:pt>
                <c:pt idx="5">
                  <c:v>-122.45342977025075</c:v>
                </c:pt>
                <c:pt idx="6">
                  <c:v>-202.93819255337132</c:v>
                </c:pt>
                <c:pt idx="7">
                  <c:v>-119.56904700000041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55885568"/>
        <c:axId val="155887104"/>
      </c:barChart>
      <c:catAx>
        <c:axId val="155885568"/>
        <c:scaling>
          <c:orientation val="minMax"/>
        </c:scaling>
        <c:delete val="0"/>
        <c:axPos val="b"/>
        <c:majorTickMark val="out"/>
        <c:minorTickMark val="none"/>
        <c:tickLblPos val="nextTo"/>
        <c:crossAx val="155887104"/>
        <c:crosses val="autoZero"/>
        <c:auto val="1"/>
        <c:lblAlgn val="ctr"/>
        <c:lblOffset val="100"/>
        <c:noMultiLvlLbl val="0"/>
      </c:catAx>
      <c:valAx>
        <c:axId val="155887104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5588556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GB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'Sheet1 (6)'!$C$3</c:f>
              <c:strCache>
                <c:ptCount val="1"/>
                <c:pt idx="0">
                  <c:v>Average of the DNOs</c:v>
                </c:pt>
              </c:strCache>
            </c:strRef>
          </c:tx>
          <c:invertIfNegative val="0"/>
          <c:cat>
            <c:strRef>
              <c:f>'Sheet1 (6)'!$B$4:$B$11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(6)'!$C$4:$C$11</c:f>
              <c:numCache>
                <c:formatCode>0.0</c:formatCode>
                <c:ptCount val="8"/>
                <c:pt idx="0">
                  <c:v>109.17363896806492</c:v>
                </c:pt>
                <c:pt idx="1">
                  <c:v>-63.074605909090501</c:v>
                </c:pt>
                <c:pt idx="2">
                  <c:v>-70.835036909090903</c:v>
                </c:pt>
                <c:pt idx="3">
                  <c:v>-141.02339945563864</c:v>
                </c:pt>
                <c:pt idx="4">
                  <c:v>-380.60166362058499</c:v>
                </c:pt>
                <c:pt idx="5">
                  <c:v>-210.27385294468115</c:v>
                </c:pt>
                <c:pt idx="6">
                  <c:v>-225.96402023658666</c:v>
                </c:pt>
                <c:pt idx="7">
                  <c:v>-175.62269863636385</c:v>
                </c:pt>
              </c:numCache>
            </c:numRef>
          </c:val>
        </c:ser>
        <c:ser>
          <c:idx val="1"/>
          <c:order val="1"/>
          <c:tx>
            <c:strRef>
              <c:f>'Sheet1 (6)'!$D$3</c:f>
              <c:strCache>
                <c:ptCount val="1"/>
                <c:pt idx="0">
                  <c:v>ENWL</c:v>
                </c:pt>
              </c:strCache>
            </c:strRef>
          </c:tx>
          <c:invertIfNegative val="0"/>
          <c:cat>
            <c:strRef>
              <c:f>'Sheet1 (6)'!$B$4:$B$11</c:f>
              <c:strCache>
                <c:ptCount val="8"/>
                <c:pt idx="0">
                  <c:v>2005-06</c:v>
                </c:pt>
                <c:pt idx="1">
                  <c:v>2006-07</c:v>
                </c:pt>
                <c:pt idx="2">
                  <c:v>2007-08</c:v>
                </c:pt>
                <c:pt idx="3">
                  <c:v>2008-09</c:v>
                </c:pt>
                <c:pt idx="4">
                  <c:v>2009-10</c:v>
                </c:pt>
                <c:pt idx="5">
                  <c:v>2010-11</c:v>
                </c:pt>
                <c:pt idx="6">
                  <c:v>2011-12</c:v>
                </c:pt>
                <c:pt idx="7">
                  <c:v>2012-13</c:v>
                </c:pt>
              </c:strCache>
            </c:strRef>
          </c:cat>
          <c:val>
            <c:numRef>
              <c:f>'Sheet1 (6)'!$D$4:$D$11</c:f>
              <c:numCache>
                <c:formatCode>0.0</c:formatCode>
                <c:ptCount val="8"/>
                <c:pt idx="0">
                  <c:v>8.7909779999997681</c:v>
                </c:pt>
                <c:pt idx="1">
                  <c:v>-72.249990000000139</c:v>
                </c:pt>
                <c:pt idx="2">
                  <c:v>59.527800999999727</c:v>
                </c:pt>
                <c:pt idx="3">
                  <c:v>-132.58033205026561</c:v>
                </c:pt>
                <c:pt idx="4">
                  <c:v>-342.8240285697741</c:v>
                </c:pt>
                <c:pt idx="5">
                  <c:v>-242.97470890094519</c:v>
                </c:pt>
                <c:pt idx="6">
                  <c:v>-197.99709255888467</c:v>
                </c:pt>
                <c:pt idx="7">
                  <c:v>-160.34226500000011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67954304"/>
        <c:axId val="167955840"/>
      </c:barChart>
      <c:catAx>
        <c:axId val="167954304"/>
        <c:scaling>
          <c:orientation val="minMax"/>
        </c:scaling>
        <c:delete val="0"/>
        <c:axPos val="b"/>
        <c:majorTickMark val="out"/>
        <c:minorTickMark val="none"/>
        <c:tickLblPos val="nextTo"/>
        <c:crossAx val="167955840"/>
        <c:crosses val="autoZero"/>
        <c:auto val="1"/>
        <c:lblAlgn val="ctr"/>
        <c:lblOffset val="100"/>
        <c:noMultiLvlLbl val="0"/>
      </c:catAx>
      <c:valAx>
        <c:axId val="167955840"/>
        <c:scaling>
          <c:orientation val="minMax"/>
        </c:scaling>
        <c:delete val="0"/>
        <c:axPos val="l"/>
        <c:majorGridlines/>
        <c:numFmt formatCode="0.0" sourceLinked="1"/>
        <c:majorTickMark val="out"/>
        <c:minorTickMark val="none"/>
        <c:tickLblPos val="nextTo"/>
        <c:crossAx val="16795430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0.7808</cdr:x>
      <cdr:y>0.13232</cdr:y>
    </cdr:from>
    <cdr:to>
      <cdr:x>0.78175</cdr:x>
      <cdr:y>0.66231</cdr:y>
    </cdr:to>
    <cdr:cxnSp macro="">
      <cdr:nvCxnSpPr>
        <cdr:cNvPr id="2" name="Straight Connector 1"/>
        <cdr:cNvCxnSpPr/>
      </cdr:nvCxnSpPr>
      <cdr:spPr>
        <a:xfrm xmlns:a="http://schemas.openxmlformats.org/drawingml/2006/main">
          <a:off x="4268932" y="528661"/>
          <a:ext cx="5195" cy="2117557"/>
        </a:xfrm>
        <a:prstGeom xmlns:a="http://schemas.openxmlformats.org/drawingml/2006/main" prst="line">
          <a:avLst/>
        </a:prstGeom>
        <a:ln xmlns:a="http://schemas.openxmlformats.org/drawingml/2006/main" w="25400">
          <a:solidFill>
            <a:schemeClr val="tx1"/>
          </a:solidFill>
        </a:ln>
      </cdr:spPr>
      <cdr:style>
        <a:lnRef xmlns:a="http://schemas.openxmlformats.org/drawingml/2006/main" idx="1">
          <a:schemeClr val="accent1"/>
        </a:lnRef>
        <a:fillRef xmlns:a="http://schemas.openxmlformats.org/drawingml/2006/main" idx="0">
          <a:schemeClr val="accent1"/>
        </a:fillRef>
        <a:effectRef xmlns:a="http://schemas.openxmlformats.org/drawingml/2006/main" idx="0">
          <a:schemeClr val="accent1"/>
        </a:effectRef>
        <a:fontRef xmlns:a="http://schemas.openxmlformats.org/drawingml/2006/main" idx="minor">
          <a:schemeClr val="tx1"/>
        </a:fontRef>
      </cdr:style>
    </cdr:cxn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Classification xmlns="eecedeb9-13b3-4e62-b003-046c92e1668a">Unclassified</Classification>
    <Descriptor xmlns="eecedeb9-13b3-4e62-b003-046c92e1668a" xsi:nil="true"/>
    <_Status xmlns="http://schemas.microsoft.com/sharepoint/v3/fields">Draft</_Status>
    <_x003a_ xmlns="eecedeb9-13b3-4e62-b003-046c92e1668a" xsi:nil="true"/>
    <Organisation xmlns="eecedeb9-13b3-4e62-b003-046c92e1668a" xsi:nil="true"/>
    <_x003a__x003a_ xmlns="eecedeb9-13b3-4e62-b003-046c92e1668a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Information" ma:contentTypeID="0x010100028D52C9A5433B438C8A1988457E255700D9B395690F174641AF4B34CAE682B659" ma:contentTypeVersion="18" ma:contentTypeDescription="This is for internal and external Ofgem information." ma:contentTypeScope="" ma:versionID="78784f241bf1ea745aa05be51cbcd6aa">
  <xsd:schema xmlns:xsd="http://www.w3.org/2001/XMLSchema" xmlns:p="http://schemas.microsoft.com/office/2006/metadata/properties" xmlns:ns2="eecedeb9-13b3-4e62-b003-046c92e1668a" xmlns:ns3="http://schemas.microsoft.com/sharepoint/v3/fields" targetNamespace="http://schemas.microsoft.com/office/2006/metadata/properties" ma:root="true" ma:fieldsID="95428d554f7d9319d6a14edb74baebae" ns2:_="" ns3:_="">
    <xsd:import namespace="eecedeb9-13b3-4e62-b003-046c92e1668a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Organisation" minOccurs="0"/>
                <xsd:element ref="ns2:_x003a_" minOccurs="0"/>
                <xsd:element ref="ns2:_x003a__x003a_" minOccurs="0"/>
                <xsd:element ref="ns3:_Status" minOccurs="0"/>
                <xsd:element ref="ns2:Classification"/>
                <xsd:element ref="ns2:Descriptor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eecedeb9-13b3-4e62-b003-046c92e1668a" elementFormDefault="qualified">
    <xsd:import namespace="http://schemas.microsoft.com/office/2006/documentManagement/types"/>
    <xsd:element name="Organisation" ma:index="8" nillable="true" ma:displayName="Organisation" ma:default="Choose an Organisation" ma:description="Choose from the drop-down menu or fill in a value" ma:format="Dropdown" ma:internalName="Organisation">
      <xsd:simpleType>
        <xsd:union memberTypes="dms:Text">
          <xsd:simpleType>
            <xsd:restriction base="dms:Choice">
              <xsd:enumeration value="Choose an Organisation"/>
              <xsd:enumeration value="Assoc Elec Producers"/>
              <xsd:enumeration value="Atomic Energy Auth"/>
              <xsd:enumeration value="BERR"/>
              <xsd:enumeration value="British Energy"/>
              <xsd:enumeration value="Brit Wind Energy Assoc"/>
              <xsd:enumeration value="Building Research Est"/>
              <xsd:enumeration value="Carbon Trust"/>
              <xsd:enumeration value="Cavendish"/>
              <xsd:enumeration value="Centrica"/>
              <xsd:enumeration value="Central Networks"/>
              <xsd:enumeration value="CE"/>
              <xsd:enumeration value="CEER"/>
              <xsd:enumeration value="CHPA"/>
              <xsd:enumeration value="Competition Commission"/>
              <xsd:enumeration value="DCLG"/>
              <xsd:enumeration value="DCUSA Ltd"/>
              <xsd:enumeration value="DECC"/>
              <xsd:enumeration value="DEFRA"/>
              <xsd:enumeration value="DETI (Northern Ireland)"/>
              <xsd:enumeration value="European Commission"/>
              <xsd:enumeration value="EdF"/>
              <xsd:enumeration value="Elec DNO"/>
              <xsd:enumeration value="ELEXON"/>
              <xsd:enumeration value="eon"/>
              <xsd:enumeration value="Electricity North West"/>
              <xsd:enumeration value="Energy Networks Association"/>
              <xsd:enumeration value="Energy Retail Association"/>
              <xsd:enumeration value="Energy Saving Trust"/>
              <xsd:enumeration value="energywatch"/>
              <xsd:enumeration value="ERGEG"/>
              <xsd:enumeration value="Ernst &amp; Young"/>
              <xsd:enumeration value="ESTA"/>
              <xsd:enumeration value="Gas DNs"/>
              <xsd:enumeration value="Gas Forum"/>
              <xsd:enumeration value="Gaz de France"/>
              <xsd:enumeration value="Government"/>
              <xsd:enumeration value="HM Revenue &amp; Customs"/>
              <xsd:enumeration value="HM Treasury"/>
              <xsd:enumeration value="House of Commons"/>
              <xsd:enumeration value="HSE"/>
              <xsd:enumeration value="IDNO"/>
              <xsd:enumeration value="IGT"/>
              <xsd:enumeration value="National Grid Gas"/>
              <xsd:enumeration value="National Grid Elec"/>
              <xsd:enumeration value="nPower"/>
              <xsd:enumeration value="NWOperators"/>
              <xsd:enumeration value="NEDL &amp;  YEDL"/>
              <xsd:enumeration value="Northern Gas Networks"/>
              <xsd:enumeration value="OFGEM"/>
              <xsd:enumeration value="OFREG"/>
              <xsd:enumeration value="OFT"/>
              <xsd:enumeration value="Parity"/>
              <xsd:enumeration value="Parl Renew &amp; Sustain Energy Grp"/>
              <xsd:enumeration value="Renewble Energy Assoc"/>
              <xsd:enumeration value="RWE"/>
              <xsd:enumeration value="Scotia Gas Networks"/>
              <xsd:enumeration value="Scottish and Southern"/>
              <xsd:enumeration value="Scottish Executive"/>
              <xsd:enumeration value="Scottish Power"/>
              <xsd:enumeration value="SmartestEnergy"/>
              <xsd:enumeration value="Suppliers"/>
              <xsd:enumeration value="UK Power Networks"/>
              <xsd:enumeration value="Wales &amp; West Utilities"/>
              <xsd:enumeration value="Welsh Assembly"/>
              <xsd:enumeration value="WPD"/>
              <xsd:enumeration value="Xoserve"/>
              <xsd:enumeration value="-"/>
            </xsd:restriction>
          </xsd:simpleType>
        </xsd:union>
      </xsd:simpleType>
    </xsd:element>
    <xsd:element name="_x003a_" ma:index="9" nillable="true" ma:displayName=":" ma:default="" ma:description="To group documents together eg Responses with a Consultation Doc.  The format is Main Document Publication Date as YYYY/MM/DD - Main Document Title - Ref No &#10;(keep the Title part short and use copy and paste to ensure grouping works - check in Publication view)" ma:internalName="_x003A_">
      <xsd:simpleType>
        <xsd:restriction base="dms:Text">
          <xsd:maxLength value="255"/>
        </xsd:restriction>
      </xsd:simpleType>
    </xsd:element>
    <xsd:element name="_x003a__x003a_" ma:index="10" nillable="true" ma:displayName="::" ma:default="-Main Document" ma:description="Used to place Subsidiary Documents and Responses as 'children' to the Main Document, with Subsidiary Documents first" ma:format="Dropdown" ma:internalName="_x003A__x003A_">
      <xsd:simpleType>
        <xsd:restriction base="dms:Choice">
          <xsd:enumeration value="-Main Document"/>
          <xsd:enumeration value="-Subsidiary Document"/>
          <xsd:enumeration value="Response"/>
        </xsd:restriction>
      </xsd:simpleType>
    </xsd:element>
    <xsd:element name="Classification" ma:index="12" ma:displayName="Classification" ma:default="Unclassified" ma:format="Dropdown" ma:internalName="Classification">
      <xsd:simpleType>
        <xsd:restriction base="dms:Choice">
          <xsd:enumeration value="Unclassified"/>
          <xsd:enumeration value="Protect"/>
          <xsd:enumeration value="Restricted"/>
        </xsd:restriction>
      </xsd:simpleType>
    </xsd:element>
    <xsd:element name="Descriptor" ma:index="13" nillable="true" ma:displayName="Descriptor" ma:format="Dropdown" ma:internalName="Descriptor">
      <xsd:simpleType>
        <xsd:restriction base="dms:Choice">
          <xsd:enumeration value="Commercial"/>
          <xsd:enumeration value="Management"/>
          <xsd:enumeration value="Market Sensitive"/>
          <xsd:enumeration value="Staff"/>
        </xsd:restriction>
      </xsd:simple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tatus" ma:index="11" nillable="true" ma:displayName="Status" ma:default="Draft" ma:description="Choose the appropriate status from the drop-down" ma:format="Dropdown" ma:internalName="_Status">
      <xsd:simpleType>
        <xsd:restriction base="dms:Choice">
          <xsd:enumeration value="Draft"/>
          <xsd:enumeration value="For comment"/>
          <xsd:enumeration value="Peer Reviewed"/>
          <xsd:enumeration value="Head of Dept Reviewed"/>
          <xsd:enumeration value="Legally Reviewed"/>
          <xsd:enumeration value="MD Approved"/>
          <xsd:enumeration value="Final not for Registry"/>
          <xsd:enumeration value="Final and Sent to Registry"/>
          <xsd:enumeration value="Published"/>
          <xsd:enumeration value="For deletion review"/>
          <xsd:enumeration value="External Draft"/>
          <xsd:enumeration value="External for comment"/>
          <xsd:enumeration value="External for action"/>
          <xsd:enumeration value="External Fin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66A03A0-1C35-4FC9-A5B0-2F7FF4231886}"/>
</file>

<file path=customXml/itemProps2.xml><?xml version="1.0" encoding="utf-8"?>
<ds:datastoreItem xmlns:ds="http://schemas.openxmlformats.org/officeDocument/2006/customXml" ds:itemID="{266BBFD5-70C4-4E7D-A1C1-2A061684D1C1}"/>
</file>

<file path=customXml/itemProps3.xml><?xml version="1.0" encoding="utf-8"?>
<ds:datastoreItem xmlns:ds="http://schemas.openxmlformats.org/officeDocument/2006/customXml" ds:itemID="{81364B52-8977-4D24-A5C6-B0FF094B0BA4}"/>
</file>

<file path=customXml/itemProps4.xml><?xml version="1.0" encoding="utf-8"?>
<ds:datastoreItem xmlns:ds="http://schemas.openxmlformats.org/officeDocument/2006/customXml" ds:itemID="{566A03A0-1C35-4FC9-A5B0-2F7FF4231886}"/>
</file>

<file path=customXml/itemProps5.xml><?xml version="1.0" encoding="utf-8"?>
<ds:datastoreItem xmlns:ds="http://schemas.openxmlformats.org/officeDocument/2006/customXml" ds:itemID="{8C0D4916-7589-407B-9B63-DA20B2B7CC5A}"/>
</file>

<file path=docProps/app.xml><?xml version="1.0" encoding="utf-8"?>
<Properties xmlns="http://schemas.openxmlformats.org/officeDocument/2006/extended-properties" xmlns:vt="http://schemas.openxmlformats.org/officeDocument/2006/docPropsVTypes">
  <Template>E22D30E1</Template>
  <TotalTime>0</TotalTime>
  <Pages>3</Pages>
  <Words>1617</Words>
  <Characters>9219</Characters>
  <Application>Microsoft Office Word</Application>
  <DocSecurity>4</DocSecurity>
  <Lines>76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Western Power Distribution</Company>
  <LinksUpToDate>false</LinksUpToDate>
  <CharactersWithSpaces>10815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Wornell, Dave I.</dc:creator>
  <cp:lastModifiedBy>Tim Aldridge</cp:lastModifiedBy>
  <cp:revision>2</cp:revision>
  <cp:lastPrinted>2013-11-22T11:16:00Z</cp:lastPrinted>
  <dcterms:created xsi:type="dcterms:W3CDTF">2013-11-22T14:50:00Z</dcterms:created>
  <dcterms:modified xsi:type="dcterms:W3CDTF">2013-11-22T14:50:00Z</dcterms:modified>
  <cp:contentType>Information</cp:contentType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3" name="Work Area">
    <vt:lpwstr>DPCR5</vt:lpwstr>
  </property>
  <property fmtid="{D5CDD505-2E9C-101B-9397-08002B2CF9AE}" pid="5" name="Closing Date">
    <vt:lpwstr>1999-11-30T00:00:00+00:00</vt:lpwstr>
  </property>
  <property fmtid="{D5CDD505-2E9C-101B-9397-08002B2CF9AE}" pid="7" name="ContentTypeId">
    <vt:lpwstr>0x010100028D52C9A5433B438C8A1988457E255700D9B395690F174641AF4B34CAE682B659</vt:lpwstr>
  </property>
</Properties>
</file>