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36D" w:rsidRDefault="00ED2B5F">
      <w:pPr>
        <w:sectPr w:rsidR="00E6536D">
          <w:headerReference w:type="default" r:id="rId12"/>
          <w:footerReference w:type="default" r:id="rId13"/>
          <w:pgSz w:w="11907" w:h="16840" w:code="9"/>
          <w:pgMar w:top="624" w:right="567" w:bottom="510" w:left="1049" w:header="709" w:footer="709" w:gutter="0"/>
          <w:paperSrc w:first="259" w:other="259"/>
          <w:cols w:space="720"/>
          <w:titlePg/>
          <w:docGrid w:linePitch="360"/>
        </w:sectPr>
      </w:pPr>
      <w:r w:rsidRPr="00ED2B5F">
        <w:rPr>
          <w:noProof/>
          <w:lang w:val="en-US" w:eastAsia="ja-JP"/>
        </w:rPr>
        <w:pict>
          <v:shapetype id="_x0000_t202" coordsize="21600,21600" o:spt="202" path="m,l,21600r21600,l21600,xe">
            <v:stroke joinstyle="miter"/>
            <v:path gradientshapeok="t" o:connecttype="rect"/>
          </v:shapetype>
          <v:shape id="_x0000_s1029" type="#_x0000_t202" style="position:absolute;margin-left:26.5pt;margin-top:192.4pt;width:351.55pt;height:54pt;z-index:251654144" filled="f" stroked="f">
            <v:textbox style="mso-next-textbox:#_x0000_s1029">
              <w:txbxContent>
                <w:p w:rsidR="005379FE" w:rsidRDefault="005379FE">
                  <w:r>
                    <w:rPr>
                      <w:rStyle w:val="CoverTopicChar"/>
                    </w:rPr>
                    <w:t>Document type:</w:t>
                  </w:r>
                  <w:r>
                    <w:t xml:space="preserve"> </w:t>
                  </w:r>
                  <w:r>
                    <w:rPr>
                      <w:rStyle w:val="CoverDocumentTypeexplanation"/>
                    </w:rPr>
                    <w:t>Qualification to Tender Document</w:t>
                  </w:r>
                </w:p>
                <w:p w:rsidR="005379FE" w:rsidRDefault="005379FE">
                  <w:pPr>
                    <w:rPr>
                      <w:sz w:val="32"/>
                      <w:szCs w:val="32"/>
                    </w:rPr>
                  </w:pPr>
                </w:p>
                <w:p w:rsidR="005379FE" w:rsidRDefault="005379FE">
                  <w:pPr>
                    <w:pStyle w:val="CoverTopic"/>
                  </w:pPr>
                </w:p>
              </w:txbxContent>
            </v:textbox>
          </v:shape>
        </w:pict>
      </w:r>
      <w:r w:rsidRPr="00ED2B5F">
        <w:rPr>
          <w:noProof/>
          <w:lang w:val="en-US" w:eastAsia="ja-JP"/>
        </w:rPr>
        <w:pict>
          <v:shape id="_x0000_s1031" type="#_x0000_t202" style="position:absolute;margin-left:26.5pt;margin-top:381.4pt;width:464.95pt;height:254.55pt;z-index:251656192" filled="f" stroked="f">
            <v:textbox style="mso-next-textbox:#_x0000_s1031">
              <w:txbxContent>
                <w:p w:rsidR="005379FE" w:rsidRDefault="005379FE">
                  <w:pPr>
                    <w:pStyle w:val="CoverTopic"/>
                  </w:pPr>
                  <w:r>
                    <w:t>Overview:</w:t>
                  </w:r>
                </w:p>
                <w:p w:rsidR="005379FE" w:rsidRDefault="005379FE">
                  <w:pPr>
                    <w:rPr>
                      <w:sz w:val="16"/>
                      <w:szCs w:val="16"/>
                    </w:rPr>
                  </w:pPr>
                </w:p>
                <w:p w:rsidR="005379FE" w:rsidRPr="00C747B4" w:rsidRDefault="005379FE" w:rsidP="00D83F11">
                  <w:pPr>
                    <w:rPr>
                      <w:szCs w:val="20"/>
                    </w:rPr>
                  </w:pPr>
                  <w:r>
                    <w:rPr>
                      <w:szCs w:val="20"/>
                    </w:rPr>
                    <w:t xml:space="preserve">The </w:t>
                  </w:r>
                  <w:r w:rsidRPr="00C747B4">
                    <w:rPr>
                      <w:szCs w:val="20"/>
                    </w:rPr>
                    <w:t>regulatory regime for offshore electricity transmission</w:t>
                  </w:r>
                  <w:r>
                    <w:rPr>
                      <w:szCs w:val="20"/>
                    </w:rPr>
                    <w:t xml:space="preserve"> enables the Authority to grant Offshore Transmission Licences on the basis of a competitive Tender Exercise. </w:t>
                  </w:r>
                  <w:r w:rsidRPr="00C747B4">
                    <w:rPr>
                      <w:szCs w:val="20"/>
                    </w:rPr>
                    <w:t xml:space="preserve">Ofgem </w:t>
                  </w:r>
                  <w:r>
                    <w:rPr>
                      <w:szCs w:val="20"/>
                    </w:rPr>
                    <w:t xml:space="preserve">E-Serve is responsible for </w:t>
                  </w:r>
                  <w:r w:rsidRPr="00C747B4">
                    <w:rPr>
                      <w:szCs w:val="20"/>
                    </w:rPr>
                    <w:t>manag</w:t>
                  </w:r>
                  <w:r>
                    <w:rPr>
                      <w:szCs w:val="20"/>
                    </w:rPr>
                    <w:t>ing</w:t>
                  </w:r>
                  <w:r w:rsidRPr="00C747B4">
                    <w:rPr>
                      <w:szCs w:val="20"/>
                    </w:rPr>
                    <w:t xml:space="preserve"> this process. </w:t>
                  </w:r>
                </w:p>
                <w:p w:rsidR="005379FE" w:rsidRPr="00C747B4" w:rsidRDefault="005379FE" w:rsidP="00D83F11">
                  <w:pPr>
                    <w:rPr>
                      <w:szCs w:val="20"/>
                    </w:rPr>
                  </w:pPr>
                </w:p>
                <w:p w:rsidR="005379FE" w:rsidRDefault="005379FE" w:rsidP="00D83F11">
                  <w:pPr>
                    <w:rPr>
                      <w:szCs w:val="20"/>
                    </w:rPr>
                  </w:pPr>
                  <w:r>
                    <w:rPr>
                      <w:szCs w:val="20"/>
                    </w:rPr>
                    <w:t xml:space="preserve">A Tender Exercise is run over a number of stages, the second of which is the QTT Stage, where Qualifying Bidders are invited to set out their proposals for financing, operating and managing offshore Transmission Assets (referred to as Qualifying Projects). These proposals are evaluated by Ofgem against a set of published criteria. This Qualification to Tender Document sets out the requirements Qualifying Bidders need to demonstrate in this regard. The outcome of Ofgem’s evaluation is the identification of a shortlist of Qualifying Bidders in respect of each Qualifying Project to be invited to participate in the ITT Stage. </w:t>
                  </w:r>
                </w:p>
                <w:p w:rsidR="005379FE" w:rsidRDefault="005379FE" w:rsidP="00D83F11">
                  <w:pPr>
                    <w:rPr>
                      <w:szCs w:val="20"/>
                    </w:rPr>
                  </w:pPr>
                </w:p>
                <w:p w:rsidR="005379FE" w:rsidRDefault="005379FE">
                  <w:pPr>
                    <w:rPr>
                      <w:rStyle w:val="CoverTopicDetails"/>
                    </w:rPr>
                  </w:pPr>
                </w:p>
              </w:txbxContent>
            </v:textbox>
          </v:shape>
        </w:pict>
      </w:r>
      <w:r w:rsidRPr="00ED2B5F">
        <w:rPr>
          <w:noProof/>
          <w:lang w:val="en-US" w:eastAsia="ja-JP"/>
        </w:rPr>
        <w:pict>
          <v:shape id="_x0000_s1030" type="#_x0000_t202" style="position:absolute;margin-left:30.4pt;margin-top:109.65pt;width:477pt;height:79.55pt;z-index:251655168" filled="f" stroked="f">
            <v:textbox style="mso-next-textbox:#_x0000_s1030">
              <w:txbxContent>
                <w:p w:rsidR="005379FE" w:rsidRDefault="005379FE">
                  <w:pPr>
                    <w:pStyle w:val="DraftCover"/>
                  </w:pPr>
                  <w:r>
                    <w:t xml:space="preserve">Offshore Electricity Transmission: </w:t>
                  </w:r>
                </w:p>
                <w:p w:rsidR="005379FE" w:rsidRDefault="005379FE">
                  <w:pPr>
                    <w:pStyle w:val="DraftCover"/>
                  </w:pPr>
                </w:p>
                <w:p w:rsidR="005379FE" w:rsidRDefault="005379FE">
                  <w:pPr>
                    <w:pStyle w:val="DraftCover"/>
                  </w:pPr>
                  <w:r>
                    <w:t>Qualification to Tender Document for the Second Transitional Tender Round (Tranche A Tender Exercises)</w:t>
                  </w:r>
                </w:p>
              </w:txbxContent>
            </v:textbox>
          </v:shape>
        </w:pict>
      </w:r>
      <w:r w:rsidRPr="00ED2B5F">
        <w:rPr>
          <w:noProof/>
          <w:lang w:val="en-US" w:eastAsia="ja-JP"/>
        </w:rPr>
        <w:pict>
          <v:group id="_x0000_s1026" style="position:absolute;margin-left:-6.45pt;margin-top:-4.75pt;width:564.45pt;height:790.2pt;z-index:251653120" coordorigin="778,359" coordsize="11289,15804">
            <v:shape id="_x0000_s1027" type="#_x0000_t202" style="position:absolute;left:778;top:359;width:11289;height:15804" filled="f" stroked="f">
              <v:textbox style="mso-next-textbox:#_x0000_s1027">
                <w:txbxContent>
                  <w:p w:rsidR="005379FE" w:rsidRDefault="005379FE">
                    <w:r>
                      <w:rPr>
                        <w:noProof/>
                        <w:lang w:eastAsia="en-GB" w:bidi="he-IL"/>
                      </w:rPr>
                      <w:drawing>
                        <wp:inline distT="0" distB="0" distL="0" distR="0">
                          <wp:extent cx="6506845" cy="9944735"/>
                          <wp:effectExtent l="19050" t="0" r="8255" b="0"/>
                          <wp:docPr id="1" name="Picture 4" descr="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S.jpg"/>
                                  <pic:cNvPicPr>
                                    <a:picLocks noChangeAspect="1" noChangeArrowheads="1"/>
                                  </pic:cNvPicPr>
                                </pic:nvPicPr>
                                <pic:blipFill>
                                  <a:blip r:embed="rId14"/>
                                  <a:srcRect/>
                                  <a:stretch>
                                    <a:fillRect/>
                                  </a:stretch>
                                </pic:blipFill>
                                <pic:spPr bwMode="auto">
                                  <a:xfrm>
                                    <a:off x="0" y="0"/>
                                    <a:ext cx="6506845" cy="9944735"/>
                                  </a:xfrm>
                                  <a:prstGeom prst="rect">
                                    <a:avLst/>
                                  </a:prstGeom>
                                  <a:noFill/>
                                  <a:ln w="9525">
                                    <a:noFill/>
                                    <a:miter lim="800000"/>
                                    <a:headEnd/>
                                    <a:tailEnd/>
                                  </a:ln>
                                </pic:spPr>
                              </pic:pic>
                            </a:graphicData>
                          </a:graphic>
                        </wp:inline>
                      </w:drawing>
                    </w:r>
                  </w:p>
                </w:txbxContent>
              </v:textbox>
            </v:shape>
            <v:shape id="_x0000_s1028" type="#_x0000_t202" style="position:absolute;left:9367;top:804;width:416;height:387" filled="f" stroked="f">
              <v:textbox style="mso-next-textbox:#_x0000_s1028">
                <w:txbxContent>
                  <w:p w:rsidR="005379FE" w:rsidRDefault="005379FE"/>
                </w:txbxContent>
              </v:textbox>
            </v:shape>
          </v:group>
        </w:pict>
      </w:r>
      <w:r w:rsidRPr="00ED2B5F">
        <w:rPr>
          <w:noProof/>
          <w:lang w:val="en-US" w:eastAsia="ja-JP"/>
        </w:rPr>
        <w:pict>
          <v:line id="_x0000_s1034" style="position:absolute;z-index:251659264" from="31.25pt,581.45pt" to="499.25pt,581.45pt" strokecolor="silver"/>
        </w:pict>
      </w:r>
      <w:r w:rsidRPr="00ED2B5F">
        <w:rPr>
          <w:noProof/>
          <w:lang w:val="en-US" w:eastAsia="ja-JP"/>
        </w:rPr>
        <w:pict>
          <v:line id="_x0000_s1037" style="position:absolute;z-index:251662336" from="32.1pt,308.4pt" to="500.1pt,308.4pt" strokecolor="silver"/>
        </w:pict>
      </w:r>
      <w:r w:rsidRPr="00ED2B5F">
        <w:rPr>
          <w:noProof/>
          <w:lang w:val="en-US" w:eastAsia="ja-JP"/>
        </w:rPr>
        <w:pict>
          <v:rect id="_x0000_s1036" style="position:absolute;margin-left:26.5pt;margin-top:589.6pt;width:450pt;height:88.8pt;z-index:251661312" stroked="f">
            <v:textbox style="mso-next-textbox:#_x0000_s1036">
              <w:txbxContent>
                <w:p w:rsidR="005379FE" w:rsidRDefault="005379FE">
                  <w:pPr>
                    <w:rPr>
                      <w:sz w:val="12"/>
                      <w:szCs w:val="12"/>
                    </w:rPr>
                  </w:pPr>
                </w:p>
                <w:p w:rsidR="005379FE" w:rsidRDefault="005379FE"/>
              </w:txbxContent>
            </v:textbox>
          </v:rect>
        </w:pict>
      </w:r>
      <w:r w:rsidRPr="00ED2B5F">
        <w:rPr>
          <w:noProof/>
          <w:lang w:val="en-US" w:eastAsia="ja-JP"/>
        </w:rPr>
        <w:pict>
          <v:shape id="_x0000_s1035" type="#_x0000_t202" style="position:absolute;margin-left:26.5pt;margin-top:320.1pt;width:450pt;height:54pt;z-index:251660288" filled="f" stroked="f">
            <v:textbox style="mso-next-textbox:#_x0000_s1035">
              <w:txbxContent>
                <w:p w:rsidR="005379FE" w:rsidRDefault="005379FE"/>
              </w:txbxContent>
            </v:textbox>
          </v:shape>
        </w:pict>
      </w:r>
      <w:r w:rsidRPr="00ED2B5F">
        <w:rPr>
          <w:noProof/>
          <w:lang w:val="en-US" w:eastAsia="ja-JP"/>
        </w:rPr>
        <w:pict>
          <v:line id="_x0000_s1033" style="position:absolute;z-index:251658240" from="32.1pt,381.4pt" to="500.95pt,381.4pt" strokecolor="silver"/>
        </w:pict>
      </w:r>
      <w:r w:rsidRPr="00ED2B5F">
        <w:rPr>
          <w:noProof/>
          <w:lang w:val="en-US" w:eastAsia="ja-JP"/>
        </w:rPr>
        <w:pict>
          <v:shape id="_x0000_s1032" type="#_x0000_t202" style="position:absolute;margin-left:26.5pt;margin-top:272.9pt;width:414pt;height:27pt;z-index:251657216" filled="f" stroked="f">
            <v:textbox style="mso-next-textbox:#_x0000_s1032">
              <w:txbxContent>
                <w:p w:rsidR="005379FE" w:rsidRDefault="005379FE">
                  <w:r>
                    <w:rPr>
                      <w:rStyle w:val="CoverTopicChar"/>
                    </w:rPr>
                    <w:t>Date of publication</w:t>
                  </w:r>
                  <w:r w:rsidR="006940C1">
                    <w:t xml:space="preserve">: </w:t>
                  </w:r>
                  <w:r w:rsidR="006940C1">
                    <w:rPr>
                      <w:rStyle w:val="CoverTopicDetails"/>
                    </w:rPr>
                    <w:t>26</w:t>
                  </w:r>
                  <w:r>
                    <w:rPr>
                      <w:rStyle w:val="CoverTopicDetails"/>
                    </w:rPr>
                    <w:t xml:space="preserve"> January 2011</w:t>
                  </w:r>
                </w:p>
                <w:p w:rsidR="005379FE" w:rsidRDefault="005379FE">
                  <w:pPr>
                    <w:rPr>
                      <w:sz w:val="8"/>
                      <w:szCs w:val="8"/>
                    </w:rPr>
                  </w:pPr>
                </w:p>
                <w:p w:rsidR="005379FE" w:rsidRDefault="005379FE"/>
              </w:txbxContent>
            </v:textbox>
          </v:shape>
        </w:pict>
      </w:r>
    </w:p>
    <w:p w:rsidR="00B57230" w:rsidRPr="00580E79" w:rsidRDefault="00B57230" w:rsidP="00B57230">
      <w:pPr>
        <w:pStyle w:val="Tableofcontents"/>
      </w:pPr>
      <w:r>
        <w:lastRenderedPageBreak/>
        <w:t>Document Version History</w:t>
      </w:r>
    </w:p>
    <w:p w:rsidR="00B57230" w:rsidRPr="00580E79" w:rsidRDefault="00B57230" w:rsidP="00B57230">
      <w:pPr>
        <w:tabs>
          <w:tab w:val="left" w:pos="2581"/>
        </w:tabs>
        <w:ind w:lef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6"/>
        <w:gridCol w:w="1581"/>
        <w:gridCol w:w="5635"/>
      </w:tblGrid>
      <w:tr w:rsidR="00B57230" w:rsidRPr="00580E79" w:rsidTr="00B57230">
        <w:tc>
          <w:tcPr>
            <w:tcW w:w="1646" w:type="dxa"/>
          </w:tcPr>
          <w:p w:rsidR="00B57230" w:rsidRPr="00580E79" w:rsidRDefault="00B57230" w:rsidP="00B57230">
            <w:r w:rsidRPr="00580E79">
              <w:t>Version number</w:t>
            </w:r>
          </w:p>
        </w:tc>
        <w:tc>
          <w:tcPr>
            <w:tcW w:w="1581" w:type="dxa"/>
          </w:tcPr>
          <w:p w:rsidR="00B57230" w:rsidRPr="00580E79" w:rsidRDefault="00B57230" w:rsidP="00B57230">
            <w:r w:rsidRPr="00580E79">
              <w:t>Date</w:t>
            </w:r>
          </w:p>
        </w:tc>
        <w:tc>
          <w:tcPr>
            <w:tcW w:w="5635" w:type="dxa"/>
          </w:tcPr>
          <w:p w:rsidR="00B57230" w:rsidRPr="00580E79" w:rsidRDefault="00B57230" w:rsidP="00B57230">
            <w:r w:rsidRPr="00580E79">
              <w:t>List of changes</w:t>
            </w:r>
          </w:p>
        </w:tc>
      </w:tr>
      <w:tr w:rsidR="00B57230" w:rsidRPr="00580E79" w:rsidTr="00B57230">
        <w:tc>
          <w:tcPr>
            <w:tcW w:w="1646" w:type="dxa"/>
          </w:tcPr>
          <w:p w:rsidR="00B57230" w:rsidRPr="00580E79" w:rsidRDefault="00B57230" w:rsidP="00B57230">
            <w:r w:rsidRPr="00580E79">
              <w:t>1</w:t>
            </w:r>
          </w:p>
        </w:tc>
        <w:tc>
          <w:tcPr>
            <w:tcW w:w="1581" w:type="dxa"/>
          </w:tcPr>
          <w:p w:rsidR="00B57230" w:rsidRPr="00580E79" w:rsidRDefault="001B77B4" w:rsidP="00B57230">
            <w:r w:rsidRPr="00695AD5">
              <w:t>2</w:t>
            </w:r>
            <w:r w:rsidR="00791360" w:rsidRPr="00695AD5">
              <w:t>6</w:t>
            </w:r>
            <w:r w:rsidR="00A8231E">
              <w:t xml:space="preserve"> January 2011</w:t>
            </w:r>
          </w:p>
        </w:tc>
        <w:tc>
          <w:tcPr>
            <w:tcW w:w="5635" w:type="dxa"/>
          </w:tcPr>
          <w:p w:rsidR="00B57230" w:rsidRPr="00580E79" w:rsidRDefault="00726F07" w:rsidP="00B57230">
            <w:r w:rsidRPr="00726F07">
              <w:t>Qualification to Tender Document for the Second Transitional Tender Round (Tranche A Tender Exercises)</w:t>
            </w:r>
            <w:r w:rsidR="006526C9" w:rsidRPr="006526C9">
              <w:t xml:space="preserve"> </w:t>
            </w:r>
            <w:r w:rsidR="00B57230" w:rsidRPr="00580E79">
              <w:t>published</w:t>
            </w:r>
          </w:p>
        </w:tc>
      </w:tr>
    </w:tbl>
    <w:p w:rsidR="00B57230" w:rsidRPr="00B57230" w:rsidRDefault="00B57230" w:rsidP="00B57230"/>
    <w:p w:rsidR="00B57230" w:rsidRDefault="00B57230">
      <w:pPr>
        <w:rPr>
          <w:sz w:val="28"/>
        </w:rPr>
      </w:pPr>
      <w:r>
        <w:br w:type="page"/>
      </w:r>
    </w:p>
    <w:p w:rsidR="00E6536D" w:rsidRDefault="00E6536D">
      <w:pPr>
        <w:pStyle w:val="Tableofcontents"/>
      </w:pPr>
      <w:r>
        <w:lastRenderedPageBreak/>
        <w:t>Table of Contents</w:t>
      </w:r>
    </w:p>
    <w:p w:rsidR="00E6536D" w:rsidRDefault="00E6536D"/>
    <w:p w:rsidR="00E6536D" w:rsidRDefault="00E6536D"/>
    <w:p w:rsidR="00C379AC" w:rsidRDefault="00ED2B5F">
      <w:pPr>
        <w:pStyle w:val="TOC1"/>
        <w:tabs>
          <w:tab w:val="right" w:leader="dot" w:pos="8636"/>
        </w:tabs>
        <w:rPr>
          <w:rFonts w:asciiTheme="minorHAnsi" w:eastAsiaTheme="minorEastAsia" w:hAnsiTheme="minorHAnsi" w:cstheme="minorBidi"/>
          <w:b w:val="0"/>
          <w:noProof/>
          <w:szCs w:val="22"/>
          <w:lang w:eastAsia="en-GB"/>
        </w:rPr>
      </w:pPr>
      <w:r w:rsidRPr="00ED2B5F">
        <w:rPr>
          <w:b w:val="0"/>
        </w:rPr>
        <w:fldChar w:fldCharType="begin"/>
      </w:r>
      <w:r w:rsidR="00E6536D">
        <w:rPr>
          <w:b w:val="0"/>
        </w:rPr>
        <w:instrText xml:space="preserve"> TOC \h \z \t "Heading 1,2,Heading 2,3,Heading 3,4,Section heading,1,Appendix_Section,1,Chapter Heading,1" </w:instrText>
      </w:r>
      <w:r w:rsidRPr="00ED2B5F">
        <w:rPr>
          <w:b w:val="0"/>
        </w:rPr>
        <w:fldChar w:fldCharType="separate"/>
      </w:r>
      <w:hyperlink w:anchor="_Toc283819620" w:history="1">
        <w:r w:rsidR="00C379AC" w:rsidRPr="000D6C33">
          <w:rPr>
            <w:rStyle w:val="Hyperlink"/>
            <w:noProof/>
          </w:rPr>
          <w:t>Context</w:t>
        </w:r>
        <w:r w:rsidR="00C379AC">
          <w:rPr>
            <w:noProof/>
            <w:webHidden/>
          </w:rPr>
          <w:tab/>
        </w:r>
        <w:r>
          <w:rPr>
            <w:noProof/>
            <w:webHidden/>
          </w:rPr>
          <w:fldChar w:fldCharType="begin"/>
        </w:r>
        <w:r w:rsidR="00C379AC">
          <w:rPr>
            <w:noProof/>
            <w:webHidden/>
          </w:rPr>
          <w:instrText xml:space="preserve"> PAGEREF _Toc283819620 \h </w:instrText>
        </w:r>
        <w:r>
          <w:rPr>
            <w:noProof/>
            <w:webHidden/>
          </w:rPr>
        </w:r>
        <w:r>
          <w:rPr>
            <w:noProof/>
            <w:webHidden/>
          </w:rPr>
          <w:fldChar w:fldCharType="separate"/>
        </w:r>
        <w:r w:rsidR="00C379AC">
          <w:rPr>
            <w:noProof/>
            <w:webHidden/>
          </w:rPr>
          <w:t>5</w:t>
        </w:r>
        <w:r>
          <w:rPr>
            <w:noProof/>
            <w:webHidden/>
          </w:rPr>
          <w:fldChar w:fldCharType="end"/>
        </w:r>
      </w:hyperlink>
    </w:p>
    <w:p w:rsidR="00C379AC" w:rsidRDefault="00ED2B5F">
      <w:pPr>
        <w:pStyle w:val="TOC1"/>
        <w:tabs>
          <w:tab w:val="right" w:leader="dot" w:pos="8636"/>
        </w:tabs>
        <w:rPr>
          <w:rFonts w:asciiTheme="minorHAnsi" w:eastAsiaTheme="minorEastAsia" w:hAnsiTheme="minorHAnsi" w:cstheme="minorBidi"/>
          <w:b w:val="0"/>
          <w:noProof/>
          <w:szCs w:val="22"/>
          <w:lang w:eastAsia="en-GB"/>
        </w:rPr>
      </w:pPr>
      <w:hyperlink w:anchor="_Toc283819621" w:history="1">
        <w:r w:rsidR="00C379AC" w:rsidRPr="000D6C33">
          <w:rPr>
            <w:rStyle w:val="Hyperlink"/>
            <w:noProof/>
          </w:rPr>
          <w:t>1. Overview of the QTT Stage</w:t>
        </w:r>
        <w:r w:rsidR="00C379AC">
          <w:rPr>
            <w:noProof/>
            <w:webHidden/>
          </w:rPr>
          <w:tab/>
        </w:r>
        <w:r>
          <w:rPr>
            <w:noProof/>
            <w:webHidden/>
          </w:rPr>
          <w:fldChar w:fldCharType="begin"/>
        </w:r>
        <w:r w:rsidR="00C379AC">
          <w:rPr>
            <w:noProof/>
            <w:webHidden/>
          </w:rPr>
          <w:instrText xml:space="preserve"> PAGEREF _Toc283819621 \h </w:instrText>
        </w:r>
        <w:r>
          <w:rPr>
            <w:noProof/>
            <w:webHidden/>
          </w:rPr>
        </w:r>
        <w:r>
          <w:rPr>
            <w:noProof/>
            <w:webHidden/>
          </w:rPr>
          <w:fldChar w:fldCharType="separate"/>
        </w:r>
        <w:r w:rsidR="00C379AC">
          <w:rPr>
            <w:noProof/>
            <w:webHidden/>
          </w:rPr>
          <w:t>6</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22" w:history="1">
        <w:r w:rsidR="00C379AC" w:rsidRPr="000D6C33">
          <w:rPr>
            <w:rStyle w:val="Hyperlink"/>
            <w:noProof/>
          </w:rPr>
          <w:t>Legal Framework</w:t>
        </w:r>
        <w:r w:rsidR="00C379AC">
          <w:rPr>
            <w:noProof/>
            <w:webHidden/>
          </w:rPr>
          <w:tab/>
        </w:r>
        <w:r>
          <w:rPr>
            <w:noProof/>
            <w:webHidden/>
          </w:rPr>
          <w:fldChar w:fldCharType="begin"/>
        </w:r>
        <w:r w:rsidR="00C379AC">
          <w:rPr>
            <w:noProof/>
            <w:webHidden/>
          </w:rPr>
          <w:instrText xml:space="preserve"> PAGEREF _Toc283819622 \h </w:instrText>
        </w:r>
        <w:r>
          <w:rPr>
            <w:noProof/>
            <w:webHidden/>
          </w:rPr>
        </w:r>
        <w:r>
          <w:rPr>
            <w:noProof/>
            <w:webHidden/>
          </w:rPr>
          <w:fldChar w:fldCharType="separate"/>
        </w:r>
        <w:r w:rsidR="00C379AC">
          <w:rPr>
            <w:noProof/>
            <w:webHidden/>
          </w:rPr>
          <w:t>6</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23" w:history="1">
        <w:r w:rsidR="00C379AC" w:rsidRPr="000D6C33">
          <w:rPr>
            <w:rStyle w:val="Hyperlink"/>
            <w:noProof/>
          </w:rPr>
          <w:t>QTT Document</w:t>
        </w:r>
        <w:r w:rsidR="00C379AC">
          <w:rPr>
            <w:noProof/>
            <w:webHidden/>
          </w:rPr>
          <w:tab/>
        </w:r>
        <w:r>
          <w:rPr>
            <w:noProof/>
            <w:webHidden/>
          </w:rPr>
          <w:fldChar w:fldCharType="begin"/>
        </w:r>
        <w:r w:rsidR="00C379AC">
          <w:rPr>
            <w:noProof/>
            <w:webHidden/>
          </w:rPr>
          <w:instrText xml:space="preserve"> PAGEREF _Toc283819623 \h </w:instrText>
        </w:r>
        <w:r>
          <w:rPr>
            <w:noProof/>
            <w:webHidden/>
          </w:rPr>
        </w:r>
        <w:r>
          <w:rPr>
            <w:noProof/>
            <w:webHidden/>
          </w:rPr>
          <w:fldChar w:fldCharType="separate"/>
        </w:r>
        <w:r w:rsidR="00C379AC">
          <w:rPr>
            <w:noProof/>
            <w:webHidden/>
          </w:rPr>
          <w:t>6</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24" w:history="1">
        <w:r w:rsidR="00C379AC" w:rsidRPr="000D6C33">
          <w:rPr>
            <w:rStyle w:val="Hyperlink"/>
            <w:noProof/>
          </w:rPr>
          <w:t>Right to Vary a Tender Exercise</w:t>
        </w:r>
        <w:r w:rsidR="00C379AC">
          <w:rPr>
            <w:noProof/>
            <w:webHidden/>
          </w:rPr>
          <w:tab/>
        </w:r>
        <w:r>
          <w:rPr>
            <w:noProof/>
            <w:webHidden/>
          </w:rPr>
          <w:fldChar w:fldCharType="begin"/>
        </w:r>
        <w:r w:rsidR="00C379AC">
          <w:rPr>
            <w:noProof/>
            <w:webHidden/>
          </w:rPr>
          <w:instrText xml:space="preserve"> PAGEREF _Toc283819624 \h </w:instrText>
        </w:r>
        <w:r>
          <w:rPr>
            <w:noProof/>
            <w:webHidden/>
          </w:rPr>
        </w:r>
        <w:r>
          <w:rPr>
            <w:noProof/>
            <w:webHidden/>
          </w:rPr>
          <w:fldChar w:fldCharType="separate"/>
        </w:r>
        <w:r w:rsidR="00C379AC">
          <w:rPr>
            <w:noProof/>
            <w:webHidden/>
          </w:rPr>
          <w:t>7</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25" w:history="1">
        <w:r w:rsidR="00C379AC" w:rsidRPr="000D6C33">
          <w:rPr>
            <w:rStyle w:val="Hyperlink"/>
            <w:noProof/>
          </w:rPr>
          <w:t>Costs</w:t>
        </w:r>
        <w:r w:rsidR="00C379AC">
          <w:rPr>
            <w:noProof/>
            <w:webHidden/>
          </w:rPr>
          <w:tab/>
        </w:r>
        <w:r>
          <w:rPr>
            <w:noProof/>
            <w:webHidden/>
          </w:rPr>
          <w:fldChar w:fldCharType="begin"/>
        </w:r>
        <w:r w:rsidR="00C379AC">
          <w:rPr>
            <w:noProof/>
            <w:webHidden/>
          </w:rPr>
          <w:instrText xml:space="preserve"> PAGEREF _Toc283819625 \h </w:instrText>
        </w:r>
        <w:r>
          <w:rPr>
            <w:noProof/>
            <w:webHidden/>
          </w:rPr>
        </w:r>
        <w:r>
          <w:rPr>
            <w:noProof/>
            <w:webHidden/>
          </w:rPr>
          <w:fldChar w:fldCharType="separate"/>
        </w:r>
        <w:r w:rsidR="00C379AC">
          <w:rPr>
            <w:noProof/>
            <w:webHidden/>
          </w:rPr>
          <w:t>7</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26" w:history="1">
        <w:r w:rsidR="00C379AC" w:rsidRPr="000D6C33">
          <w:rPr>
            <w:rStyle w:val="Hyperlink"/>
            <w:noProof/>
          </w:rPr>
          <w:t>Miscellaneous</w:t>
        </w:r>
        <w:r w:rsidR="00C379AC">
          <w:rPr>
            <w:noProof/>
            <w:webHidden/>
          </w:rPr>
          <w:tab/>
        </w:r>
        <w:r>
          <w:rPr>
            <w:noProof/>
            <w:webHidden/>
          </w:rPr>
          <w:fldChar w:fldCharType="begin"/>
        </w:r>
        <w:r w:rsidR="00C379AC">
          <w:rPr>
            <w:noProof/>
            <w:webHidden/>
          </w:rPr>
          <w:instrText xml:space="preserve"> PAGEREF _Toc283819626 \h </w:instrText>
        </w:r>
        <w:r>
          <w:rPr>
            <w:noProof/>
            <w:webHidden/>
          </w:rPr>
        </w:r>
        <w:r>
          <w:rPr>
            <w:noProof/>
            <w:webHidden/>
          </w:rPr>
          <w:fldChar w:fldCharType="separate"/>
        </w:r>
        <w:r w:rsidR="00C379AC">
          <w:rPr>
            <w:noProof/>
            <w:webHidden/>
          </w:rPr>
          <w:t>7</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27" w:history="1">
        <w:r w:rsidR="00C379AC" w:rsidRPr="000D6C33">
          <w:rPr>
            <w:rStyle w:val="Hyperlink"/>
            <w:noProof/>
          </w:rPr>
          <w:t>Timetable</w:t>
        </w:r>
        <w:r w:rsidR="00C379AC">
          <w:rPr>
            <w:noProof/>
            <w:webHidden/>
          </w:rPr>
          <w:tab/>
        </w:r>
        <w:r>
          <w:rPr>
            <w:noProof/>
            <w:webHidden/>
          </w:rPr>
          <w:fldChar w:fldCharType="begin"/>
        </w:r>
        <w:r w:rsidR="00C379AC">
          <w:rPr>
            <w:noProof/>
            <w:webHidden/>
          </w:rPr>
          <w:instrText xml:space="preserve"> PAGEREF _Toc283819627 \h </w:instrText>
        </w:r>
        <w:r>
          <w:rPr>
            <w:noProof/>
            <w:webHidden/>
          </w:rPr>
        </w:r>
        <w:r>
          <w:rPr>
            <w:noProof/>
            <w:webHidden/>
          </w:rPr>
          <w:fldChar w:fldCharType="separate"/>
        </w:r>
        <w:r w:rsidR="00C379AC">
          <w:rPr>
            <w:noProof/>
            <w:webHidden/>
          </w:rPr>
          <w:t>8</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28" w:history="1">
        <w:r w:rsidR="00C379AC" w:rsidRPr="000D6C33">
          <w:rPr>
            <w:rStyle w:val="Hyperlink"/>
            <w:noProof/>
          </w:rPr>
          <w:t>Confidentiality Agreement</w:t>
        </w:r>
        <w:r w:rsidR="00C379AC">
          <w:rPr>
            <w:noProof/>
            <w:webHidden/>
          </w:rPr>
          <w:tab/>
        </w:r>
        <w:r>
          <w:rPr>
            <w:noProof/>
            <w:webHidden/>
          </w:rPr>
          <w:fldChar w:fldCharType="begin"/>
        </w:r>
        <w:r w:rsidR="00C379AC">
          <w:rPr>
            <w:noProof/>
            <w:webHidden/>
          </w:rPr>
          <w:instrText xml:space="preserve"> PAGEREF _Toc283819628 \h </w:instrText>
        </w:r>
        <w:r>
          <w:rPr>
            <w:noProof/>
            <w:webHidden/>
          </w:rPr>
        </w:r>
        <w:r>
          <w:rPr>
            <w:noProof/>
            <w:webHidden/>
          </w:rPr>
          <w:fldChar w:fldCharType="separate"/>
        </w:r>
        <w:r w:rsidR="00C379AC">
          <w:rPr>
            <w:noProof/>
            <w:webHidden/>
          </w:rPr>
          <w:t>8</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29" w:history="1">
        <w:r w:rsidR="00C379AC" w:rsidRPr="000D6C33">
          <w:rPr>
            <w:rStyle w:val="Hyperlink"/>
            <w:noProof/>
          </w:rPr>
          <w:t>Information Memoranda on Qualifying Projects</w:t>
        </w:r>
        <w:r w:rsidR="00C379AC">
          <w:rPr>
            <w:noProof/>
            <w:webHidden/>
          </w:rPr>
          <w:tab/>
        </w:r>
        <w:r>
          <w:rPr>
            <w:noProof/>
            <w:webHidden/>
          </w:rPr>
          <w:fldChar w:fldCharType="begin"/>
        </w:r>
        <w:r w:rsidR="00C379AC">
          <w:rPr>
            <w:noProof/>
            <w:webHidden/>
          </w:rPr>
          <w:instrText xml:space="preserve"> PAGEREF _Toc283819629 \h </w:instrText>
        </w:r>
        <w:r>
          <w:rPr>
            <w:noProof/>
            <w:webHidden/>
          </w:rPr>
        </w:r>
        <w:r>
          <w:rPr>
            <w:noProof/>
            <w:webHidden/>
          </w:rPr>
          <w:fldChar w:fldCharType="separate"/>
        </w:r>
        <w:r w:rsidR="00C379AC">
          <w:rPr>
            <w:noProof/>
            <w:webHidden/>
          </w:rPr>
          <w:t>9</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30" w:history="1">
        <w:r w:rsidR="00C379AC" w:rsidRPr="000D6C33">
          <w:rPr>
            <w:rStyle w:val="Hyperlink"/>
            <w:noProof/>
          </w:rPr>
          <w:t>Draft Project Transfer Agreements</w:t>
        </w:r>
        <w:r w:rsidR="00C379AC">
          <w:rPr>
            <w:noProof/>
            <w:webHidden/>
          </w:rPr>
          <w:tab/>
        </w:r>
        <w:r>
          <w:rPr>
            <w:noProof/>
            <w:webHidden/>
          </w:rPr>
          <w:fldChar w:fldCharType="begin"/>
        </w:r>
        <w:r w:rsidR="00C379AC">
          <w:rPr>
            <w:noProof/>
            <w:webHidden/>
          </w:rPr>
          <w:instrText xml:space="preserve"> PAGEREF _Toc283819630 \h </w:instrText>
        </w:r>
        <w:r>
          <w:rPr>
            <w:noProof/>
            <w:webHidden/>
          </w:rPr>
        </w:r>
        <w:r>
          <w:rPr>
            <w:noProof/>
            <w:webHidden/>
          </w:rPr>
          <w:fldChar w:fldCharType="separate"/>
        </w:r>
        <w:r w:rsidR="00C379AC">
          <w:rPr>
            <w:noProof/>
            <w:webHidden/>
          </w:rPr>
          <w:t>9</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31" w:history="1">
        <w:r w:rsidR="00C379AC" w:rsidRPr="000D6C33">
          <w:rPr>
            <w:rStyle w:val="Hyperlink"/>
            <w:noProof/>
          </w:rPr>
          <w:t>Other Documents</w:t>
        </w:r>
        <w:r w:rsidR="00C379AC">
          <w:rPr>
            <w:noProof/>
            <w:webHidden/>
          </w:rPr>
          <w:tab/>
        </w:r>
        <w:r>
          <w:rPr>
            <w:noProof/>
            <w:webHidden/>
          </w:rPr>
          <w:fldChar w:fldCharType="begin"/>
        </w:r>
        <w:r w:rsidR="00C379AC">
          <w:rPr>
            <w:noProof/>
            <w:webHidden/>
          </w:rPr>
          <w:instrText xml:space="preserve"> PAGEREF _Toc283819631 \h </w:instrText>
        </w:r>
        <w:r>
          <w:rPr>
            <w:noProof/>
            <w:webHidden/>
          </w:rPr>
        </w:r>
        <w:r>
          <w:rPr>
            <w:noProof/>
            <w:webHidden/>
          </w:rPr>
          <w:fldChar w:fldCharType="separate"/>
        </w:r>
        <w:r w:rsidR="00C379AC">
          <w:rPr>
            <w:noProof/>
            <w:webHidden/>
          </w:rPr>
          <w:t>10</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32" w:history="1">
        <w:r w:rsidR="00C379AC" w:rsidRPr="000D6C33">
          <w:rPr>
            <w:rStyle w:val="Hyperlink"/>
            <w:noProof/>
          </w:rPr>
          <w:t>Third Package</w:t>
        </w:r>
        <w:r w:rsidR="00C379AC">
          <w:rPr>
            <w:noProof/>
            <w:webHidden/>
          </w:rPr>
          <w:tab/>
        </w:r>
        <w:r>
          <w:rPr>
            <w:noProof/>
            <w:webHidden/>
          </w:rPr>
          <w:fldChar w:fldCharType="begin"/>
        </w:r>
        <w:r w:rsidR="00C379AC">
          <w:rPr>
            <w:noProof/>
            <w:webHidden/>
          </w:rPr>
          <w:instrText xml:space="preserve"> PAGEREF _Toc283819632 \h </w:instrText>
        </w:r>
        <w:r>
          <w:rPr>
            <w:noProof/>
            <w:webHidden/>
          </w:rPr>
        </w:r>
        <w:r>
          <w:rPr>
            <w:noProof/>
            <w:webHidden/>
          </w:rPr>
          <w:fldChar w:fldCharType="separate"/>
        </w:r>
        <w:r w:rsidR="00C379AC">
          <w:rPr>
            <w:noProof/>
            <w:webHidden/>
          </w:rPr>
          <w:t>11</w:t>
        </w:r>
        <w:r>
          <w:rPr>
            <w:noProof/>
            <w:webHidden/>
          </w:rPr>
          <w:fldChar w:fldCharType="end"/>
        </w:r>
      </w:hyperlink>
    </w:p>
    <w:p w:rsidR="00C379AC" w:rsidRDefault="00ED2B5F">
      <w:pPr>
        <w:pStyle w:val="TOC1"/>
        <w:tabs>
          <w:tab w:val="right" w:leader="dot" w:pos="8636"/>
        </w:tabs>
        <w:rPr>
          <w:rFonts w:asciiTheme="minorHAnsi" w:eastAsiaTheme="minorEastAsia" w:hAnsiTheme="minorHAnsi" w:cstheme="minorBidi"/>
          <w:b w:val="0"/>
          <w:noProof/>
          <w:szCs w:val="22"/>
          <w:lang w:eastAsia="en-GB"/>
        </w:rPr>
      </w:pPr>
      <w:hyperlink w:anchor="_Toc283819633" w:history="1">
        <w:r w:rsidR="00C379AC" w:rsidRPr="000D6C33">
          <w:rPr>
            <w:rStyle w:val="Hyperlink"/>
            <w:noProof/>
          </w:rPr>
          <w:t>2. Instructions to Qualifying Bidders</w:t>
        </w:r>
        <w:r w:rsidR="00C379AC">
          <w:rPr>
            <w:noProof/>
            <w:webHidden/>
          </w:rPr>
          <w:tab/>
        </w:r>
        <w:r>
          <w:rPr>
            <w:noProof/>
            <w:webHidden/>
          </w:rPr>
          <w:fldChar w:fldCharType="begin"/>
        </w:r>
        <w:r w:rsidR="00C379AC">
          <w:rPr>
            <w:noProof/>
            <w:webHidden/>
          </w:rPr>
          <w:instrText xml:space="preserve"> PAGEREF _Toc283819633 \h </w:instrText>
        </w:r>
        <w:r>
          <w:rPr>
            <w:noProof/>
            <w:webHidden/>
          </w:rPr>
        </w:r>
        <w:r>
          <w:rPr>
            <w:noProof/>
            <w:webHidden/>
          </w:rPr>
          <w:fldChar w:fldCharType="separate"/>
        </w:r>
        <w:r w:rsidR="00C379AC">
          <w:rPr>
            <w:noProof/>
            <w:webHidden/>
          </w:rPr>
          <w:t>13</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34" w:history="1">
        <w:r w:rsidR="00C379AC" w:rsidRPr="000D6C33">
          <w:rPr>
            <w:rStyle w:val="Hyperlink"/>
            <w:noProof/>
          </w:rPr>
          <w:t>QTT Questionnaire</w:t>
        </w:r>
        <w:r w:rsidR="00C379AC">
          <w:rPr>
            <w:noProof/>
            <w:webHidden/>
          </w:rPr>
          <w:tab/>
        </w:r>
        <w:r>
          <w:rPr>
            <w:noProof/>
            <w:webHidden/>
          </w:rPr>
          <w:fldChar w:fldCharType="begin"/>
        </w:r>
        <w:r w:rsidR="00C379AC">
          <w:rPr>
            <w:noProof/>
            <w:webHidden/>
          </w:rPr>
          <w:instrText xml:space="preserve"> PAGEREF _Toc283819634 \h </w:instrText>
        </w:r>
        <w:r>
          <w:rPr>
            <w:noProof/>
            <w:webHidden/>
          </w:rPr>
        </w:r>
        <w:r>
          <w:rPr>
            <w:noProof/>
            <w:webHidden/>
          </w:rPr>
          <w:fldChar w:fldCharType="separate"/>
        </w:r>
        <w:r w:rsidR="00C379AC">
          <w:rPr>
            <w:noProof/>
            <w:webHidden/>
          </w:rPr>
          <w:t>13</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35" w:history="1">
        <w:r w:rsidR="00C379AC" w:rsidRPr="000D6C33">
          <w:rPr>
            <w:rStyle w:val="Hyperlink"/>
            <w:noProof/>
          </w:rPr>
          <w:t>Bidder Groups</w:t>
        </w:r>
        <w:r w:rsidR="00C379AC">
          <w:rPr>
            <w:noProof/>
            <w:webHidden/>
          </w:rPr>
          <w:tab/>
        </w:r>
        <w:r>
          <w:rPr>
            <w:noProof/>
            <w:webHidden/>
          </w:rPr>
          <w:fldChar w:fldCharType="begin"/>
        </w:r>
        <w:r w:rsidR="00C379AC">
          <w:rPr>
            <w:noProof/>
            <w:webHidden/>
          </w:rPr>
          <w:instrText xml:space="preserve"> PAGEREF _Toc283819635 \h </w:instrText>
        </w:r>
        <w:r>
          <w:rPr>
            <w:noProof/>
            <w:webHidden/>
          </w:rPr>
        </w:r>
        <w:r>
          <w:rPr>
            <w:noProof/>
            <w:webHidden/>
          </w:rPr>
          <w:fldChar w:fldCharType="separate"/>
        </w:r>
        <w:r w:rsidR="00C379AC">
          <w:rPr>
            <w:noProof/>
            <w:webHidden/>
          </w:rPr>
          <w:t>13</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36" w:history="1">
        <w:r w:rsidR="00C379AC" w:rsidRPr="000D6C33">
          <w:rPr>
            <w:rStyle w:val="Hyperlink"/>
            <w:noProof/>
          </w:rPr>
          <w:t>QTT Submissions</w:t>
        </w:r>
        <w:r w:rsidR="00C379AC">
          <w:rPr>
            <w:noProof/>
            <w:webHidden/>
          </w:rPr>
          <w:tab/>
        </w:r>
        <w:r>
          <w:rPr>
            <w:noProof/>
            <w:webHidden/>
          </w:rPr>
          <w:fldChar w:fldCharType="begin"/>
        </w:r>
        <w:r w:rsidR="00C379AC">
          <w:rPr>
            <w:noProof/>
            <w:webHidden/>
          </w:rPr>
          <w:instrText xml:space="preserve"> PAGEREF _Toc283819636 \h </w:instrText>
        </w:r>
        <w:r>
          <w:rPr>
            <w:noProof/>
            <w:webHidden/>
          </w:rPr>
        </w:r>
        <w:r>
          <w:rPr>
            <w:noProof/>
            <w:webHidden/>
          </w:rPr>
          <w:fldChar w:fldCharType="separate"/>
        </w:r>
        <w:r w:rsidR="00C379AC">
          <w:rPr>
            <w:noProof/>
            <w:webHidden/>
          </w:rPr>
          <w:t>13</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37" w:history="1">
        <w:r w:rsidR="00C379AC" w:rsidRPr="000D6C33">
          <w:rPr>
            <w:rStyle w:val="Hyperlink"/>
            <w:noProof/>
          </w:rPr>
          <w:t>QTT Submission Deadline</w:t>
        </w:r>
        <w:r w:rsidR="00C379AC">
          <w:rPr>
            <w:noProof/>
            <w:webHidden/>
          </w:rPr>
          <w:tab/>
        </w:r>
        <w:r>
          <w:rPr>
            <w:noProof/>
            <w:webHidden/>
          </w:rPr>
          <w:fldChar w:fldCharType="begin"/>
        </w:r>
        <w:r w:rsidR="00C379AC">
          <w:rPr>
            <w:noProof/>
            <w:webHidden/>
          </w:rPr>
          <w:instrText xml:space="preserve"> PAGEREF _Toc283819637 \h </w:instrText>
        </w:r>
        <w:r>
          <w:rPr>
            <w:noProof/>
            <w:webHidden/>
          </w:rPr>
        </w:r>
        <w:r>
          <w:rPr>
            <w:noProof/>
            <w:webHidden/>
          </w:rPr>
          <w:fldChar w:fldCharType="separate"/>
        </w:r>
        <w:r w:rsidR="00C379AC">
          <w:rPr>
            <w:noProof/>
            <w:webHidden/>
          </w:rPr>
          <w:t>13</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38" w:history="1">
        <w:r w:rsidR="00C379AC" w:rsidRPr="000D6C33">
          <w:rPr>
            <w:rStyle w:val="Hyperlink"/>
            <w:noProof/>
          </w:rPr>
          <w:t>Content of QTT Submissions</w:t>
        </w:r>
        <w:r w:rsidR="00C379AC">
          <w:rPr>
            <w:noProof/>
            <w:webHidden/>
          </w:rPr>
          <w:tab/>
        </w:r>
        <w:r>
          <w:rPr>
            <w:noProof/>
            <w:webHidden/>
          </w:rPr>
          <w:fldChar w:fldCharType="begin"/>
        </w:r>
        <w:r w:rsidR="00C379AC">
          <w:rPr>
            <w:noProof/>
            <w:webHidden/>
          </w:rPr>
          <w:instrText xml:space="preserve"> PAGEREF _Toc283819638 \h </w:instrText>
        </w:r>
        <w:r>
          <w:rPr>
            <w:noProof/>
            <w:webHidden/>
          </w:rPr>
        </w:r>
        <w:r>
          <w:rPr>
            <w:noProof/>
            <w:webHidden/>
          </w:rPr>
          <w:fldChar w:fldCharType="separate"/>
        </w:r>
        <w:r w:rsidR="00C379AC">
          <w:rPr>
            <w:noProof/>
            <w:webHidden/>
          </w:rPr>
          <w:t>14</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39" w:history="1">
        <w:r w:rsidR="00C379AC" w:rsidRPr="000D6C33">
          <w:rPr>
            <w:rStyle w:val="Hyperlink"/>
            <w:rFonts w:eastAsia="SimSun"/>
            <w:noProof/>
          </w:rPr>
          <w:t>Changes arising since PQ Submission</w:t>
        </w:r>
        <w:r w:rsidR="00C379AC">
          <w:rPr>
            <w:noProof/>
            <w:webHidden/>
          </w:rPr>
          <w:tab/>
        </w:r>
        <w:r>
          <w:rPr>
            <w:noProof/>
            <w:webHidden/>
          </w:rPr>
          <w:fldChar w:fldCharType="begin"/>
        </w:r>
        <w:r w:rsidR="00C379AC">
          <w:rPr>
            <w:noProof/>
            <w:webHidden/>
          </w:rPr>
          <w:instrText xml:space="preserve"> PAGEREF _Toc283819639 \h </w:instrText>
        </w:r>
        <w:r>
          <w:rPr>
            <w:noProof/>
            <w:webHidden/>
          </w:rPr>
        </w:r>
        <w:r>
          <w:rPr>
            <w:noProof/>
            <w:webHidden/>
          </w:rPr>
          <w:fldChar w:fldCharType="separate"/>
        </w:r>
        <w:r w:rsidR="00C379AC">
          <w:rPr>
            <w:noProof/>
            <w:webHidden/>
          </w:rPr>
          <w:t>15</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40" w:history="1">
        <w:r w:rsidR="00C379AC" w:rsidRPr="000D6C33">
          <w:rPr>
            <w:rStyle w:val="Hyperlink"/>
            <w:noProof/>
          </w:rPr>
          <w:t>Changes in Qualifying Project Appetite</w:t>
        </w:r>
        <w:r w:rsidR="00C379AC">
          <w:rPr>
            <w:noProof/>
            <w:webHidden/>
          </w:rPr>
          <w:tab/>
        </w:r>
        <w:r>
          <w:rPr>
            <w:noProof/>
            <w:webHidden/>
          </w:rPr>
          <w:fldChar w:fldCharType="begin"/>
        </w:r>
        <w:r w:rsidR="00C379AC">
          <w:rPr>
            <w:noProof/>
            <w:webHidden/>
          </w:rPr>
          <w:instrText xml:space="preserve"> PAGEREF _Toc283819640 \h </w:instrText>
        </w:r>
        <w:r>
          <w:rPr>
            <w:noProof/>
            <w:webHidden/>
          </w:rPr>
        </w:r>
        <w:r>
          <w:rPr>
            <w:noProof/>
            <w:webHidden/>
          </w:rPr>
          <w:fldChar w:fldCharType="separate"/>
        </w:r>
        <w:r w:rsidR="00C379AC">
          <w:rPr>
            <w:noProof/>
            <w:webHidden/>
          </w:rPr>
          <w:t>15</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41" w:history="1">
        <w:r w:rsidR="00C379AC" w:rsidRPr="000D6C33">
          <w:rPr>
            <w:rStyle w:val="Hyperlink"/>
            <w:noProof/>
          </w:rPr>
          <w:t>Changes to a Bidder Group</w:t>
        </w:r>
        <w:r w:rsidR="00C379AC">
          <w:rPr>
            <w:noProof/>
            <w:webHidden/>
          </w:rPr>
          <w:tab/>
        </w:r>
        <w:r>
          <w:rPr>
            <w:noProof/>
            <w:webHidden/>
          </w:rPr>
          <w:fldChar w:fldCharType="begin"/>
        </w:r>
        <w:r w:rsidR="00C379AC">
          <w:rPr>
            <w:noProof/>
            <w:webHidden/>
          </w:rPr>
          <w:instrText xml:space="preserve"> PAGEREF _Toc283819641 \h </w:instrText>
        </w:r>
        <w:r>
          <w:rPr>
            <w:noProof/>
            <w:webHidden/>
          </w:rPr>
        </w:r>
        <w:r>
          <w:rPr>
            <w:noProof/>
            <w:webHidden/>
          </w:rPr>
          <w:fldChar w:fldCharType="separate"/>
        </w:r>
        <w:r w:rsidR="00C379AC">
          <w:rPr>
            <w:noProof/>
            <w:webHidden/>
          </w:rPr>
          <w:t>15</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42" w:history="1">
        <w:r w:rsidR="00C379AC" w:rsidRPr="000D6C33">
          <w:rPr>
            <w:rStyle w:val="Hyperlink"/>
            <w:noProof/>
          </w:rPr>
          <w:t>Draft Project Transfer Agreements</w:t>
        </w:r>
        <w:r w:rsidR="00C379AC">
          <w:rPr>
            <w:noProof/>
            <w:webHidden/>
          </w:rPr>
          <w:tab/>
        </w:r>
        <w:r>
          <w:rPr>
            <w:noProof/>
            <w:webHidden/>
          </w:rPr>
          <w:fldChar w:fldCharType="begin"/>
        </w:r>
        <w:r w:rsidR="00C379AC">
          <w:rPr>
            <w:noProof/>
            <w:webHidden/>
          </w:rPr>
          <w:instrText xml:space="preserve"> PAGEREF _Toc283819642 \h </w:instrText>
        </w:r>
        <w:r>
          <w:rPr>
            <w:noProof/>
            <w:webHidden/>
          </w:rPr>
        </w:r>
        <w:r>
          <w:rPr>
            <w:noProof/>
            <w:webHidden/>
          </w:rPr>
          <w:fldChar w:fldCharType="separate"/>
        </w:r>
        <w:r w:rsidR="00C379AC">
          <w:rPr>
            <w:noProof/>
            <w:webHidden/>
          </w:rPr>
          <w:t>15</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43" w:history="1">
        <w:r w:rsidR="00C379AC" w:rsidRPr="000D6C33">
          <w:rPr>
            <w:rStyle w:val="Hyperlink"/>
            <w:noProof/>
          </w:rPr>
          <w:t>Commentary tables</w:t>
        </w:r>
        <w:r w:rsidR="00C379AC">
          <w:rPr>
            <w:noProof/>
            <w:webHidden/>
          </w:rPr>
          <w:tab/>
        </w:r>
        <w:r>
          <w:rPr>
            <w:noProof/>
            <w:webHidden/>
          </w:rPr>
          <w:fldChar w:fldCharType="begin"/>
        </w:r>
        <w:r w:rsidR="00C379AC">
          <w:rPr>
            <w:noProof/>
            <w:webHidden/>
          </w:rPr>
          <w:instrText xml:space="preserve"> PAGEREF _Toc283819643 \h </w:instrText>
        </w:r>
        <w:r>
          <w:rPr>
            <w:noProof/>
            <w:webHidden/>
          </w:rPr>
        </w:r>
        <w:r>
          <w:rPr>
            <w:noProof/>
            <w:webHidden/>
          </w:rPr>
          <w:fldChar w:fldCharType="separate"/>
        </w:r>
        <w:r w:rsidR="00C379AC">
          <w:rPr>
            <w:noProof/>
            <w:webHidden/>
          </w:rPr>
          <w:t>16</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44" w:history="1">
        <w:r w:rsidR="00C379AC" w:rsidRPr="000D6C33">
          <w:rPr>
            <w:rStyle w:val="Hyperlink"/>
            <w:noProof/>
          </w:rPr>
          <w:t>Form of commentary tables</w:t>
        </w:r>
        <w:r w:rsidR="00C379AC">
          <w:rPr>
            <w:noProof/>
            <w:webHidden/>
          </w:rPr>
          <w:tab/>
        </w:r>
        <w:r>
          <w:rPr>
            <w:noProof/>
            <w:webHidden/>
          </w:rPr>
          <w:fldChar w:fldCharType="begin"/>
        </w:r>
        <w:r w:rsidR="00C379AC">
          <w:rPr>
            <w:noProof/>
            <w:webHidden/>
          </w:rPr>
          <w:instrText xml:space="preserve"> PAGEREF _Toc283819644 \h </w:instrText>
        </w:r>
        <w:r>
          <w:rPr>
            <w:noProof/>
            <w:webHidden/>
          </w:rPr>
        </w:r>
        <w:r>
          <w:rPr>
            <w:noProof/>
            <w:webHidden/>
          </w:rPr>
          <w:fldChar w:fldCharType="separate"/>
        </w:r>
        <w:r w:rsidR="00C379AC">
          <w:rPr>
            <w:noProof/>
            <w:webHidden/>
          </w:rPr>
          <w:t>17</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45" w:history="1">
        <w:r w:rsidR="00C379AC" w:rsidRPr="000D6C33">
          <w:rPr>
            <w:rStyle w:val="Hyperlink"/>
            <w:noProof/>
          </w:rPr>
          <w:t>Clarifications</w:t>
        </w:r>
        <w:r w:rsidR="00C379AC">
          <w:rPr>
            <w:noProof/>
            <w:webHidden/>
          </w:rPr>
          <w:tab/>
        </w:r>
        <w:r>
          <w:rPr>
            <w:noProof/>
            <w:webHidden/>
          </w:rPr>
          <w:fldChar w:fldCharType="begin"/>
        </w:r>
        <w:r w:rsidR="00C379AC">
          <w:rPr>
            <w:noProof/>
            <w:webHidden/>
          </w:rPr>
          <w:instrText xml:space="preserve"> PAGEREF _Toc283819645 \h </w:instrText>
        </w:r>
        <w:r>
          <w:rPr>
            <w:noProof/>
            <w:webHidden/>
          </w:rPr>
        </w:r>
        <w:r>
          <w:rPr>
            <w:noProof/>
            <w:webHidden/>
          </w:rPr>
          <w:fldChar w:fldCharType="separate"/>
        </w:r>
        <w:r w:rsidR="00C379AC">
          <w:rPr>
            <w:noProof/>
            <w:webHidden/>
          </w:rPr>
          <w:t>17</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46" w:history="1">
        <w:r w:rsidR="00C379AC" w:rsidRPr="000D6C33">
          <w:rPr>
            <w:rStyle w:val="Hyperlink"/>
            <w:noProof/>
          </w:rPr>
          <w:t>Qualifying Bidder Clarifications</w:t>
        </w:r>
        <w:r w:rsidR="00C379AC">
          <w:rPr>
            <w:noProof/>
            <w:webHidden/>
          </w:rPr>
          <w:tab/>
        </w:r>
        <w:r>
          <w:rPr>
            <w:noProof/>
            <w:webHidden/>
          </w:rPr>
          <w:fldChar w:fldCharType="begin"/>
        </w:r>
        <w:r w:rsidR="00C379AC">
          <w:rPr>
            <w:noProof/>
            <w:webHidden/>
          </w:rPr>
          <w:instrText xml:space="preserve"> PAGEREF _Toc283819646 \h </w:instrText>
        </w:r>
        <w:r>
          <w:rPr>
            <w:noProof/>
            <w:webHidden/>
          </w:rPr>
        </w:r>
        <w:r>
          <w:rPr>
            <w:noProof/>
            <w:webHidden/>
          </w:rPr>
          <w:fldChar w:fldCharType="separate"/>
        </w:r>
        <w:r w:rsidR="00C379AC">
          <w:rPr>
            <w:noProof/>
            <w:webHidden/>
          </w:rPr>
          <w:t>17</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47" w:history="1">
        <w:r w:rsidR="00C379AC" w:rsidRPr="000D6C33">
          <w:rPr>
            <w:rStyle w:val="Hyperlink"/>
            <w:noProof/>
          </w:rPr>
          <w:t>Ofgem Clarifications</w:t>
        </w:r>
        <w:r w:rsidR="00C379AC">
          <w:rPr>
            <w:noProof/>
            <w:webHidden/>
          </w:rPr>
          <w:tab/>
        </w:r>
        <w:r>
          <w:rPr>
            <w:noProof/>
            <w:webHidden/>
          </w:rPr>
          <w:fldChar w:fldCharType="begin"/>
        </w:r>
        <w:r w:rsidR="00C379AC">
          <w:rPr>
            <w:noProof/>
            <w:webHidden/>
          </w:rPr>
          <w:instrText xml:space="preserve"> PAGEREF _Toc283819647 \h </w:instrText>
        </w:r>
        <w:r>
          <w:rPr>
            <w:noProof/>
            <w:webHidden/>
          </w:rPr>
        </w:r>
        <w:r>
          <w:rPr>
            <w:noProof/>
            <w:webHidden/>
          </w:rPr>
          <w:fldChar w:fldCharType="separate"/>
        </w:r>
        <w:r w:rsidR="00C379AC">
          <w:rPr>
            <w:noProof/>
            <w:webHidden/>
          </w:rPr>
          <w:t>18</w:t>
        </w:r>
        <w:r>
          <w:rPr>
            <w:noProof/>
            <w:webHidden/>
          </w:rPr>
          <w:fldChar w:fldCharType="end"/>
        </w:r>
      </w:hyperlink>
    </w:p>
    <w:p w:rsidR="00C379AC" w:rsidRDefault="00ED2B5F">
      <w:pPr>
        <w:pStyle w:val="TOC1"/>
        <w:tabs>
          <w:tab w:val="right" w:leader="dot" w:pos="8636"/>
        </w:tabs>
        <w:rPr>
          <w:rFonts w:asciiTheme="minorHAnsi" w:eastAsiaTheme="minorEastAsia" w:hAnsiTheme="minorHAnsi" w:cstheme="minorBidi"/>
          <w:b w:val="0"/>
          <w:noProof/>
          <w:szCs w:val="22"/>
          <w:lang w:eastAsia="en-GB"/>
        </w:rPr>
      </w:pPr>
      <w:hyperlink w:anchor="_Toc283819648" w:history="1">
        <w:r w:rsidR="00C379AC" w:rsidRPr="000D6C33">
          <w:rPr>
            <w:rStyle w:val="Hyperlink"/>
            <w:noProof/>
          </w:rPr>
          <w:t>3. QTT Questionnaire</w:t>
        </w:r>
        <w:r w:rsidR="00C379AC">
          <w:rPr>
            <w:noProof/>
            <w:webHidden/>
          </w:rPr>
          <w:tab/>
        </w:r>
        <w:r>
          <w:rPr>
            <w:noProof/>
            <w:webHidden/>
          </w:rPr>
          <w:fldChar w:fldCharType="begin"/>
        </w:r>
        <w:r w:rsidR="00C379AC">
          <w:rPr>
            <w:noProof/>
            <w:webHidden/>
          </w:rPr>
          <w:instrText xml:space="preserve"> PAGEREF _Toc283819648 \h </w:instrText>
        </w:r>
        <w:r>
          <w:rPr>
            <w:noProof/>
            <w:webHidden/>
          </w:rPr>
        </w:r>
        <w:r>
          <w:rPr>
            <w:noProof/>
            <w:webHidden/>
          </w:rPr>
          <w:fldChar w:fldCharType="separate"/>
        </w:r>
        <w:r w:rsidR="00C379AC">
          <w:rPr>
            <w:noProof/>
            <w:webHidden/>
          </w:rPr>
          <w:t>19</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49" w:history="1">
        <w:r w:rsidR="00C379AC" w:rsidRPr="000D6C33">
          <w:rPr>
            <w:rStyle w:val="Hyperlink"/>
            <w:noProof/>
          </w:rPr>
          <w:t>Section 1: Confirmation of PQ Submission</w:t>
        </w:r>
        <w:r w:rsidR="00C379AC">
          <w:rPr>
            <w:noProof/>
            <w:webHidden/>
          </w:rPr>
          <w:tab/>
        </w:r>
        <w:r>
          <w:rPr>
            <w:noProof/>
            <w:webHidden/>
          </w:rPr>
          <w:fldChar w:fldCharType="begin"/>
        </w:r>
        <w:r w:rsidR="00C379AC">
          <w:rPr>
            <w:noProof/>
            <w:webHidden/>
          </w:rPr>
          <w:instrText xml:space="preserve"> PAGEREF _Toc283819649 \h </w:instrText>
        </w:r>
        <w:r>
          <w:rPr>
            <w:noProof/>
            <w:webHidden/>
          </w:rPr>
        </w:r>
        <w:r>
          <w:rPr>
            <w:noProof/>
            <w:webHidden/>
          </w:rPr>
          <w:fldChar w:fldCharType="separate"/>
        </w:r>
        <w:r w:rsidR="00C379AC">
          <w:rPr>
            <w:noProof/>
            <w:webHidden/>
          </w:rPr>
          <w:t>21</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50" w:history="1">
        <w:r w:rsidR="00C379AC" w:rsidRPr="000D6C33">
          <w:rPr>
            <w:rStyle w:val="Hyperlink"/>
            <w:noProof/>
          </w:rPr>
          <w:t>Section 2: Relevant Qualifying Project</w:t>
        </w:r>
        <w:r w:rsidR="00C379AC">
          <w:rPr>
            <w:noProof/>
            <w:webHidden/>
          </w:rPr>
          <w:tab/>
        </w:r>
        <w:r>
          <w:rPr>
            <w:noProof/>
            <w:webHidden/>
          </w:rPr>
          <w:fldChar w:fldCharType="begin"/>
        </w:r>
        <w:r w:rsidR="00C379AC">
          <w:rPr>
            <w:noProof/>
            <w:webHidden/>
          </w:rPr>
          <w:instrText xml:space="preserve"> PAGEREF _Toc283819650 \h </w:instrText>
        </w:r>
        <w:r>
          <w:rPr>
            <w:noProof/>
            <w:webHidden/>
          </w:rPr>
        </w:r>
        <w:r>
          <w:rPr>
            <w:noProof/>
            <w:webHidden/>
          </w:rPr>
          <w:fldChar w:fldCharType="separate"/>
        </w:r>
        <w:r w:rsidR="00C379AC">
          <w:rPr>
            <w:noProof/>
            <w:webHidden/>
          </w:rPr>
          <w:t>22</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51" w:history="1">
        <w:r w:rsidR="00C379AC" w:rsidRPr="000D6C33">
          <w:rPr>
            <w:rStyle w:val="Hyperlink"/>
            <w:noProof/>
          </w:rPr>
          <w:t>Section 3: Project IRR and Tender Revenue Stream</w:t>
        </w:r>
        <w:r w:rsidR="00C379AC">
          <w:rPr>
            <w:noProof/>
            <w:webHidden/>
          </w:rPr>
          <w:tab/>
        </w:r>
        <w:r>
          <w:rPr>
            <w:noProof/>
            <w:webHidden/>
          </w:rPr>
          <w:fldChar w:fldCharType="begin"/>
        </w:r>
        <w:r w:rsidR="00C379AC">
          <w:rPr>
            <w:noProof/>
            <w:webHidden/>
          </w:rPr>
          <w:instrText xml:space="preserve"> PAGEREF _Toc283819651 \h </w:instrText>
        </w:r>
        <w:r>
          <w:rPr>
            <w:noProof/>
            <w:webHidden/>
          </w:rPr>
        </w:r>
        <w:r>
          <w:rPr>
            <w:noProof/>
            <w:webHidden/>
          </w:rPr>
          <w:fldChar w:fldCharType="separate"/>
        </w:r>
        <w:r w:rsidR="00C379AC">
          <w:rPr>
            <w:noProof/>
            <w:webHidden/>
          </w:rPr>
          <w:t>23</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52" w:history="1">
        <w:r w:rsidR="00C379AC" w:rsidRPr="000D6C33">
          <w:rPr>
            <w:rStyle w:val="Hyperlink"/>
            <w:noProof/>
          </w:rPr>
          <w:t>Section 4: Financing Strategy</w:t>
        </w:r>
        <w:r w:rsidR="00C379AC">
          <w:rPr>
            <w:noProof/>
            <w:webHidden/>
          </w:rPr>
          <w:tab/>
        </w:r>
        <w:r>
          <w:rPr>
            <w:noProof/>
            <w:webHidden/>
          </w:rPr>
          <w:fldChar w:fldCharType="begin"/>
        </w:r>
        <w:r w:rsidR="00C379AC">
          <w:rPr>
            <w:noProof/>
            <w:webHidden/>
          </w:rPr>
          <w:instrText xml:space="preserve"> PAGEREF _Toc283819652 \h </w:instrText>
        </w:r>
        <w:r>
          <w:rPr>
            <w:noProof/>
            <w:webHidden/>
          </w:rPr>
        </w:r>
        <w:r>
          <w:rPr>
            <w:noProof/>
            <w:webHidden/>
          </w:rPr>
          <w:fldChar w:fldCharType="separate"/>
        </w:r>
        <w:r w:rsidR="00C379AC">
          <w:rPr>
            <w:noProof/>
            <w:webHidden/>
          </w:rPr>
          <w:t>25</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53" w:history="1">
        <w:r w:rsidR="00C379AC" w:rsidRPr="000D6C33">
          <w:rPr>
            <w:rStyle w:val="Hyperlink"/>
            <w:noProof/>
          </w:rPr>
          <w:t>Section 5: Financial and Commercial Risk Management</w:t>
        </w:r>
        <w:r w:rsidR="00C379AC">
          <w:rPr>
            <w:noProof/>
            <w:webHidden/>
          </w:rPr>
          <w:tab/>
        </w:r>
        <w:r>
          <w:rPr>
            <w:noProof/>
            <w:webHidden/>
          </w:rPr>
          <w:fldChar w:fldCharType="begin"/>
        </w:r>
        <w:r w:rsidR="00C379AC">
          <w:rPr>
            <w:noProof/>
            <w:webHidden/>
          </w:rPr>
          <w:instrText xml:space="preserve"> PAGEREF _Toc283819653 \h </w:instrText>
        </w:r>
        <w:r>
          <w:rPr>
            <w:noProof/>
            <w:webHidden/>
          </w:rPr>
        </w:r>
        <w:r>
          <w:rPr>
            <w:noProof/>
            <w:webHidden/>
          </w:rPr>
          <w:fldChar w:fldCharType="separate"/>
        </w:r>
        <w:r w:rsidR="00C379AC">
          <w:rPr>
            <w:noProof/>
            <w:webHidden/>
          </w:rPr>
          <w:t>28</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54" w:history="1">
        <w:r w:rsidR="00C379AC" w:rsidRPr="000D6C33">
          <w:rPr>
            <w:rStyle w:val="Hyperlink"/>
            <w:noProof/>
          </w:rPr>
          <w:t>Section 6: Shareholding/Bidder Group Structure</w:t>
        </w:r>
        <w:r w:rsidR="00C379AC">
          <w:rPr>
            <w:noProof/>
            <w:webHidden/>
          </w:rPr>
          <w:tab/>
        </w:r>
        <w:r>
          <w:rPr>
            <w:noProof/>
            <w:webHidden/>
          </w:rPr>
          <w:fldChar w:fldCharType="begin"/>
        </w:r>
        <w:r w:rsidR="00C379AC">
          <w:rPr>
            <w:noProof/>
            <w:webHidden/>
          </w:rPr>
          <w:instrText xml:space="preserve"> PAGEREF _Toc283819654 \h </w:instrText>
        </w:r>
        <w:r>
          <w:rPr>
            <w:noProof/>
            <w:webHidden/>
          </w:rPr>
        </w:r>
        <w:r>
          <w:rPr>
            <w:noProof/>
            <w:webHidden/>
          </w:rPr>
          <w:fldChar w:fldCharType="separate"/>
        </w:r>
        <w:r w:rsidR="00C379AC">
          <w:rPr>
            <w:noProof/>
            <w:webHidden/>
          </w:rPr>
          <w:t>29</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55" w:history="1">
        <w:r w:rsidR="00C379AC" w:rsidRPr="000D6C33">
          <w:rPr>
            <w:rStyle w:val="Hyperlink"/>
            <w:noProof/>
          </w:rPr>
          <w:t>Section 7: Proposed Takeover Plan</w:t>
        </w:r>
        <w:r w:rsidR="00C379AC">
          <w:rPr>
            <w:noProof/>
            <w:webHidden/>
          </w:rPr>
          <w:tab/>
        </w:r>
        <w:r>
          <w:rPr>
            <w:noProof/>
            <w:webHidden/>
          </w:rPr>
          <w:fldChar w:fldCharType="begin"/>
        </w:r>
        <w:r w:rsidR="00C379AC">
          <w:rPr>
            <w:noProof/>
            <w:webHidden/>
          </w:rPr>
          <w:instrText xml:space="preserve"> PAGEREF _Toc283819655 \h </w:instrText>
        </w:r>
        <w:r>
          <w:rPr>
            <w:noProof/>
            <w:webHidden/>
          </w:rPr>
        </w:r>
        <w:r>
          <w:rPr>
            <w:noProof/>
            <w:webHidden/>
          </w:rPr>
          <w:fldChar w:fldCharType="separate"/>
        </w:r>
        <w:r w:rsidR="00C379AC">
          <w:rPr>
            <w:noProof/>
            <w:webHidden/>
          </w:rPr>
          <w:t>30</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56" w:history="1">
        <w:r w:rsidR="00C379AC" w:rsidRPr="000D6C33">
          <w:rPr>
            <w:rStyle w:val="Hyperlink"/>
            <w:noProof/>
          </w:rPr>
          <w:t>Section 8: Management and Operational Capability Statement</w:t>
        </w:r>
        <w:r w:rsidR="00C379AC">
          <w:rPr>
            <w:noProof/>
            <w:webHidden/>
          </w:rPr>
          <w:tab/>
        </w:r>
        <w:r>
          <w:rPr>
            <w:noProof/>
            <w:webHidden/>
          </w:rPr>
          <w:fldChar w:fldCharType="begin"/>
        </w:r>
        <w:r w:rsidR="00C379AC">
          <w:rPr>
            <w:noProof/>
            <w:webHidden/>
          </w:rPr>
          <w:instrText xml:space="preserve"> PAGEREF _Toc283819656 \h </w:instrText>
        </w:r>
        <w:r>
          <w:rPr>
            <w:noProof/>
            <w:webHidden/>
          </w:rPr>
        </w:r>
        <w:r>
          <w:rPr>
            <w:noProof/>
            <w:webHidden/>
          </w:rPr>
          <w:fldChar w:fldCharType="separate"/>
        </w:r>
        <w:r w:rsidR="00C379AC">
          <w:rPr>
            <w:noProof/>
            <w:webHidden/>
          </w:rPr>
          <w:t>31</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57" w:history="1">
        <w:r w:rsidR="00C379AC" w:rsidRPr="000D6C33">
          <w:rPr>
            <w:rStyle w:val="Hyperlink"/>
            <w:noProof/>
          </w:rPr>
          <w:t>Section 9: Transfer Agreement</w:t>
        </w:r>
        <w:r w:rsidR="00C379AC">
          <w:rPr>
            <w:noProof/>
            <w:webHidden/>
          </w:rPr>
          <w:tab/>
        </w:r>
        <w:r>
          <w:rPr>
            <w:noProof/>
            <w:webHidden/>
          </w:rPr>
          <w:fldChar w:fldCharType="begin"/>
        </w:r>
        <w:r w:rsidR="00C379AC">
          <w:rPr>
            <w:noProof/>
            <w:webHidden/>
          </w:rPr>
          <w:instrText xml:space="preserve"> PAGEREF _Toc283819657 \h </w:instrText>
        </w:r>
        <w:r>
          <w:rPr>
            <w:noProof/>
            <w:webHidden/>
          </w:rPr>
        </w:r>
        <w:r>
          <w:rPr>
            <w:noProof/>
            <w:webHidden/>
          </w:rPr>
          <w:fldChar w:fldCharType="separate"/>
        </w:r>
        <w:r w:rsidR="00C379AC">
          <w:rPr>
            <w:noProof/>
            <w:webHidden/>
          </w:rPr>
          <w:t>33</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58" w:history="1">
        <w:r w:rsidR="00C379AC" w:rsidRPr="000D6C33">
          <w:rPr>
            <w:rStyle w:val="Hyperlink"/>
            <w:noProof/>
          </w:rPr>
          <w:t>Section 10: QTT Certificate</w:t>
        </w:r>
        <w:r w:rsidR="00C379AC">
          <w:rPr>
            <w:noProof/>
            <w:webHidden/>
          </w:rPr>
          <w:tab/>
        </w:r>
        <w:r>
          <w:rPr>
            <w:noProof/>
            <w:webHidden/>
          </w:rPr>
          <w:fldChar w:fldCharType="begin"/>
        </w:r>
        <w:r w:rsidR="00C379AC">
          <w:rPr>
            <w:noProof/>
            <w:webHidden/>
          </w:rPr>
          <w:instrText xml:space="preserve"> PAGEREF _Toc283819658 \h </w:instrText>
        </w:r>
        <w:r>
          <w:rPr>
            <w:noProof/>
            <w:webHidden/>
          </w:rPr>
        </w:r>
        <w:r>
          <w:rPr>
            <w:noProof/>
            <w:webHidden/>
          </w:rPr>
          <w:fldChar w:fldCharType="separate"/>
        </w:r>
        <w:r w:rsidR="00C379AC">
          <w:rPr>
            <w:noProof/>
            <w:webHidden/>
          </w:rPr>
          <w:t>34</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59" w:history="1">
        <w:r w:rsidR="00C379AC" w:rsidRPr="000D6C33">
          <w:rPr>
            <w:rStyle w:val="Hyperlink"/>
            <w:noProof/>
          </w:rPr>
          <w:t>Section 11: Confidentiality</w:t>
        </w:r>
        <w:r w:rsidR="00C379AC">
          <w:rPr>
            <w:noProof/>
            <w:webHidden/>
          </w:rPr>
          <w:tab/>
        </w:r>
        <w:r>
          <w:rPr>
            <w:noProof/>
            <w:webHidden/>
          </w:rPr>
          <w:fldChar w:fldCharType="begin"/>
        </w:r>
        <w:r w:rsidR="00C379AC">
          <w:rPr>
            <w:noProof/>
            <w:webHidden/>
          </w:rPr>
          <w:instrText xml:space="preserve"> PAGEREF _Toc283819659 \h </w:instrText>
        </w:r>
        <w:r>
          <w:rPr>
            <w:noProof/>
            <w:webHidden/>
          </w:rPr>
        </w:r>
        <w:r>
          <w:rPr>
            <w:noProof/>
            <w:webHidden/>
          </w:rPr>
          <w:fldChar w:fldCharType="separate"/>
        </w:r>
        <w:r w:rsidR="00C379AC">
          <w:rPr>
            <w:noProof/>
            <w:webHidden/>
          </w:rPr>
          <w:t>36</w:t>
        </w:r>
        <w:r>
          <w:rPr>
            <w:noProof/>
            <w:webHidden/>
          </w:rPr>
          <w:fldChar w:fldCharType="end"/>
        </w:r>
      </w:hyperlink>
    </w:p>
    <w:p w:rsidR="00C379AC" w:rsidRDefault="00ED2B5F">
      <w:pPr>
        <w:pStyle w:val="TOC1"/>
        <w:tabs>
          <w:tab w:val="right" w:leader="dot" w:pos="8636"/>
        </w:tabs>
        <w:rPr>
          <w:rFonts w:asciiTheme="minorHAnsi" w:eastAsiaTheme="minorEastAsia" w:hAnsiTheme="minorHAnsi" w:cstheme="minorBidi"/>
          <w:b w:val="0"/>
          <w:noProof/>
          <w:szCs w:val="22"/>
          <w:lang w:eastAsia="en-GB"/>
        </w:rPr>
      </w:pPr>
      <w:hyperlink w:anchor="_Toc283819660" w:history="1">
        <w:r w:rsidR="00C379AC" w:rsidRPr="000D6C33">
          <w:rPr>
            <w:rStyle w:val="Hyperlink"/>
            <w:noProof/>
          </w:rPr>
          <w:t>4. Evaluation of QTT Submissions</w:t>
        </w:r>
        <w:r w:rsidR="00C379AC">
          <w:rPr>
            <w:noProof/>
            <w:webHidden/>
          </w:rPr>
          <w:tab/>
        </w:r>
        <w:r>
          <w:rPr>
            <w:noProof/>
            <w:webHidden/>
          </w:rPr>
          <w:fldChar w:fldCharType="begin"/>
        </w:r>
        <w:r w:rsidR="00C379AC">
          <w:rPr>
            <w:noProof/>
            <w:webHidden/>
          </w:rPr>
          <w:instrText xml:space="preserve"> PAGEREF _Toc283819660 \h </w:instrText>
        </w:r>
        <w:r>
          <w:rPr>
            <w:noProof/>
            <w:webHidden/>
          </w:rPr>
        </w:r>
        <w:r>
          <w:rPr>
            <w:noProof/>
            <w:webHidden/>
          </w:rPr>
          <w:fldChar w:fldCharType="separate"/>
        </w:r>
        <w:r w:rsidR="00C379AC">
          <w:rPr>
            <w:noProof/>
            <w:webHidden/>
          </w:rPr>
          <w:t>37</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61" w:history="1">
        <w:r w:rsidR="00C379AC" w:rsidRPr="000D6C33">
          <w:rPr>
            <w:rStyle w:val="Hyperlink"/>
            <w:noProof/>
          </w:rPr>
          <w:t>Introduction</w:t>
        </w:r>
        <w:r w:rsidR="00C379AC">
          <w:rPr>
            <w:noProof/>
            <w:webHidden/>
          </w:rPr>
          <w:tab/>
        </w:r>
        <w:r>
          <w:rPr>
            <w:noProof/>
            <w:webHidden/>
          </w:rPr>
          <w:fldChar w:fldCharType="begin"/>
        </w:r>
        <w:r w:rsidR="00C379AC">
          <w:rPr>
            <w:noProof/>
            <w:webHidden/>
          </w:rPr>
          <w:instrText xml:space="preserve"> PAGEREF _Toc283819661 \h </w:instrText>
        </w:r>
        <w:r>
          <w:rPr>
            <w:noProof/>
            <w:webHidden/>
          </w:rPr>
        </w:r>
        <w:r>
          <w:rPr>
            <w:noProof/>
            <w:webHidden/>
          </w:rPr>
          <w:fldChar w:fldCharType="separate"/>
        </w:r>
        <w:r w:rsidR="00C379AC">
          <w:rPr>
            <w:noProof/>
            <w:webHidden/>
          </w:rPr>
          <w:t>37</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62" w:history="1">
        <w:r w:rsidR="00C379AC" w:rsidRPr="000D6C33">
          <w:rPr>
            <w:rStyle w:val="Hyperlink"/>
            <w:noProof/>
          </w:rPr>
          <w:t>Evaluation Process</w:t>
        </w:r>
        <w:r w:rsidR="00C379AC">
          <w:rPr>
            <w:noProof/>
            <w:webHidden/>
          </w:rPr>
          <w:tab/>
        </w:r>
        <w:r>
          <w:rPr>
            <w:noProof/>
            <w:webHidden/>
          </w:rPr>
          <w:fldChar w:fldCharType="begin"/>
        </w:r>
        <w:r w:rsidR="00C379AC">
          <w:rPr>
            <w:noProof/>
            <w:webHidden/>
          </w:rPr>
          <w:instrText xml:space="preserve"> PAGEREF _Toc283819662 \h </w:instrText>
        </w:r>
        <w:r>
          <w:rPr>
            <w:noProof/>
            <w:webHidden/>
          </w:rPr>
        </w:r>
        <w:r>
          <w:rPr>
            <w:noProof/>
            <w:webHidden/>
          </w:rPr>
          <w:fldChar w:fldCharType="separate"/>
        </w:r>
        <w:r w:rsidR="00C379AC">
          <w:rPr>
            <w:noProof/>
            <w:webHidden/>
          </w:rPr>
          <w:t>37</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63" w:history="1">
        <w:r w:rsidR="00C379AC" w:rsidRPr="000D6C33">
          <w:rPr>
            <w:rStyle w:val="Hyperlink"/>
            <w:noProof/>
          </w:rPr>
          <w:t>Assessment of Completeness</w:t>
        </w:r>
        <w:r w:rsidR="00C379AC">
          <w:rPr>
            <w:noProof/>
            <w:webHidden/>
          </w:rPr>
          <w:tab/>
        </w:r>
        <w:r>
          <w:rPr>
            <w:noProof/>
            <w:webHidden/>
          </w:rPr>
          <w:fldChar w:fldCharType="begin"/>
        </w:r>
        <w:r w:rsidR="00C379AC">
          <w:rPr>
            <w:noProof/>
            <w:webHidden/>
          </w:rPr>
          <w:instrText xml:space="preserve"> PAGEREF _Toc283819663 \h </w:instrText>
        </w:r>
        <w:r>
          <w:rPr>
            <w:noProof/>
            <w:webHidden/>
          </w:rPr>
        </w:r>
        <w:r>
          <w:rPr>
            <w:noProof/>
            <w:webHidden/>
          </w:rPr>
          <w:fldChar w:fldCharType="separate"/>
        </w:r>
        <w:r w:rsidR="00C379AC">
          <w:rPr>
            <w:noProof/>
            <w:webHidden/>
          </w:rPr>
          <w:t>37</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64" w:history="1">
        <w:r w:rsidR="00C379AC" w:rsidRPr="000D6C33">
          <w:rPr>
            <w:rStyle w:val="Hyperlink"/>
            <w:noProof/>
          </w:rPr>
          <w:t>Assessment of Compliance</w:t>
        </w:r>
        <w:r w:rsidR="00C379AC">
          <w:rPr>
            <w:noProof/>
            <w:webHidden/>
          </w:rPr>
          <w:tab/>
        </w:r>
        <w:r>
          <w:rPr>
            <w:noProof/>
            <w:webHidden/>
          </w:rPr>
          <w:fldChar w:fldCharType="begin"/>
        </w:r>
        <w:r w:rsidR="00C379AC">
          <w:rPr>
            <w:noProof/>
            <w:webHidden/>
          </w:rPr>
          <w:instrText xml:space="preserve"> PAGEREF _Toc283819664 \h </w:instrText>
        </w:r>
        <w:r>
          <w:rPr>
            <w:noProof/>
            <w:webHidden/>
          </w:rPr>
        </w:r>
        <w:r>
          <w:rPr>
            <w:noProof/>
            <w:webHidden/>
          </w:rPr>
          <w:fldChar w:fldCharType="separate"/>
        </w:r>
        <w:r w:rsidR="00C379AC">
          <w:rPr>
            <w:noProof/>
            <w:webHidden/>
          </w:rPr>
          <w:t>38</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65" w:history="1">
        <w:r w:rsidR="00C379AC" w:rsidRPr="000D6C33">
          <w:rPr>
            <w:rStyle w:val="Hyperlink"/>
            <w:noProof/>
          </w:rPr>
          <w:t>QTT Evaluation Criteria</w:t>
        </w:r>
        <w:r w:rsidR="00C379AC">
          <w:rPr>
            <w:noProof/>
            <w:webHidden/>
          </w:rPr>
          <w:tab/>
        </w:r>
        <w:r>
          <w:rPr>
            <w:noProof/>
            <w:webHidden/>
          </w:rPr>
          <w:fldChar w:fldCharType="begin"/>
        </w:r>
        <w:r w:rsidR="00C379AC">
          <w:rPr>
            <w:noProof/>
            <w:webHidden/>
          </w:rPr>
          <w:instrText xml:space="preserve"> PAGEREF _Toc283819665 \h </w:instrText>
        </w:r>
        <w:r>
          <w:rPr>
            <w:noProof/>
            <w:webHidden/>
          </w:rPr>
        </w:r>
        <w:r>
          <w:rPr>
            <w:noProof/>
            <w:webHidden/>
          </w:rPr>
          <w:fldChar w:fldCharType="separate"/>
        </w:r>
        <w:r w:rsidR="00C379AC">
          <w:rPr>
            <w:noProof/>
            <w:webHidden/>
          </w:rPr>
          <w:t>38</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66" w:history="1">
        <w:r w:rsidR="00C379AC" w:rsidRPr="000D6C33">
          <w:rPr>
            <w:rStyle w:val="Hyperlink"/>
            <w:noProof/>
          </w:rPr>
          <w:t>Section 1: Confirmation of PQ Submission</w:t>
        </w:r>
        <w:r w:rsidR="00C379AC">
          <w:rPr>
            <w:noProof/>
            <w:webHidden/>
          </w:rPr>
          <w:tab/>
        </w:r>
        <w:r>
          <w:rPr>
            <w:noProof/>
            <w:webHidden/>
          </w:rPr>
          <w:fldChar w:fldCharType="begin"/>
        </w:r>
        <w:r w:rsidR="00C379AC">
          <w:rPr>
            <w:noProof/>
            <w:webHidden/>
          </w:rPr>
          <w:instrText xml:space="preserve"> PAGEREF _Toc283819666 \h </w:instrText>
        </w:r>
        <w:r>
          <w:rPr>
            <w:noProof/>
            <w:webHidden/>
          </w:rPr>
        </w:r>
        <w:r>
          <w:rPr>
            <w:noProof/>
            <w:webHidden/>
          </w:rPr>
          <w:fldChar w:fldCharType="separate"/>
        </w:r>
        <w:r w:rsidR="00C379AC">
          <w:rPr>
            <w:noProof/>
            <w:webHidden/>
          </w:rPr>
          <w:t>38</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67" w:history="1">
        <w:r w:rsidR="00C379AC" w:rsidRPr="000D6C33">
          <w:rPr>
            <w:rStyle w:val="Hyperlink"/>
            <w:noProof/>
          </w:rPr>
          <w:t>Section 2: Relevant Qualifying Project</w:t>
        </w:r>
        <w:r w:rsidR="00C379AC">
          <w:rPr>
            <w:noProof/>
            <w:webHidden/>
          </w:rPr>
          <w:tab/>
        </w:r>
        <w:r>
          <w:rPr>
            <w:noProof/>
            <w:webHidden/>
          </w:rPr>
          <w:fldChar w:fldCharType="begin"/>
        </w:r>
        <w:r w:rsidR="00C379AC">
          <w:rPr>
            <w:noProof/>
            <w:webHidden/>
          </w:rPr>
          <w:instrText xml:space="preserve"> PAGEREF _Toc283819667 \h </w:instrText>
        </w:r>
        <w:r>
          <w:rPr>
            <w:noProof/>
            <w:webHidden/>
          </w:rPr>
        </w:r>
        <w:r>
          <w:rPr>
            <w:noProof/>
            <w:webHidden/>
          </w:rPr>
          <w:fldChar w:fldCharType="separate"/>
        </w:r>
        <w:r w:rsidR="00C379AC">
          <w:rPr>
            <w:noProof/>
            <w:webHidden/>
          </w:rPr>
          <w:t>39</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68" w:history="1">
        <w:r w:rsidR="00C379AC" w:rsidRPr="000D6C33">
          <w:rPr>
            <w:rStyle w:val="Hyperlink"/>
            <w:noProof/>
          </w:rPr>
          <w:t>Section 3: Project IRR and Tender Revenue Stream (25% Weighting)</w:t>
        </w:r>
        <w:r w:rsidR="00C379AC">
          <w:rPr>
            <w:noProof/>
            <w:webHidden/>
          </w:rPr>
          <w:tab/>
        </w:r>
        <w:r>
          <w:rPr>
            <w:noProof/>
            <w:webHidden/>
          </w:rPr>
          <w:fldChar w:fldCharType="begin"/>
        </w:r>
        <w:r w:rsidR="00C379AC">
          <w:rPr>
            <w:noProof/>
            <w:webHidden/>
          </w:rPr>
          <w:instrText xml:space="preserve"> PAGEREF _Toc283819668 \h </w:instrText>
        </w:r>
        <w:r>
          <w:rPr>
            <w:noProof/>
            <w:webHidden/>
          </w:rPr>
        </w:r>
        <w:r>
          <w:rPr>
            <w:noProof/>
            <w:webHidden/>
          </w:rPr>
          <w:fldChar w:fldCharType="separate"/>
        </w:r>
        <w:r w:rsidR="00C379AC">
          <w:rPr>
            <w:noProof/>
            <w:webHidden/>
          </w:rPr>
          <w:t>39</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69" w:history="1">
        <w:r w:rsidR="00C379AC" w:rsidRPr="000D6C33">
          <w:rPr>
            <w:rStyle w:val="Hyperlink"/>
            <w:noProof/>
          </w:rPr>
          <w:t>Section 4: Financing Strategy (15% Weighting)</w:t>
        </w:r>
        <w:r w:rsidR="00C379AC">
          <w:rPr>
            <w:noProof/>
            <w:webHidden/>
          </w:rPr>
          <w:tab/>
        </w:r>
        <w:r>
          <w:rPr>
            <w:noProof/>
            <w:webHidden/>
          </w:rPr>
          <w:fldChar w:fldCharType="begin"/>
        </w:r>
        <w:r w:rsidR="00C379AC">
          <w:rPr>
            <w:noProof/>
            <w:webHidden/>
          </w:rPr>
          <w:instrText xml:space="preserve"> PAGEREF _Toc283819669 \h </w:instrText>
        </w:r>
        <w:r>
          <w:rPr>
            <w:noProof/>
            <w:webHidden/>
          </w:rPr>
        </w:r>
        <w:r>
          <w:rPr>
            <w:noProof/>
            <w:webHidden/>
          </w:rPr>
          <w:fldChar w:fldCharType="separate"/>
        </w:r>
        <w:r w:rsidR="00C379AC">
          <w:rPr>
            <w:noProof/>
            <w:webHidden/>
          </w:rPr>
          <w:t>39</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70" w:history="1">
        <w:r w:rsidR="00C379AC" w:rsidRPr="000D6C33">
          <w:rPr>
            <w:rStyle w:val="Hyperlink"/>
            <w:noProof/>
          </w:rPr>
          <w:t>Section 5: Financial and Commercial Risk Management (20% Weighting)</w:t>
        </w:r>
        <w:r w:rsidR="00C379AC">
          <w:rPr>
            <w:noProof/>
            <w:webHidden/>
          </w:rPr>
          <w:tab/>
        </w:r>
        <w:r>
          <w:rPr>
            <w:noProof/>
            <w:webHidden/>
          </w:rPr>
          <w:fldChar w:fldCharType="begin"/>
        </w:r>
        <w:r w:rsidR="00C379AC">
          <w:rPr>
            <w:noProof/>
            <w:webHidden/>
          </w:rPr>
          <w:instrText xml:space="preserve"> PAGEREF _Toc283819670 \h </w:instrText>
        </w:r>
        <w:r>
          <w:rPr>
            <w:noProof/>
            <w:webHidden/>
          </w:rPr>
        </w:r>
        <w:r>
          <w:rPr>
            <w:noProof/>
            <w:webHidden/>
          </w:rPr>
          <w:fldChar w:fldCharType="separate"/>
        </w:r>
        <w:r w:rsidR="00C379AC">
          <w:rPr>
            <w:noProof/>
            <w:webHidden/>
          </w:rPr>
          <w:t>39</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71" w:history="1">
        <w:r w:rsidR="00C379AC" w:rsidRPr="000D6C33">
          <w:rPr>
            <w:rStyle w:val="Hyperlink"/>
            <w:noProof/>
          </w:rPr>
          <w:t>Section 6: Shareholding/Bidder Group Structure (5% Weighting)</w:t>
        </w:r>
        <w:r w:rsidR="00C379AC">
          <w:rPr>
            <w:noProof/>
            <w:webHidden/>
          </w:rPr>
          <w:tab/>
        </w:r>
        <w:r>
          <w:rPr>
            <w:noProof/>
            <w:webHidden/>
          </w:rPr>
          <w:fldChar w:fldCharType="begin"/>
        </w:r>
        <w:r w:rsidR="00C379AC">
          <w:rPr>
            <w:noProof/>
            <w:webHidden/>
          </w:rPr>
          <w:instrText xml:space="preserve"> PAGEREF _Toc283819671 \h </w:instrText>
        </w:r>
        <w:r>
          <w:rPr>
            <w:noProof/>
            <w:webHidden/>
          </w:rPr>
        </w:r>
        <w:r>
          <w:rPr>
            <w:noProof/>
            <w:webHidden/>
          </w:rPr>
          <w:fldChar w:fldCharType="separate"/>
        </w:r>
        <w:r w:rsidR="00C379AC">
          <w:rPr>
            <w:noProof/>
            <w:webHidden/>
          </w:rPr>
          <w:t>39</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72" w:history="1">
        <w:r w:rsidR="00C379AC" w:rsidRPr="000D6C33">
          <w:rPr>
            <w:rStyle w:val="Hyperlink"/>
            <w:noProof/>
          </w:rPr>
          <w:t>Section 7: Proposed Takeover Plan (10% Weighting)</w:t>
        </w:r>
        <w:r w:rsidR="00C379AC">
          <w:rPr>
            <w:noProof/>
            <w:webHidden/>
          </w:rPr>
          <w:tab/>
        </w:r>
        <w:r>
          <w:rPr>
            <w:noProof/>
            <w:webHidden/>
          </w:rPr>
          <w:fldChar w:fldCharType="begin"/>
        </w:r>
        <w:r w:rsidR="00C379AC">
          <w:rPr>
            <w:noProof/>
            <w:webHidden/>
          </w:rPr>
          <w:instrText xml:space="preserve"> PAGEREF _Toc283819672 \h </w:instrText>
        </w:r>
        <w:r>
          <w:rPr>
            <w:noProof/>
            <w:webHidden/>
          </w:rPr>
        </w:r>
        <w:r>
          <w:rPr>
            <w:noProof/>
            <w:webHidden/>
          </w:rPr>
          <w:fldChar w:fldCharType="separate"/>
        </w:r>
        <w:r w:rsidR="00C379AC">
          <w:rPr>
            <w:noProof/>
            <w:webHidden/>
          </w:rPr>
          <w:t>40</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73" w:history="1">
        <w:r w:rsidR="00C379AC" w:rsidRPr="000D6C33">
          <w:rPr>
            <w:rStyle w:val="Hyperlink"/>
            <w:noProof/>
          </w:rPr>
          <w:t>Section 8: Management and Operational Capability Statement (20% Weighting)</w:t>
        </w:r>
        <w:r w:rsidR="00C379AC">
          <w:rPr>
            <w:noProof/>
            <w:webHidden/>
          </w:rPr>
          <w:tab/>
        </w:r>
        <w:r>
          <w:rPr>
            <w:noProof/>
            <w:webHidden/>
          </w:rPr>
          <w:fldChar w:fldCharType="begin"/>
        </w:r>
        <w:r w:rsidR="00C379AC">
          <w:rPr>
            <w:noProof/>
            <w:webHidden/>
          </w:rPr>
          <w:instrText xml:space="preserve"> PAGEREF _Toc283819673 \h </w:instrText>
        </w:r>
        <w:r>
          <w:rPr>
            <w:noProof/>
            <w:webHidden/>
          </w:rPr>
        </w:r>
        <w:r>
          <w:rPr>
            <w:noProof/>
            <w:webHidden/>
          </w:rPr>
          <w:fldChar w:fldCharType="separate"/>
        </w:r>
        <w:r w:rsidR="00C379AC">
          <w:rPr>
            <w:noProof/>
            <w:webHidden/>
          </w:rPr>
          <w:t>40</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74" w:history="1">
        <w:r w:rsidR="00C379AC" w:rsidRPr="000D6C33">
          <w:rPr>
            <w:rStyle w:val="Hyperlink"/>
            <w:noProof/>
          </w:rPr>
          <w:t>Section 9: Transfer Agreement (5% Weighting)</w:t>
        </w:r>
        <w:r w:rsidR="00C379AC">
          <w:rPr>
            <w:noProof/>
            <w:webHidden/>
          </w:rPr>
          <w:tab/>
        </w:r>
        <w:r>
          <w:rPr>
            <w:noProof/>
            <w:webHidden/>
          </w:rPr>
          <w:fldChar w:fldCharType="begin"/>
        </w:r>
        <w:r w:rsidR="00C379AC">
          <w:rPr>
            <w:noProof/>
            <w:webHidden/>
          </w:rPr>
          <w:instrText xml:space="preserve"> PAGEREF _Toc283819674 \h </w:instrText>
        </w:r>
        <w:r>
          <w:rPr>
            <w:noProof/>
            <w:webHidden/>
          </w:rPr>
        </w:r>
        <w:r>
          <w:rPr>
            <w:noProof/>
            <w:webHidden/>
          </w:rPr>
          <w:fldChar w:fldCharType="separate"/>
        </w:r>
        <w:r w:rsidR="00C379AC">
          <w:rPr>
            <w:noProof/>
            <w:webHidden/>
          </w:rPr>
          <w:t>40</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75" w:history="1">
        <w:r w:rsidR="00C379AC" w:rsidRPr="000D6C33">
          <w:rPr>
            <w:rStyle w:val="Hyperlink"/>
            <w:noProof/>
          </w:rPr>
          <w:t>Section 10: QTT Certificate</w:t>
        </w:r>
        <w:r w:rsidR="00C379AC">
          <w:rPr>
            <w:noProof/>
            <w:webHidden/>
          </w:rPr>
          <w:tab/>
        </w:r>
        <w:r>
          <w:rPr>
            <w:noProof/>
            <w:webHidden/>
          </w:rPr>
          <w:fldChar w:fldCharType="begin"/>
        </w:r>
        <w:r w:rsidR="00C379AC">
          <w:rPr>
            <w:noProof/>
            <w:webHidden/>
          </w:rPr>
          <w:instrText xml:space="preserve"> PAGEREF _Toc283819675 \h </w:instrText>
        </w:r>
        <w:r>
          <w:rPr>
            <w:noProof/>
            <w:webHidden/>
          </w:rPr>
        </w:r>
        <w:r>
          <w:rPr>
            <w:noProof/>
            <w:webHidden/>
          </w:rPr>
          <w:fldChar w:fldCharType="separate"/>
        </w:r>
        <w:r w:rsidR="00C379AC">
          <w:rPr>
            <w:noProof/>
            <w:webHidden/>
          </w:rPr>
          <w:t>40</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76" w:history="1">
        <w:r w:rsidR="00C379AC" w:rsidRPr="000D6C33">
          <w:rPr>
            <w:rStyle w:val="Hyperlink"/>
            <w:noProof/>
          </w:rPr>
          <w:t>Section 11: Confidentiality</w:t>
        </w:r>
        <w:r w:rsidR="00C379AC">
          <w:rPr>
            <w:noProof/>
            <w:webHidden/>
          </w:rPr>
          <w:tab/>
        </w:r>
        <w:r>
          <w:rPr>
            <w:noProof/>
            <w:webHidden/>
          </w:rPr>
          <w:fldChar w:fldCharType="begin"/>
        </w:r>
        <w:r w:rsidR="00C379AC">
          <w:rPr>
            <w:noProof/>
            <w:webHidden/>
          </w:rPr>
          <w:instrText xml:space="preserve"> PAGEREF _Toc283819676 \h </w:instrText>
        </w:r>
        <w:r>
          <w:rPr>
            <w:noProof/>
            <w:webHidden/>
          </w:rPr>
        </w:r>
        <w:r>
          <w:rPr>
            <w:noProof/>
            <w:webHidden/>
          </w:rPr>
          <w:fldChar w:fldCharType="separate"/>
        </w:r>
        <w:r w:rsidR="00C379AC">
          <w:rPr>
            <w:noProof/>
            <w:webHidden/>
          </w:rPr>
          <w:t>40</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77" w:history="1">
        <w:r w:rsidR="00C379AC" w:rsidRPr="000D6C33">
          <w:rPr>
            <w:rStyle w:val="Hyperlink"/>
            <w:noProof/>
          </w:rPr>
          <w:t>Notification to Qualifying Bidders and Publication of Qualifying Bidder Shortlist</w:t>
        </w:r>
        <w:r w:rsidR="00C379AC">
          <w:rPr>
            <w:noProof/>
            <w:webHidden/>
          </w:rPr>
          <w:tab/>
        </w:r>
        <w:r>
          <w:rPr>
            <w:noProof/>
            <w:webHidden/>
          </w:rPr>
          <w:fldChar w:fldCharType="begin"/>
        </w:r>
        <w:r w:rsidR="00C379AC">
          <w:rPr>
            <w:noProof/>
            <w:webHidden/>
          </w:rPr>
          <w:instrText xml:space="preserve"> PAGEREF _Toc283819677 \h </w:instrText>
        </w:r>
        <w:r>
          <w:rPr>
            <w:noProof/>
            <w:webHidden/>
          </w:rPr>
        </w:r>
        <w:r>
          <w:rPr>
            <w:noProof/>
            <w:webHidden/>
          </w:rPr>
          <w:fldChar w:fldCharType="separate"/>
        </w:r>
        <w:r w:rsidR="00C379AC">
          <w:rPr>
            <w:noProof/>
            <w:webHidden/>
          </w:rPr>
          <w:t>41</w:t>
        </w:r>
        <w:r>
          <w:rPr>
            <w:noProof/>
            <w:webHidden/>
          </w:rPr>
          <w:fldChar w:fldCharType="end"/>
        </w:r>
      </w:hyperlink>
    </w:p>
    <w:p w:rsidR="00C379AC" w:rsidRDefault="00ED2B5F">
      <w:pPr>
        <w:pStyle w:val="TOC3"/>
        <w:tabs>
          <w:tab w:val="right" w:leader="dot" w:pos="8636"/>
        </w:tabs>
        <w:rPr>
          <w:rFonts w:asciiTheme="minorHAnsi" w:eastAsiaTheme="minorEastAsia" w:hAnsiTheme="minorHAnsi" w:cstheme="minorBidi"/>
          <w:noProof/>
          <w:sz w:val="22"/>
          <w:szCs w:val="22"/>
          <w:lang w:eastAsia="en-GB"/>
        </w:rPr>
      </w:pPr>
      <w:hyperlink w:anchor="_Toc283819678" w:history="1">
        <w:r w:rsidR="00C379AC" w:rsidRPr="000D6C33">
          <w:rPr>
            <w:rStyle w:val="Hyperlink"/>
            <w:noProof/>
          </w:rPr>
          <w:t>Qualifying Bidder feedback</w:t>
        </w:r>
        <w:r w:rsidR="00C379AC">
          <w:rPr>
            <w:noProof/>
            <w:webHidden/>
          </w:rPr>
          <w:tab/>
        </w:r>
        <w:r>
          <w:rPr>
            <w:noProof/>
            <w:webHidden/>
          </w:rPr>
          <w:fldChar w:fldCharType="begin"/>
        </w:r>
        <w:r w:rsidR="00C379AC">
          <w:rPr>
            <w:noProof/>
            <w:webHidden/>
          </w:rPr>
          <w:instrText xml:space="preserve"> PAGEREF _Toc283819678 \h </w:instrText>
        </w:r>
        <w:r>
          <w:rPr>
            <w:noProof/>
            <w:webHidden/>
          </w:rPr>
        </w:r>
        <w:r>
          <w:rPr>
            <w:noProof/>
            <w:webHidden/>
          </w:rPr>
          <w:fldChar w:fldCharType="separate"/>
        </w:r>
        <w:r w:rsidR="00C379AC">
          <w:rPr>
            <w:noProof/>
            <w:webHidden/>
          </w:rPr>
          <w:t>41</w:t>
        </w:r>
        <w:r>
          <w:rPr>
            <w:noProof/>
            <w:webHidden/>
          </w:rPr>
          <w:fldChar w:fldCharType="end"/>
        </w:r>
      </w:hyperlink>
    </w:p>
    <w:p w:rsidR="00C379AC" w:rsidRDefault="00ED2B5F">
      <w:pPr>
        <w:pStyle w:val="TOC1"/>
        <w:tabs>
          <w:tab w:val="right" w:leader="dot" w:pos="8636"/>
        </w:tabs>
        <w:rPr>
          <w:rFonts w:asciiTheme="minorHAnsi" w:eastAsiaTheme="minorEastAsia" w:hAnsiTheme="minorHAnsi" w:cstheme="minorBidi"/>
          <w:b w:val="0"/>
          <w:noProof/>
          <w:szCs w:val="22"/>
          <w:lang w:eastAsia="en-GB"/>
        </w:rPr>
      </w:pPr>
      <w:hyperlink w:anchor="_Toc283819679" w:history="1">
        <w:r w:rsidR="00C379AC" w:rsidRPr="000D6C33">
          <w:rPr>
            <w:rStyle w:val="Hyperlink"/>
            <w:noProof/>
          </w:rPr>
          <w:t>Appendices</w:t>
        </w:r>
        <w:r w:rsidR="00C379AC">
          <w:rPr>
            <w:noProof/>
            <w:webHidden/>
          </w:rPr>
          <w:tab/>
        </w:r>
        <w:r>
          <w:rPr>
            <w:noProof/>
            <w:webHidden/>
          </w:rPr>
          <w:fldChar w:fldCharType="begin"/>
        </w:r>
        <w:r w:rsidR="00C379AC">
          <w:rPr>
            <w:noProof/>
            <w:webHidden/>
          </w:rPr>
          <w:instrText xml:space="preserve"> PAGEREF _Toc283819679 \h </w:instrText>
        </w:r>
        <w:r>
          <w:rPr>
            <w:noProof/>
            <w:webHidden/>
          </w:rPr>
        </w:r>
        <w:r>
          <w:rPr>
            <w:noProof/>
            <w:webHidden/>
          </w:rPr>
          <w:fldChar w:fldCharType="separate"/>
        </w:r>
        <w:r w:rsidR="00C379AC">
          <w:rPr>
            <w:noProof/>
            <w:webHidden/>
          </w:rPr>
          <w:t>42</w:t>
        </w:r>
        <w:r>
          <w:rPr>
            <w:noProof/>
            <w:webHidden/>
          </w:rPr>
          <w:fldChar w:fldCharType="end"/>
        </w:r>
      </w:hyperlink>
    </w:p>
    <w:p w:rsidR="00C379AC" w:rsidRDefault="00ED2B5F">
      <w:pPr>
        <w:pStyle w:val="TOC1"/>
        <w:tabs>
          <w:tab w:val="right" w:leader="dot" w:pos="8636"/>
        </w:tabs>
        <w:rPr>
          <w:rFonts w:asciiTheme="minorHAnsi" w:eastAsiaTheme="minorEastAsia" w:hAnsiTheme="minorHAnsi" w:cstheme="minorBidi"/>
          <w:b w:val="0"/>
          <w:noProof/>
          <w:szCs w:val="22"/>
          <w:lang w:eastAsia="en-GB"/>
        </w:rPr>
      </w:pPr>
      <w:hyperlink w:anchor="_Toc283819680" w:history="1">
        <w:r w:rsidR="00C379AC" w:rsidRPr="000D6C33">
          <w:rPr>
            <w:rStyle w:val="Hyperlink"/>
            <w:noProof/>
          </w:rPr>
          <w:t>Appendix 1 – Table of Commentary to draft [Project] Transfer Agreement</w:t>
        </w:r>
        <w:r w:rsidR="00C379AC">
          <w:rPr>
            <w:noProof/>
            <w:webHidden/>
          </w:rPr>
          <w:tab/>
        </w:r>
        <w:r>
          <w:rPr>
            <w:noProof/>
            <w:webHidden/>
          </w:rPr>
          <w:fldChar w:fldCharType="begin"/>
        </w:r>
        <w:r w:rsidR="00C379AC">
          <w:rPr>
            <w:noProof/>
            <w:webHidden/>
          </w:rPr>
          <w:instrText xml:space="preserve"> PAGEREF _Toc283819680 \h </w:instrText>
        </w:r>
        <w:r>
          <w:rPr>
            <w:noProof/>
            <w:webHidden/>
          </w:rPr>
        </w:r>
        <w:r>
          <w:rPr>
            <w:noProof/>
            <w:webHidden/>
          </w:rPr>
          <w:fldChar w:fldCharType="separate"/>
        </w:r>
        <w:r w:rsidR="00C379AC">
          <w:rPr>
            <w:noProof/>
            <w:webHidden/>
          </w:rPr>
          <w:t>43</w:t>
        </w:r>
        <w:r>
          <w:rPr>
            <w:noProof/>
            <w:webHidden/>
          </w:rPr>
          <w:fldChar w:fldCharType="end"/>
        </w:r>
      </w:hyperlink>
    </w:p>
    <w:p w:rsidR="00C379AC" w:rsidRDefault="00ED2B5F">
      <w:pPr>
        <w:pStyle w:val="TOC1"/>
        <w:tabs>
          <w:tab w:val="right" w:leader="dot" w:pos="8636"/>
        </w:tabs>
        <w:rPr>
          <w:rFonts w:asciiTheme="minorHAnsi" w:eastAsiaTheme="minorEastAsia" w:hAnsiTheme="minorHAnsi" w:cstheme="minorBidi"/>
          <w:b w:val="0"/>
          <w:noProof/>
          <w:szCs w:val="22"/>
          <w:lang w:eastAsia="en-GB"/>
        </w:rPr>
      </w:pPr>
      <w:hyperlink w:anchor="_Toc283819681" w:history="1">
        <w:r w:rsidR="00C379AC" w:rsidRPr="000D6C33">
          <w:rPr>
            <w:rStyle w:val="Hyperlink"/>
            <w:noProof/>
          </w:rPr>
          <w:t>Appendix 2 - Template for responses to Section 3 of the QTT Questionnaire</w:t>
        </w:r>
        <w:r w:rsidR="00C379AC">
          <w:rPr>
            <w:noProof/>
            <w:webHidden/>
          </w:rPr>
          <w:tab/>
        </w:r>
        <w:r>
          <w:rPr>
            <w:noProof/>
            <w:webHidden/>
          </w:rPr>
          <w:fldChar w:fldCharType="begin"/>
        </w:r>
        <w:r w:rsidR="00C379AC">
          <w:rPr>
            <w:noProof/>
            <w:webHidden/>
          </w:rPr>
          <w:instrText xml:space="preserve"> PAGEREF _Toc283819681 \h </w:instrText>
        </w:r>
        <w:r>
          <w:rPr>
            <w:noProof/>
            <w:webHidden/>
          </w:rPr>
        </w:r>
        <w:r>
          <w:rPr>
            <w:noProof/>
            <w:webHidden/>
          </w:rPr>
          <w:fldChar w:fldCharType="separate"/>
        </w:r>
        <w:r w:rsidR="00C379AC">
          <w:rPr>
            <w:noProof/>
            <w:webHidden/>
          </w:rPr>
          <w:t>44</w:t>
        </w:r>
        <w:r>
          <w:rPr>
            <w:noProof/>
            <w:webHidden/>
          </w:rPr>
          <w:fldChar w:fldCharType="end"/>
        </w:r>
      </w:hyperlink>
    </w:p>
    <w:p w:rsidR="00C379AC" w:rsidRDefault="00ED2B5F">
      <w:pPr>
        <w:pStyle w:val="TOC1"/>
        <w:tabs>
          <w:tab w:val="right" w:leader="dot" w:pos="8636"/>
        </w:tabs>
        <w:rPr>
          <w:rFonts w:asciiTheme="minorHAnsi" w:eastAsiaTheme="minorEastAsia" w:hAnsiTheme="minorHAnsi" w:cstheme="minorBidi"/>
          <w:b w:val="0"/>
          <w:noProof/>
          <w:szCs w:val="22"/>
          <w:lang w:eastAsia="en-GB"/>
        </w:rPr>
      </w:pPr>
      <w:hyperlink w:anchor="_Toc283819682" w:history="1">
        <w:r w:rsidR="00C379AC" w:rsidRPr="000D6C33">
          <w:rPr>
            <w:rStyle w:val="Hyperlink"/>
            <w:noProof/>
          </w:rPr>
          <w:t>Appendix 3 – Disclaimer and Notices</w:t>
        </w:r>
        <w:r w:rsidR="00C379AC">
          <w:rPr>
            <w:noProof/>
            <w:webHidden/>
          </w:rPr>
          <w:tab/>
        </w:r>
        <w:r>
          <w:rPr>
            <w:noProof/>
            <w:webHidden/>
          </w:rPr>
          <w:fldChar w:fldCharType="begin"/>
        </w:r>
        <w:r w:rsidR="00C379AC">
          <w:rPr>
            <w:noProof/>
            <w:webHidden/>
          </w:rPr>
          <w:instrText xml:space="preserve"> PAGEREF _Toc283819682 \h </w:instrText>
        </w:r>
        <w:r>
          <w:rPr>
            <w:noProof/>
            <w:webHidden/>
          </w:rPr>
        </w:r>
        <w:r>
          <w:rPr>
            <w:noProof/>
            <w:webHidden/>
          </w:rPr>
          <w:fldChar w:fldCharType="separate"/>
        </w:r>
        <w:r w:rsidR="00C379AC">
          <w:rPr>
            <w:noProof/>
            <w:webHidden/>
          </w:rPr>
          <w:t>46</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83" w:history="1">
        <w:r w:rsidR="00C379AC" w:rsidRPr="000D6C33">
          <w:rPr>
            <w:rStyle w:val="Hyperlink"/>
            <w:noProof/>
          </w:rPr>
          <w:t>Non-reliance, Accuracy of Information and Exclusion of Liability</w:t>
        </w:r>
        <w:r w:rsidR="00C379AC">
          <w:rPr>
            <w:noProof/>
            <w:webHidden/>
          </w:rPr>
          <w:tab/>
        </w:r>
        <w:r>
          <w:rPr>
            <w:noProof/>
            <w:webHidden/>
          </w:rPr>
          <w:fldChar w:fldCharType="begin"/>
        </w:r>
        <w:r w:rsidR="00C379AC">
          <w:rPr>
            <w:noProof/>
            <w:webHidden/>
          </w:rPr>
          <w:instrText xml:space="preserve"> PAGEREF _Toc283819683 \h </w:instrText>
        </w:r>
        <w:r>
          <w:rPr>
            <w:noProof/>
            <w:webHidden/>
          </w:rPr>
        </w:r>
        <w:r>
          <w:rPr>
            <w:noProof/>
            <w:webHidden/>
          </w:rPr>
          <w:fldChar w:fldCharType="separate"/>
        </w:r>
        <w:r w:rsidR="00C379AC">
          <w:rPr>
            <w:noProof/>
            <w:webHidden/>
          </w:rPr>
          <w:t>46</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84" w:history="1">
        <w:r w:rsidR="00C379AC" w:rsidRPr="000D6C33">
          <w:rPr>
            <w:rStyle w:val="Hyperlink"/>
            <w:noProof/>
          </w:rPr>
          <w:t>Use of Information</w:t>
        </w:r>
        <w:r w:rsidR="00C379AC">
          <w:rPr>
            <w:noProof/>
            <w:webHidden/>
          </w:rPr>
          <w:tab/>
        </w:r>
        <w:r>
          <w:rPr>
            <w:noProof/>
            <w:webHidden/>
          </w:rPr>
          <w:fldChar w:fldCharType="begin"/>
        </w:r>
        <w:r w:rsidR="00C379AC">
          <w:rPr>
            <w:noProof/>
            <w:webHidden/>
          </w:rPr>
          <w:instrText xml:space="preserve"> PAGEREF _Toc283819684 \h </w:instrText>
        </w:r>
        <w:r>
          <w:rPr>
            <w:noProof/>
            <w:webHidden/>
          </w:rPr>
        </w:r>
        <w:r>
          <w:rPr>
            <w:noProof/>
            <w:webHidden/>
          </w:rPr>
          <w:fldChar w:fldCharType="separate"/>
        </w:r>
        <w:r w:rsidR="00C379AC">
          <w:rPr>
            <w:noProof/>
            <w:webHidden/>
          </w:rPr>
          <w:t>46</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85" w:history="1">
        <w:r w:rsidR="00C379AC" w:rsidRPr="000D6C33">
          <w:rPr>
            <w:rStyle w:val="Hyperlink"/>
            <w:noProof/>
          </w:rPr>
          <w:t>Freedom of Information</w:t>
        </w:r>
        <w:r w:rsidR="00C379AC">
          <w:rPr>
            <w:noProof/>
            <w:webHidden/>
          </w:rPr>
          <w:tab/>
        </w:r>
        <w:r>
          <w:rPr>
            <w:noProof/>
            <w:webHidden/>
          </w:rPr>
          <w:fldChar w:fldCharType="begin"/>
        </w:r>
        <w:r w:rsidR="00C379AC">
          <w:rPr>
            <w:noProof/>
            <w:webHidden/>
          </w:rPr>
          <w:instrText xml:space="preserve"> PAGEREF _Toc283819685 \h </w:instrText>
        </w:r>
        <w:r>
          <w:rPr>
            <w:noProof/>
            <w:webHidden/>
          </w:rPr>
        </w:r>
        <w:r>
          <w:rPr>
            <w:noProof/>
            <w:webHidden/>
          </w:rPr>
          <w:fldChar w:fldCharType="separate"/>
        </w:r>
        <w:r w:rsidR="00C379AC">
          <w:rPr>
            <w:noProof/>
            <w:webHidden/>
          </w:rPr>
          <w:t>46</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86" w:history="1">
        <w:r w:rsidR="00C379AC" w:rsidRPr="000D6C33">
          <w:rPr>
            <w:rStyle w:val="Hyperlink"/>
            <w:noProof/>
          </w:rPr>
          <w:t>Data Protection</w:t>
        </w:r>
        <w:r w:rsidR="00C379AC">
          <w:rPr>
            <w:noProof/>
            <w:webHidden/>
          </w:rPr>
          <w:tab/>
        </w:r>
        <w:r>
          <w:rPr>
            <w:noProof/>
            <w:webHidden/>
          </w:rPr>
          <w:fldChar w:fldCharType="begin"/>
        </w:r>
        <w:r w:rsidR="00C379AC">
          <w:rPr>
            <w:noProof/>
            <w:webHidden/>
          </w:rPr>
          <w:instrText xml:space="preserve"> PAGEREF _Toc283819686 \h </w:instrText>
        </w:r>
        <w:r>
          <w:rPr>
            <w:noProof/>
            <w:webHidden/>
          </w:rPr>
        </w:r>
        <w:r>
          <w:rPr>
            <w:noProof/>
            <w:webHidden/>
          </w:rPr>
          <w:fldChar w:fldCharType="separate"/>
        </w:r>
        <w:r w:rsidR="00C379AC">
          <w:rPr>
            <w:noProof/>
            <w:webHidden/>
          </w:rPr>
          <w:t>47</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87" w:history="1">
        <w:r w:rsidR="00C379AC" w:rsidRPr="000D6C33">
          <w:rPr>
            <w:rStyle w:val="Hyperlink"/>
            <w:noProof/>
          </w:rPr>
          <w:t>Confidentiality and Publicity</w:t>
        </w:r>
        <w:r w:rsidR="00C379AC">
          <w:rPr>
            <w:noProof/>
            <w:webHidden/>
          </w:rPr>
          <w:tab/>
        </w:r>
        <w:r>
          <w:rPr>
            <w:noProof/>
            <w:webHidden/>
          </w:rPr>
          <w:fldChar w:fldCharType="begin"/>
        </w:r>
        <w:r w:rsidR="00C379AC">
          <w:rPr>
            <w:noProof/>
            <w:webHidden/>
          </w:rPr>
          <w:instrText xml:space="preserve"> PAGEREF _Toc283819687 \h </w:instrText>
        </w:r>
        <w:r>
          <w:rPr>
            <w:noProof/>
            <w:webHidden/>
          </w:rPr>
        </w:r>
        <w:r>
          <w:rPr>
            <w:noProof/>
            <w:webHidden/>
          </w:rPr>
          <w:fldChar w:fldCharType="separate"/>
        </w:r>
        <w:r w:rsidR="00C379AC">
          <w:rPr>
            <w:noProof/>
            <w:webHidden/>
          </w:rPr>
          <w:t>47</w:t>
        </w:r>
        <w:r>
          <w:rPr>
            <w:noProof/>
            <w:webHidden/>
          </w:rPr>
          <w:fldChar w:fldCharType="end"/>
        </w:r>
      </w:hyperlink>
    </w:p>
    <w:p w:rsidR="00C379AC" w:rsidRDefault="00ED2B5F">
      <w:pPr>
        <w:pStyle w:val="TOC2"/>
        <w:tabs>
          <w:tab w:val="right" w:leader="dot" w:pos="8636"/>
        </w:tabs>
        <w:rPr>
          <w:rFonts w:asciiTheme="minorHAnsi" w:eastAsiaTheme="minorEastAsia" w:hAnsiTheme="minorHAnsi" w:cstheme="minorBidi"/>
          <w:noProof/>
          <w:sz w:val="22"/>
          <w:szCs w:val="22"/>
          <w:lang w:eastAsia="en-GB"/>
        </w:rPr>
      </w:pPr>
      <w:hyperlink w:anchor="_Toc283819688" w:history="1">
        <w:r w:rsidR="00C379AC" w:rsidRPr="000D6C33">
          <w:rPr>
            <w:rStyle w:val="Hyperlink"/>
            <w:noProof/>
          </w:rPr>
          <w:t>Copyright</w:t>
        </w:r>
        <w:r w:rsidR="00C379AC">
          <w:rPr>
            <w:noProof/>
            <w:webHidden/>
          </w:rPr>
          <w:tab/>
        </w:r>
        <w:r>
          <w:rPr>
            <w:noProof/>
            <w:webHidden/>
          </w:rPr>
          <w:fldChar w:fldCharType="begin"/>
        </w:r>
        <w:r w:rsidR="00C379AC">
          <w:rPr>
            <w:noProof/>
            <w:webHidden/>
          </w:rPr>
          <w:instrText xml:space="preserve"> PAGEREF _Toc283819688 \h </w:instrText>
        </w:r>
        <w:r>
          <w:rPr>
            <w:noProof/>
            <w:webHidden/>
          </w:rPr>
        </w:r>
        <w:r>
          <w:rPr>
            <w:noProof/>
            <w:webHidden/>
          </w:rPr>
          <w:fldChar w:fldCharType="separate"/>
        </w:r>
        <w:r w:rsidR="00C379AC">
          <w:rPr>
            <w:noProof/>
            <w:webHidden/>
          </w:rPr>
          <w:t>48</w:t>
        </w:r>
        <w:r>
          <w:rPr>
            <w:noProof/>
            <w:webHidden/>
          </w:rPr>
          <w:fldChar w:fldCharType="end"/>
        </w:r>
      </w:hyperlink>
    </w:p>
    <w:p w:rsidR="00C379AC" w:rsidRDefault="00ED2B5F">
      <w:pPr>
        <w:pStyle w:val="TOC1"/>
        <w:tabs>
          <w:tab w:val="right" w:leader="dot" w:pos="8636"/>
        </w:tabs>
        <w:rPr>
          <w:rFonts w:asciiTheme="minorHAnsi" w:eastAsiaTheme="minorEastAsia" w:hAnsiTheme="minorHAnsi" w:cstheme="minorBidi"/>
          <w:b w:val="0"/>
          <w:noProof/>
          <w:szCs w:val="22"/>
          <w:lang w:eastAsia="en-GB"/>
        </w:rPr>
      </w:pPr>
      <w:hyperlink w:anchor="_Toc283819689" w:history="1">
        <w:r w:rsidR="00C379AC" w:rsidRPr="000D6C33">
          <w:rPr>
            <w:rStyle w:val="Hyperlink"/>
            <w:noProof/>
          </w:rPr>
          <w:t>Appendix 4 - The Authority’s Powers and Duties</w:t>
        </w:r>
        <w:r w:rsidR="00C379AC">
          <w:rPr>
            <w:noProof/>
            <w:webHidden/>
          </w:rPr>
          <w:tab/>
        </w:r>
        <w:r>
          <w:rPr>
            <w:noProof/>
            <w:webHidden/>
          </w:rPr>
          <w:fldChar w:fldCharType="begin"/>
        </w:r>
        <w:r w:rsidR="00C379AC">
          <w:rPr>
            <w:noProof/>
            <w:webHidden/>
          </w:rPr>
          <w:instrText xml:space="preserve"> PAGEREF _Toc283819689 \h </w:instrText>
        </w:r>
        <w:r>
          <w:rPr>
            <w:noProof/>
            <w:webHidden/>
          </w:rPr>
        </w:r>
        <w:r>
          <w:rPr>
            <w:noProof/>
            <w:webHidden/>
          </w:rPr>
          <w:fldChar w:fldCharType="separate"/>
        </w:r>
        <w:r w:rsidR="00C379AC">
          <w:rPr>
            <w:noProof/>
            <w:webHidden/>
          </w:rPr>
          <w:t>49</w:t>
        </w:r>
        <w:r>
          <w:rPr>
            <w:noProof/>
            <w:webHidden/>
          </w:rPr>
          <w:fldChar w:fldCharType="end"/>
        </w:r>
      </w:hyperlink>
    </w:p>
    <w:p w:rsidR="00C379AC" w:rsidRDefault="00ED2B5F">
      <w:pPr>
        <w:pStyle w:val="TOC1"/>
        <w:tabs>
          <w:tab w:val="right" w:leader="dot" w:pos="8636"/>
        </w:tabs>
        <w:rPr>
          <w:rFonts w:asciiTheme="minorHAnsi" w:eastAsiaTheme="minorEastAsia" w:hAnsiTheme="minorHAnsi" w:cstheme="minorBidi"/>
          <w:b w:val="0"/>
          <w:noProof/>
          <w:szCs w:val="22"/>
          <w:lang w:eastAsia="en-GB"/>
        </w:rPr>
      </w:pPr>
      <w:hyperlink w:anchor="_Toc283819690" w:history="1">
        <w:r w:rsidR="00C379AC" w:rsidRPr="000D6C33">
          <w:rPr>
            <w:rStyle w:val="Hyperlink"/>
            <w:noProof/>
          </w:rPr>
          <w:t>Appendix 5 - Glossary</w:t>
        </w:r>
        <w:r w:rsidR="00C379AC">
          <w:rPr>
            <w:noProof/>
            <w:webHidden/>
          </w:rPr>
          <w:tab/>
        </w:r>
        <w:r>
          <w:rPr>
            <w:noProof/>
            <w:webHidden/>
          </w:rPr>
          <w:fldChar w:fldCharType="begin"/>
        </w:r>
        <w:r w:rsidR="00C379AC">
          <w:rPr>
            <w:noProof/>
            <w:webHidden/>
          </w:rPr>
          <w:instrText xml:space="preserve"> PAGEREF _Toc283819690 \h </w:instrText>
        </w:r>
        <w:r>
          <w:rPr>
            <w:noProof/>
            <w:webHidden/>
          </w:rPr>
        </w:r>
        <w:r>
          <w:rPr>
            <w:noProof/>
            <w:webHidden/>
          </w:rPr>
          <w:fldChar w:fldCharType="separate"/>
        </w:r>
        <w:r w:rsidR="00C379AC">
          <w:rPr>
            <w:noProof/>
            <w:webHidden/>
          </w:rPr>
          <w:t>52</w:t>
        </w:r>
        <w:r>
          <w:rPr>
            <w:noProof/>
            <w:webHidden/>
          </w:rPr>
          <w:fldChar w:fldCharType="end"/>
        </w:r>
      </w:hyperlink>
    </w:p>
    <w:p w:rsidR="00E6536D" w:rsidRDefault="00ED2B5F">
      <w:pPr>
        <w:sectPr w:rsidR="00E6536D">
          <w:pgSz w:w="12240" w:h="15840" w:code="1"/>
          <w:pgMar w:top="1797" w:right="1797" w:bottom="1440" w:left="1797" w:header="720" w:footer="720" w:gutter="0"/>
          <w:paperSrc w:first="259" w:other="259"/>
          <w:cols w:space="720"/>
          <w:docGrid w:linePitch="360"/>
        </w:sectPr>
      </w:pPr>
      <w:r>
        <w:rPr>
          <w:b/>
          <w:sz w:val="22"/>
        </w:rPr>
        <w:fldChar w:fldCharType="end"/>
      </w:r>
    </w:p>
    <w:p w:rsidR="00E6536D" w:rsidRDefault="001D5B7E" w:rsidP="00696743">
      <w:pPr>
        <w:pStyle w:val="Sectionheading"/>
      </w:pPr>
      <w:bookmarkStart w:id="0" w:name="_Toc283819620"/>
      <w:r>
        <w:lastRenderedPageBreak/>
        <w:t>Context</w:t>
      </w:r>
      <w:bookmarkEnd w:id="0"/>
    </w:p>
    <w:p w:rsidR="00E6536D" w:rsidRDefault="00E6536D"/>
    <w:p w:rsidR="001D5B7E" w:rsidRDefault="001D5B7E" w:rsidP="001D5B7E">
      <w:pPr>
        <w:rPr>
          <w:szCs w:val="20"/>
        </w:rPr>
      </w:pPr>
      <w:r w:rsidRPr="00DF193F">
        <w:rPr>
          <w:szCs w:val="20"/>
        </w:rPr>
        <w:t>Electricity generated from offshore renewable sources is expected to make an important contribution towards the UK achieving its renewable energy targets by 2020. Fit for purpose offshore electricity transmission infrastructure is required to transfer the electricity generated offshore to the onshore network and ultimately to consumers. It is important that this infrastructure is developed in a timely, secure and cost-effective manner. It should also provide best value to present and future electricity consumers, while reflecting the requirements of generators and ensuring that, as far as possible, offshore infrastructure develops in a co-ordinated manner.</w:t>
      </w:r>
    </w:p>
    <w:p w:rsidR="001D5B7E" w:rsidRPr="00DF193F" w:rsidRDefault="001D5B7E" w:rsidP="001D5B7E">
      <w:pPr>
        <w:rPr>
          <w:szCs w:val="20"/>
        </w:rPr>
      </w:pPr>
      <w:r w:rsidRPr="00DF193F">
        <w:rPr>
          <w:szCs w:val="20"/>
        </w:rPr>
        <w:t xml:space="preserve"> </w:t>
      </w:r>
    </w:p>
    <w:p w:rsidR="001D5B7E" w:rsidRDefault="001D5B7E" w:rsidP="001D5B7E">
      <w:pPr>
        <w:rPr>
          <w:szCs w:val="20"/>
        </w:rPr>
      </w:pPr>
      <w:r w:rsidRPr="00DF193F">
        <w:rPr>
          <w:szCs w:val="20"/>
        </w:rPr>
        <w:t>The Department for Energy and Climate Change (DECC</w:t>
      </w:r>
      <w:r w:rsidRPr="00DF193F">
        <w:rPr>
          <w:rStyle w:val="FootnoteReference"/>
          <w:szCs w:val="20"/>
        </w:rPr>
        <w:footnoteReference w:id="1"/>
      </w:r>
      <w:r w:rsidRPr="00DF193F">
        <w:rPr>
          <w:szCs w:val="20"/>
        </w:rPr>
        <w:t>) and Ofgem</w:t>
      </w:r>
      <w:r w:rsidR="009A1E0E">
        <w:rPr>
          <w:rStyle w:val="FootnoteReference"/>
          <w:szCs w:val="20"/>
        </w:rPr>
        <w:footnoteReference w:id="2"/>
      </w:r>
      <w:r w:rsidRPr="00DF193F">
        <w:rPr>
          <w:szCs w:val="20"/>
        </w:rPr>
        <w:t xml:space="preserve"> have developed a regulatory regime for offshore electricity transmission. It was consulted on extensively and refined over four years, culminating in a </w:t>
      </w:r>
      <w:r w:rsidRPr="0038447D">
        <w:rPr>
          <w:szCs w:val="20"/>
        </w:rPr>
        <w:t>final statement</w:t>
      </w:r>
      <w:r w:rsidRPr="00DF193F">
        <w:rPr>
          <w:szCs w:val="20"/>
        </w:rPr>
        <w:t xml:space="preserve"> published in June 2009</w:t>
      </w:r>
      <w:r w:rsidRPr="00DF193F">
        <w:rPr>
          <w:rStyle w:val="FootnoteReference"/>
          <w:szCs w:val="20"/>
        </w:rPr>
        <w:footnoteReference w:id="3"/>
      </w:r>
      <w:r w:rsidRPr="00DF193F">
        <w:rPr>
          <w:szCs w:val="20"/>
        </w:rPr>
        <w:t>.</w:t>
      </w:r>
    </w:p>
    <w:p w:rsidR="001D5B7E" w:rsidRPr="00DF193F" w:rsidRDefault="001D5B7E" w:rsidP="001D5B7E">
      <w:pPr>
        <w:rPr>
          <w:szCs w:val="20"/>
        </w:rPr>
      </w:pPr>
      <w:r w:rsidRPr="00DF193F">
        <w:rPr>
          <w:szCs w:val="20"/>
        </w:rPr>
        <w:t xml:space="preserve"> </w:t>
      </w:r>
    </w:p>
    <w:p w:rsidR="001D5B7E" w:rsidRDefault="001D5B7E" w:rsidP="001D5B7E">
      <w:pPr>
        <w:rPr>
          <w:szCs w:val="20"/>
        </w:rPr>
      </w:pPr>
      <w:r w:rsidRPr="00DF193F">
        <w:rPr>
          <w:szCs w:val="20"/>
        </w:rPr>
        <w:t>A key part of the regime is that Offshore Transmission Licences can be granted follow</w:t>
      </w:r>
      <w:r w:rsidR="004F62BF">
        <w:rPr>
          <w:szCs w:val="20"/>
        </w:rPr>
        <w:t>ing a competitive Tender Exercise</w:t>
      </w:r>
      <w:r w:rsidRPr="00DF193F">
        <w:rPr>
          <w:szCs w:val="20"/>
        </w:rPr>
        <w:t xml:space="preserve"> run by Ofgem, with the Successful Bidder becoming th</w:t>
      </w:r>
      <w:r>
        <w:rPr>
          <w:szCs w:val="20"/>
        </w:rPr>
        <w:t xml:space="preserve">e </w:t>
      </w:r>
      <w:r w:rsidR="00236020">
        <w:rPr>
          <w:szCs w:val="20"/>
        </w:rPr>
        <w:t>OFTO</w:t>
      </w:r>
      <w:r w:rsidRPr="00DF193F">
        <w:rPr>
          <w:szCs w:val="20"/>
        </w:rPr>
        <w:t>. The result will be that the generating assets (offshore wind farms) will be owned and operate</w:t>
      </w:r>
      <w:r>
        <w:rPr>
          <w:szCs w:val="20"/>
        </w:rPr>
        <w:t>d by the generator, whilst the Offshore Transmission S</w:t>
      </w:r>
      <w:r w:rsidRPr="00DF193F">
        <w:rPr>
          <w:szCs w:val="20"/>
        </w:rPr>
        <w:t xml:space="preserve">ystem, which connects the offshore wind farms to the onshore transmission system, will be owned and </w:t>
      </w:r>
      <w:r w:rsidR="00216FE0">
        <w:rPr>
          <w:szCs w:val="20"/>
        </w:rPr>
        <w:t>managed</w:t>
      </w:r>
      <w:r w:rsidRPr="00DF193F">
        <w:rPr>
          <w:szCs w:val="20"/>
        </w:rPr>
        <w:t xml:space="preserve"> by the OFTO Licensee.</w:t>
      </w:r>
      <w:r w:rsidR="00BE4F94">
        <w:rPr>
          <w:szCs w:val="20"/>
        </w:rPr>
        <w:t xml:space="preserve"> </w:t>
      </w:r>
      <w:r w:rsidRPr="001815F1">
        <w:rPr>
          <w:szCs w:val="20"/>
        </w:rPr>
        <w:t xml:space="preserve">The Offshore Transmission Licences will </w:t>
      </w:r>
      <w:r>
        <w:rPr>
          <w:szCs w:val="20"/>
        </w:rPr>
        <w:t>place</w:t>
      </w:r>
      <w:r w:rsidRPr="001815F1">
        <w:rPr>
          <w:szCs w:val="20"/>
        </w:rPr>
        <w:t xml:space="preserve"> certain rights and responsibilities on OFTOs, including the right to a regulated revenue stream for a period of 20 years </w:t>
      </w:r>
      <w:r>
        <w:rPr>
          <w:szCs w:val="20"/>
        </w:rPr>
        <w:t>in return for the provision of Transmission S</w:t>
      </w:r>
      <w:r w:rsidRPr="001815F1">
        <w:rPr>
          <w:szCs w:val="20"/>
        </w:rPr>
        <w:t>ervices.</w:t>
      </w:r>
    </w:p>
    <w:p w:rsidR="001D5B7E" w:rsidRPr="00DF193F" w:rsidRDefault="001D5B7E" w:rsidP="001D5B7E">
      <w:pPr>
        <w:rPr>
          <w:szCs w:val="20"/>
        </w:rPr>
      </w:pPr>
      <w:r w:rsidRPr="00DF193F">
        <w:rPr>
          <w:szCs w:val="20"/>
        </w:rPr>
        <w:t xml:space="preserve"> </w:t>
      </w:r>
    </w:p>
    <w:p w:rsidR="00DB74EE" w:rsidRDefault="00DB74EE" w:rsidP="00DB74EE">
      <w:pPr>
        <w:rPr>
          <w:szCs w:val="18"/>
        </w:rPr>
      </w:pPr>
      <w:r>
        <w:rPr>
          <w:szCs w:val="18"/>
        </w:rPr>
        <w:t>Tenders in the second transitional Tender Round are being conducted across two sets of T</w:t>
      </w:r>
      <w:r w:rsidRPr="00746150">
        <w:rPr>
          <w:szCs w:val="18"/>
        </w:rPr>
        <w:t xml:space="preserve">ender </w:t>
      </w:r>
      <w:r>
        <w:rPr>
          <w:szCs w:val="18"/>
        </w:rPr>
        <w:t xml:space="preserve">Exercises. </w:t>
      </w:r>
      <w:r w:rsidRPr="00746150">
        <w:rPr>
          <w:szCs w:val="18"/>
        </w:rPr>
        <w:t>The first</w:t>
      </w:r>
      <w:r>
        <w:rPr>
          <w:szCs w:val="18"/>
        </w:rPr>
        <w:t xml:space="preserve"> tranche of</w:t>
      </w:r>
      <w:r w:rsidRPr="00746150">
        <w:rPr>
          <w:szCs w:val="18"/>
        </w:rPr>
        <w:t xml:space="preserve"> </w:t>
      </w:r>
      <w:r>
        <w:rPr>
          <w:szCs w:val="18"/>
        </w:rPr>
        <w:t>T</w:t>
      </w:r>
      <w:r w:rsidRPr="00746150">
        <w:rPr>
          <w:szCs w:val="18"/>
        </w:rPr>
        <w:t xml:space="preserve">ender </w:t>
      </w:r>
      <w:r>
        <w:rPr>
          <w:szCs w:val="18"/>
        </w:rPr>
        <w:t>E</w:t>
      </w:r>
      <w:r w:rsidRPr="00746150">
        <w:rPr>
          <w:szCs w:val="18"/>
        </w:rPr>
        <w:t>xercises (Tranche A) commenc</w:t>
      </w:r>
      <w:r>
        <w:rPr>
          <w:szCs w:val="18"/>
        </w:rPr>
        <w:t xml:space="preserve">ed on 17 </w:t>
      </w:r>
      <w:r w:rsidRPr="00746150">
        <w:rPr>
          <w:szCs w:val="18"/>
        </w:rPr>
        <w:t>November 2010</w:t>
      </w:r>
      <w:r>
        <w:rPr>
          <w:szCs w:val="18"/>
        </w:rPr>
        <w:t xml:space="preserve">, and a longlist of Qualifying Bidders was announced </w:t>
      </w:r>
      <w:r w:rsidRPr="00695AD5">
        <w:rPr>
          <w:szCs w:val="18"/>
        </w:rPr>
        <w:t xml:space="preserve">on </w:t>
      </w:r>
      <w:r w:rsidR="001F0D6B" w:rsidRPr="00695AD5">
        <w:rPr>
          <w:szCs w:val="18"/>
        </w:rPr>
        <w:t>26</w:t>
      </w:r>
      <w:r>
        <w:rPr>
          <w:szCs w:val="18"/>
        </w:rPr>
        <w:t xml:space="preserve"> January 2011 following completion of the </w:t>
      </w:r>
      <w:r w:rsidR="00236020">
        <w:rPr>
          <w:szCs w:val="18"/>
        </w:rPr>
        <w:t>PQ</w:t>
      </w:r>
      <w:r>
        <w:rPr>
          <w:szCs w:val="18"/>
        </w:rPr>
        <w:t xml:space="preserve"> Stage</w:t>
      </w:r>
      <w:r w:rsidR="000A00D2">
        <w:rPr>
          <w:szCs w:val="18"/>
        </w:rPr>
        <w:t xml:space="preserve">. </w:t>
      </w:r>
      <w:r w:rsidRPr="00746150">
        <w:rPr>
          <w:szCs w:val="18"/>
        </w:rPr>
        <w:t xml:space="preserve">The second </w:t>
      </w:r>
      <w:r>
        <w:rPr>
          <w:szCs w:val="18"/>
        </w:rPr>
        <w:t>tranche of T</w:t>
      </w:r>
      <w:r w:rsidRPr="00746150">
        <w:rPr>
          <w:szCs w:val="18"/>
        </w:rPr>
        <w:t xml:space="preserve">ender </w:t>
      </w:r>
      <w:r>
        <w:rPr>
          <w:szCs w:val="18"/>
        </w:rPr>
        <w:t>E</w:t>
      </w:r>
      <w:r w:rsidRPr="00746150">
        <w:rPr>
          <w:szCs w:val="18"/>
        </w:rPr>
        <w:t>xercises</w:t>
      </w:r>
      <w:r w:rsidR="006965FD">
        <w:rPr>
          <w:szCs w:val="18"/>
        </w:rPr>
        <w:t xml:space="preserve"> </w:t>
      </w:r>
      <w:r w:rsidR="006965FD" w:rsidRPr="00746150">
        <w:rPr>
          <w:szCs w:val="18"/>
        </w:rPr>
        <w:t>(Tranche B)</w:t>
      </w:r>
      <w:r w:rsidRPr="00746150">
        <w:rPr>
          <w:szCs w:val="18"/>
        </w:rPr>
        <w:t xml:space="preserve"> are expected to commence in spring 2012.</w:t>
      </w:r>
    </w:p>
    <w:p w:rsidR="00DB74EE" w:rsidRDefault="00DB74EE" w:rsidP="00DB74EE">
      <w:pPr>
        <w:rPr>
          <w:szCs w:val="20"/>
        </w:rPr>
      </w:pPr>
    </w:p>
    <w:p w:rsidR="00B57230" w:rsidRPr="00DB74EE" w:rsidRDefault="006965FD" w:rsidP="00DB74EE">
      <w:pPr>
        <w:rPr>
          <w:szCs w:val="20"/>
        </w:rPr>
      </w:pPr>
      <w:r>
        <w:rPr>
          <w:szCs w:val="20"/>
        </w:rPr>
        <w:t xml:space="preserve">The Tranche A Tender Exercises </w:t>
      </w:r>
      <w:r w:rsidR="00D35160">
        <w:rPr>
          <w:szCs w:val="20"/>
        </w:rPr>
        <w:t>are being</w:t>
      </w:r>
      <w:r w:rsidR="005A1AEC">
        <w:rPr>
          <w:szCs w:val="20"/>
        </w:rPr>
        <w:t xml:space="preserve"> run over a number of stages, the second of which is the </w:t>
      </w:r>
      <w:r w:rsidR="00236020">
        <w:rPr>
          <w:szCs w:val="20"/>
        </w:rPr>
        <w:t>QTT</w:t>
      </w:r>
      <w:r w:rsidR="005A1AEC">
        <w:rPr>
          <w:szCs w:val="20"/>
        </w:rPr>
        <w:t xml:space="preserve"> Stage. The purpose of the QTT Stage is to identify a shortlist of Qualifying Bidders in respect of each </w:t>
      </w:r>
      <w:r w:rsidR="00D35160">
        <w:rPr>
          <w:szCs w:val="20"/>
        </w:rPr>
        <w:t xml:space="preserve">set of offshore </w:t>
      </w:r>
      <w:r w:rsidR="00014742">
        <w:rPr>
          <w:szCs w:val="20"/>
        </w:rPr>
        <w:t>Transmission Assets</w:t>
      </w:r>
      <w:r w:rsidR="00236020">
        <w:rPr>
          <w:szCs w:val="20"/>
        </w:rPr>
        <w:t xml:space="preserve"> (referred to as Qualifying Projects</w:t>
      </w:r>
      <w:r w:rsidR="00D35160">
        <w:rPr>
          <w:szCs w:val="20"/>
        </w:rPr>
        <w:t xml:space="preserve">) </w:t>
      </w:r>
      <w:r w:rsidR="005A1AEC">
        <w:rPr>
          <w:szCs w:val="20"/>
        </w:rPr>
        <w:t xml:space="preserve">to proceed to the </w:t>
      </w:r>
      <w:r w:rsidR="00236020">
        <w:rPr>
          <w:szCs w:val="20"/>
        </w:rPr>
        <w:t>ITT</w:t>
      </w:r>
      <w:r w:rsidR="00D35160">
        <w:rPr>
          <w:szCs w:val="20"/>
        </w:rPr>
        <w:t xml:space="preserve"> </w:t>
      </w:r>
      <w:r w:rsidR="005A1AEC">
        <w:rPr>
          <w:szCs w:val="20"/>
        </w:rPr>
        <w:t xml:space="preserve">Stage. The QTT Stage is designed to enable longlisted Qualifying Bidders to submit details of their proposed approach on a per </w:t>
      </w:r>
      <w:r w:rsidR="00D35160">
        <w:rPr>
          <w:szCs w:val="20"/>
        </w:rPr>
        <w:t>Qualifying P</w:t>
      </w:r>
      <w:r w:rsidR="005A1AEC">
        <w:rPr>
          <w:szCs w:val="20"/>
        </w:rPr>
        <w:t xml:space="preserve">roject basis, for evaluation </w:t>
      </w:r>
      <w:r w:rsidR="00BE4F94">
        <w:rPr>
          <w:szCs w:val="20"/>
        </w:rPr>
        <w:t xml:space="preserve">by Ofgem </w:t>
      </w:r>
      <w:r w:rsidR="005A1AEC">
        <w:rPr>
          <w:szCs w:val="20"/>
        </w:rPr>
        <w:t xml:space="preserve">against a number of criteria. </w:t>
      </w:r>
      <w:r w:rsidR="00BE4F94">
        <w:rPr>
          <w:szCs w:val="20"/>
        </w:rPr>
        <w:t>Successful Qualifying Bidders in respect of each Qualifying Project will be invited to participate in the ITT Stage</w:t>
      </w:r>
      <w:r w:rsidR="000552F3">
        <w:rPr>
          <w:szCs w:val="20"/>
        </w:rPr>
        <w:t xml:space="preserve"> for that Qualifying Project</w:t>
      </w:r>
      <w:r w:rsidR="00BE4F94">
        <w:rPr>
          <w:szCs w:val="20"/>
        </w:rPr>
        <w:t xml:space="preserve">. </w:t>
      </w:r>
    </w:p>
    <w:p w:rsidR="001D5B7E" w:rsidRPr="00696743" w:rsidRDefault="00696743" w:rsidP="000948C7">
      <w:pPr>
        <w:pStyle w:val="ChapterHeading"/>
        <w:rPr>
          <w:rStyle w:val="CoverTopicDetails"/>
          <w:sz w:val="28"/>
          <w:szCs w:val="20"/>
          <w:lang w:val="en-GB"/>
        </w:rPr>
      </w:pPr>
      <w:bookmarkStart w:id="1" w:name="_Toc283819621"/>
      <w:r w:rsidRPr="00696743">
        <w:rPr>
          <w:rStyle w:val="CoverTopicDetails"/>
          <w:sz w:val="28"/>
          <w:szCs w:val="28"/>
          <w:lang w:val="en-GB"/>
        </w:rPr>
        <w:lastRenderedPageBreak/>
        <w:t xml:space="preserve">Overview of the </w:t>
      </w:r>
      <w:r w:rsidR="00236020">
        <w:rPr>
          <w:rStyle w:val="CoverTopicDetails"/>
          <w:sz w:val="28"/>
          <w:szCs w:val="28"/>
          <w:lang w:val="en-GB"/>
        </w:rPr>
        <w:t>QTT</w:t>
      </w:r>
      <w:r w:rsidRPr="00696743">
        <w:rPr>
          <w:rStyle w:val="CoverTopicDetails"/>
          <w:sz w:val="28"/>
          <w:szCs w:val="28"/>
          <w:lang w:val="en-GB"/>
        </w:rPr>
        <w:t xml:space="preserve"> </w:t>
      </w:r>
      <w:r w:rsidR="00505048">
        <w:rPr>
          <w:rStyle w:val="CoverTopicDetails"/>
          <w:sz w:val="28"/>
          <w:szCs w:val="28"/>
          <w:lang w:val="en-GB"/>
        </w:rPr>
        <w:t>Stage</w:t>
      </w:r>
      <w:bookmarkEnd w:id="1"/>
    </w:p>
    <w:p w:rsidR="00F00B0F" w:rsidRDefault="00F00B0F" w:rsidP="00F00B0F">
      <w:pPr>
        <w:pStyle w:val="TopSectionHeadings"/>
      </w:pPr>
    </w:p>
    <w:p w:rsidR="009535C3" w:rsidRPr="009535C3" w:rsidRDefault="009535C3" w:rsidP="00E9318A">
      <w:pPr>
        <w:pStyle w:val="ChapterSummary"/>
        <w:numPr>
          <w:ilvl w:val="0"/>
          <w:numId w:val="0"/>
        </w:numPr>
        <w:rPr>
          <w:b/>
        </w:rPr>
      </w:pPr>
      <w:r>
        <w:rPr>
          <w:b/>
        </w:rPr>
        <w:t>Section Summary</w:t>
      </w:r>
    </w:p>
    <w:p w:rsidR="009535C3" w:rsidRDefault="009535C3" w:rsidP="00E9318A">
      <w:pPr>
        <w:pStyle w:val="ChapterSummary"/>
        <w:numPr>
          <w:ilvl w:val="0"/>
          <w:numId w:val="0"/>
        </w:numPr>
      </w:pPr>
    </w:p>
    <w:p w:rsidR="00F00B0F" w:rsidRDefault="00F00B0F" w:rsidP="00E9318A">
      <w:pPr>
        <w:pStyle w:val="ChapterSummary"/>
        <w:numPr>
          <w:ilvl w:val="0"/>
          <w:numId w:val="0"/>
        </w:numPr>
      </w:pPr>
      <w:r>
        <w:t xml:space="preserve">This section provides </w:t>
      </w:r>
      <w:r w:rsidR="004734EA">
        <w:t xml:space="preserve">Qualifying </w:t>
      </w:r>
      <w:r>
        <w:t>Bidders with an overview of the</w:t>
      </w:r>
      <w:r w:rsidR="004734EA">
        <w:t xml:space="preserve"> process Ofgem will follow during the</w:t>
      </w:r>
      <w:r>
        <w:t xml:space="preserve"> </w:t>
      </w:r>
      <w:r w:rsidR="006526C9">
        <w:t>QTT</w:t>
      </w:r>
      <w:r>
        <w:t xml:space="preserve"> </w:t>
      </w:r>
      <w:r w:rsidR="004734EA">
        <w:t>Stage f</w:t>
      </w:r>
      <w:r>
        <w:t xml:space="preserve">or </w:t>
      </w:r>
      <w:r w:rsidR="006526C9" w:rsidRPr="006526C9">
        <w:t xml:space="preserve">Tranche A Tender Exercises </w:t>
      </w:r>
      <w:r w:rsidR="006526C9">
        <w:t>in the</w:t>
      </w:r>
      <w:r>
        <w:t xml:space="preserve"> </w:t>
      </w:r>
      <w:r w:rsidR="00530584">
        <w:t>second</w:t>
      </w:r>
      <w:r>
        <w:t xml:space="preserve"> </w:t>
      </w:r>
      <w:r w:rsidR="00B54971">
        <w:t xml:space="preserve">transitional </w:t>
      </w:r>
      <w:r w:rsidR="001D7788">
        <w:t>Tender R</w:t>
      </w:r>
      <w:r w:rsidR="00C27194">
        <w:t>ound</w:t>
      </w:r>
      <w:r>
        <w:t>.</w:t>
      </w:r>
    </w:p>
    <w:p w:rsidR="006E1D09" w:rsidRPr="00F00B0F" w:rsidRDefault="006E1D09" w:rsidP="00E9318A">
      <w:pPr>
        <w:pStyle w:val="ChapterSummary"/>
        <w:numPr>
          <w:ilvl w:val="0"/>
          <w:numId w:val="0"/>
        </w:numPr>
      </w:pPr>
    </w:p>
    <w:p w:rsidR="0002427B" w:rsidRDefault="0002427B" w:rsidP="00236020">
      <w:pPr>
        <w:pStyle w:val="Heading1"/>
        <w:spacing w:before="360"/>
      </w:pPr>
      <w:bookmarkStart w:id="2" w:name="_Toc283819622"/>
      <w:r>
        <w:t>Legal Framework</w:t>
      </w:r>
      <w:bookmarkEnd w:id="2"/>
    </w:p>
    <w:p w:rsidR="00674A37" w:rsidRDefault="0002427B" w:rsidP="008C3C3A">
      <w:pPr>
        <w:pStyle w:val="Paragrapgh"/>
      </w:pPr>
      <w:r>
        <w:t xml:space="preserve">The </w:t>
      </w:r>
      <w:hyperlink r:id="rId15" w:history="1">
        <w:r w:rsidRPr="00C27194">
          <w:rPr>
            <w:rStyle w:val="Hyperlink"/>
            <w:sz w:val="20"/>
          </w:rPr>
          <w:t>Tender Regulations</w:t>
        </w:r>
      </w:hyperlink>
      <w:r w:rsidR="00236020">
        <w:t xml:space="preserve"> provide</w:t>
      </w:r>
      <w:r>
        <w:t xml:space="preserve"> the legal </w:t>
      </w:r>
      <w:r w:rsidR="004F62BF">
        <w:t>framework for these</w:t>
      </w:r>
      <w:r w:rsidR="00674A37">
        <w:t xml:space="preserve"> competitive </w:t>
      </w:r>
      <w:r w:rsidR="004F62BF">
        <w:t>Tender Exercises</w:t>
      </w:r>
      <w:r>
        <w:t xml:space="preserve">. These came into effect on 29 July 2010. </w:t>
      </w:r>
    </w:p>
    <w:p w:rsidR="0002427B" w:rsidRDefault="0002427B" w:rsidP="008C3C3A">
      <w:pPr>
        <w:pStyle w:val="Paragrapgh"/>
      </w:pPr>
      <w:r>
        <w:t xml:space="preserve">In accordance with the Tender Regulations, Ofgem has published </w:t>
      </w:r>
      <w:hyperlink r:id="rId16" w:history="1">
        <w:r w:rsidRPr="00C27194">
          <w:rPr>
            <w:rStyle w:val="Hyperlink"/>
            <w:sz w:val="20"/>
          </w:rPr>
          <w:t>Tender Rules</w:t>
        </w:r>
      </w:hyperlink>
      <w:r w:rsidR="00C27194">
        <w:rPr>
          <w:rStyle w:val="FootnoteReference"/>
        </w:rPr>
        <w:footnoteReference w:id="4"/>
      </w:r>
      <w:r>
        <w:t xml:space="preserve"> in order to inform </w:t>
      </w:r>
      <w:r w:rsidR="001D7788">
        <w:t>Qualifying Bidders</w:t>
      </w:r>
      <w:r>
        <w:t xml:space="preserve"> about how Ofgem wi</w:t>
      </w:r>
      <w:r w:rsidR="001D7788">
        <w:t>ll run the second transitional Tender R</w:t>
      </w:r>
      <w:r>
        <w:t>ound and to set out the requirements, expectations and obligations on parties involved.</w:t>
      </w:r>
      <w:r w:rsidR="00674A37">
        <w:t xml:space="preserve"> Chapters 2 to 4 of</w:t>
      </w:r>
      <w:r w:rsidR="00C40F20">
        <w:t xml:space="preserve"> the Tender Rules also set out </w:t>
      </w:r>
      <w:r w:rsidR="00674A37">
        <w:t>general rules that apply to this stage.</w:t>
      </w:r>
    </w:p>
    <w:p w:rsidR="00E6536D" w:rsidRDefault="00236020" w:rsidP="00FE4CD8">
      <w:pPr>
        <w:pStyle w:val="Heading2"/>
      </w:pPr>
      <w:bookmarkStart w:id="3" w:name="_Toc283819623"/>
      <w:r>
        <w:t>QTT</w:t>
      </w:r>
      <w:r w:rsidR="00E6536D">
        <w:t xml:space="preserve"> Document</w:t>
      </w:r>
      <w:bookmarkEnd w:id="3"/>
    </w:p>
    <w:p w:rsidR="00E10829" w:rsidRDefault="00236020" w:rsidP="00236020">
      <w:pPr>
        <w:pStyle w:val="Paragrapgh"/>
      </w:pPr>
      <w:r w:rsidRPr="00580E79">
        <w:t xml:space="preserve">The purpose of the QTT </w:t>
      </w:r>
      <w:r>
        <w:t>Stage</w:t>
      </w:r>
      <w:r w:rsidRPr="00580E79">
        <w:t xml:space="preserve"> is to identify </w:t>
      </w:r>
      <w:r>
        <w:t xml:space="preserve">a suitable shortlist of Qualifying Bidders </w:t>
      </w:r>
      <w:r w:rsidRPr="00580E79">
        <w:t xml:space="preserve">in respect of each </w:t>
      </w:r>
      <w:r>
        <w:t>Qualifying Project</w:t>
      </w:r>
      <w:r w:rsidRPr="00580E79">
        <w:t xml:space="preserve"> </w:t>
      </w:r>
      <w:r>
        <w:t>to proceed to the ITT S</w:t>
      </w:r>
      <w:r w:rsidRPr="00580E79">
        <w:t>tage</w:t>
      </w:r>
      <w:r>
        <w:t xml:space="preserve">. </w:t>
      </w:r>
      <w:r w:rsidR="00E10829">
        <w:t xml:space="preserve">This QTT Document sets out the requirements which </w:t>
      </w:r>
      <w:r w:rsidR="001D7788">
        <w:t xml:space="preserve">Qualifying </w:t>
      </w:r>
      <w:r w:rsidR="00E10829">
        <w:t>Bidders must demonstrate</w:t>
      </w:r>
      <w:r w:rsidR="00B54971">
        <w:t xml:space="preserve"> to Ofgem’s satisfaction</w:t>
      </w:r>
      <w:r w:rsidR="006526C9">
        <w:t xml:space="preserve"> for Tranche A Tender Exercises</w:t>
      </w:r>
      <w:r w:rsidR="00B54971">
        <w:t xml:space="preserve"> in the second transitional</w:t>
      </w:r>
      <w:r w:rsidR="00E10829">
        <w:t xml:space="preserve"> Tender Round in order to progress to the </w:t>
      </w:r>
      <w:r w:rsidR="00B54971">
        <w:t xml:space="preserve">ITT Stage. </w:t>
      </w:r>
    </w:p>
    <w:p w:rsidR="00E6536D" w:rsidRDefault="00E6536D" w:rsidP="00DD236A">
      <w:pPr>
        <w:pStyle w:val="Paragrapgh"/>
        <w:spacing w:after="240"/>
      </w:pPr>
      <w:r>
        <w:t>This document sets out:</w:t>
      </w:r>
    </w:p>
    <w:p w:rsidR="00D05381" w:rsidRDefault="00D05381" w:rsidP="00DD236A">
      <w:pPr>
        <w:pStyle w:val="Text-bulleted"/>
        <w:spacing w:before="120" w:after="120"/>
        <w:ind w:left="357" w:hanging="357"/>
        <w:rPr>
          <w:szCs w:val="20"/>
        </w:rPr>
      </w:pPr>
      <w:r w:rsidRPr="00C249AB">
        <w:rPr>
          <w:szCs w:val="20"/>
        </w:rPr>
        <w:t xml:space="preserve">the rules particular to the </w:t>
      </w:r>
      <w:r>
        <w:rPr>
          <w:szCs w:val="20"/>
        </w:rPr>
        <w:t>QTT S</w:t>
      </w:r>
      <w:r w:rsidRPr="00C249AB">
        <w:rPr>
          <w:szCs w:val="20"/>
        </w:rPr>
        <w:t>tage;</w:t>
      </w:r>
    </w:p>
    <w:p w:rsidR="00D05381" w:rsidRPr="00C249AB" w:rsidRDefault="00D05381" w:rsidP="00DD236A">
      <w:pPr>
        <w:pStyle w:val="Text-bulleted"/>
        <w:spacing w:before="120" w:after="120"/>
        <w:ind w:left="357" w:hanging="357"/>
        <w:rPr>
          <w:szCs w:val="20"/>
        </w:rPr>
      </w:pPr>
      <w:r>
        <w:rPr>
          <w:rFonts w:cs="Times New Roman"/>
          <w:szCs w:val="20"/>
        </w:rPr>
        <w:t>the timeline for the stage, including an overview of the key activities and steps;</w:t>
      </w:r>
      <w:r w:rsidRPr="00C249AB">
        <w:rPr>
          <w:szCs w:val="20"/>
        </w:rPr>
        <w:t xml:space="preserve"> </w:t>
      </w:r>
    </w:p>
    <w:p w:rsidR="0055736C" w:rsidRDefault="0055736C" w:rsidP="00DD236A">
      <w:pPr>
        <w:pStyle w:val="Text-bulleted"/>
        <w:spacing w:before="120" w:after="120"/>
        <w:ind w:left="357" w:hanging="357"/>
        <w:rPr>
          <w:szCs w:val="20"/>
        </w:rPr>
      </w:pPr>
      <w:r>
        <w:rPr>
          <w:rFonts w:cs="Times New Roman"/>
          <w:szCs w:val="20"/>
        </w:rPr>
        <w:t>information available to Qualifying Bidders to compile their QTT Submissions;</w:t>
      </w:r>
    </w:p>
    <w:p w:rsidR="0055736C" w:rsidRDefault="00D05381" w:rsidP="00DD236A">
      <w:pPr>
        <w:pStyle w:val="Text-bulleted"/>
        <w:spacing w:before="120" w:after="120"/>
        <w:ind w:left="357" w:hanging="357"/>
        <w:rPr>
          <w:szCs w:val="20"/>
        </w:rPr>
      </w:pPr>
      <w:r w:rsidRPr="00C249AB">
        <w:rPr>
          <w:szCs w:val="20"/>
        </w:rPr>
        <w:t xml:space="preserve">the instructions that apply to the </w:t>
      </w:r>
      <w:r w:rsidR="00343682">
        <w:rPr>
          <w:szCs w:val="20"/>
        </w:rPr>
        <w:t xml:space="preserve">QTT </w:t>
      </w:r>
      <w:r w:rsidR="001D7788">
        <w:rPr>
          <w:szCs w:val="20"/>
        </w:rPr>
        <w:t>Q</w:t>
      </w:r>
      <w:r w:rsidRPr="00C249AB">
        <w:rPr>
          <w:szCs w:val="20"/>
        </w:rPr>
        <w:t xml:space="preserve">uestionnaire, and the date, time and manner in which a completed </w:t>
      </w:r>
      <w:r w:rsidR="00343682">
        <w:rPr>
          <w:szCs w:val="20"/>
        </w:rPr>
        <w:t xml:space="preserve">QTT </w:t>
      </w:r>
      <w:r w:rsidR="001D7788">
        <w:rPr>
          <w:szCs w:val="20"/>
        </w:rPr>
        <w:t>Q</w:t>
      </w:r>
      <w:r w:rsidRPr="00C249AB">
        <w:rPr>
          <w:szCs w:val="20"/>
        </w:rPr>
        <w:t>uestionnaire should be submitted to Ofgem;</w:t>
      </w:r>
    </w:p>
    <w:p w:rsidR="00D05381" w:rsidRPr="0055736C" w:rsidRDefault="0055736C" w:rsidP="00DD236A">
      <w:pPr>
        <w:pStyle w:val="Text-bulleted"/>
        <w:spacing w:before="120" w:after="120"/>
        <w:ind w:left="357" w:hanging="357"/>
        <w:rPr>
          <w:szCs w:val="20"/>
        </w:rPr>
      </w:pPr>
      <w:r w:rsidRPr="00C249AB">
        <w:rPr>
          <w:szCs w:val="20"/>
        </w:rPr>
        <w:t xml:space="preserve">the </w:t>
      </w:r>
      <w:r>
        <w:rPr>
          <w:szCs w:val="20"/>
        </w:rPr>
        <w:t>QTT Q</w:t>
      </w:r>
      <w:r w:rsidRPr="00C249AB">
        <w:rPr>
          <w:szCs w:val="20"/>
        </w:rPr>
        <w:t>uestionnaire;</w:t>
      </w:r>
      <w:r>
        <w:rPr>
          <w:szCs w:val="20"/>
        </w:rPr>
        <w:t xml:space="preserve"> and</w:t>
      </w:r>
      <w:r w:rsidR="00D05381" w:rsidRPr="0055736C">
        <w:rPr>
          <w:szCs w:val="20"/>
        </w:rPr>
        <w:t xml:space="preserve"> </w:t>
      </w:r>
    </w:p>
    <w:p w:rsidR="00D05381" w:rsidRPr="00EC1EAD" w:rsidRDefault="00D05381" w:rsidP="00DD236A">
      <w:pPr>
        <w:pStyle w:val="Text-bulleted"/>
        <w:spacing w:before="120" w:after="360"/>
        <w:ind w:left="357" w:hanging="357"/>
        <w:rPr>
          <w:szCs w:val="20"/>
        </w:rPr>
      </w:pPr>
      <w:r w:rsidRPr="00C249AB">
        <w:rPr>
          <w:szCs w:val="20"/>
        </w:rPr>
        <w:t xml:space="preserve">the criteria against which Ofgem will evaluate </w:t>
      </w:r>
      <w:r>
        <w:rPr>
          <w:szCs w:val="20"/>
        </w:rPr>
        <w:t>QTT</w:t>
      </w:r>
      <w:r w:rsidRPr="00C249AB">
        <w:rPr>
          <w:szCs w:val="20"/>
        </w:rPr>
        <w:t xml:space="preserve"> Submission</w:t>
      </w:r>
      <w:r w:rsidR="00343682">
        <w:rPr>
          <w:szCs w:val="20"/>
        </w:rPr>
        <w:t>s</w:t>
      </w:r>
      <w:r w:rsidRPr="00C249AB">
        <w:rPr>
          <w:szCs w:val="20"/>
        </w:rPr>
        <w:t>.</w:t>
      </w:r>
    </w:p>
    <w:p w:rsidR="00C35852" w:rsidRDefault="00C35852" w:rsidP="008C3C3A">
      <w:pPr>
        <w:pStyle w:val="Paragrapgh"/>
      </w:pPr>
      <w:r>
        <w:lastRenderedPageBreak/>
        <w:t xml:space="preserve">For the avoidance of doubt, this </w:t>
      </w:r>
      <w:r w:rsidR="00246DF6">
        <w:t>QTT</w:t>
      </w:r>
      <w:r>
        <w:t xml:space="preserve"> Document applies to the Qualifying Projects in Tranche A </w:t>
      </w:r>
      <w:r w:rsidR="00842A1D">
        <w:t xml:space="preserve">of the second transitional Tender Round </w:t>
      </w:r>
      <w:r>
        <w:t>only.</w:t>
      </w:r>
    </w:p>
    <w:p w:rsidR="00044822" w:rsidRDefault="00044822" w:rsidP="008C3C3A">
      <w:pPr>
        <w:pStyle w:val="Paragrapgh"/>
      </w:pPr>
      <w:r>
        <w:t xml:space="preserve">The QTT Document relates to the second </w:t>
      </w:r>
      <w:r w:rsidR="00246DF6">
        <w:t>stage of a Tender Exercise, ie</w:t>
      </w:r>
      <w:r>
        <w:t xml:space="preserve"> the QTT Stage. Further deta</w:t>
      </w:r>
      <w:r w:rsidR="004F62BF">
        <w:t>il on a Tender Exercise</w:t>
      </w:r>
      <w:r>
        <w:t>, including subsequent stages</w:t>
      </w:r>
      <w:r w:rsidR="004F62BF">
        <w:t>,</w:t>
      </w:r>
      <w:r>
        <w:t xml:space="preserve"> can be found in the Tender Rules.</w:t>
      </w:r>
    </w:p>
    <w:p w:rsidR="008909F9" w:rsidRDefault="00D05381" w:rsidP="008909F9">
      <w:pPr>
        <w:pStyle w:val="Paragrapgh"/>
      </w:pPr>
      <w:r>
        <w:t>This QTT</w:t>
      </w:r>
      <w:r w:rsidR="008909F9">
        <w:t xml:space="preserve"> Document does not amend anything in the Tender Rules.</w:t>
      </w:r>
    </w:p>
    <w:p w:rsidR="00E6536D" w:rsidRDefault="00E6536D" w:rsidP="00FE4CD8">
      <w:pPr>
        <w:pStyle w:val="Heading2"/>
      </w:pPr>
      <w:bookmarkStart w:id="4" w:name="_Toc283819624"/>
      <w:r>
        <w:t xml:space="preserve">Right to </w:t>
      </w:r>
      <w:r w:rsidR="00BA2257">
        <w:t>V</w:t>
      </w:r>
      <w:r>
        <w:t>ary a Tender Exercise</w:t>
      </w:r>
      <w:bookmarkEnd w:id="4"/>
      <w:r>
        <w:t xml:space="preserve"> </w:t>
      </w:r>
    </w:p>
    <w:p w:rsidR="00E6536D" w:rsidRDefault="00E6536D" w:rsidP="008C3C3A">
      <w:pPr>
        <w:pStyle w:val="Paragrapgh"/>
        <w:rPr>
          <w:rFonts w:eastAsia="SimSun"/>
        </w:rPr>
      </w:pPr>
      <w:r>
        <w:t>Subject to the provisions of the Tender Regulations, Ofgem reserves the right to vary any element of a Tender Exercise, issue supplementary documentation or make additional arrangements at any time during a Tender Exercise in order to clarify any issue or amend any aspect of the Tender Exercise. Any such variation shall only take effect so as to actually vary the Tender Exercise if subs</w:t>
      </w:r>
      <w:r w:rsidR="00C40F20">
        <w:t xml:space="preserve">equently confirmed in writing. </w:t>
      </w:r>
      <w:r>
        <w:t xml:space="preserve">This includes where Ofgem determines that it is impracticable to complete any action, or to deliver or publish any document or notice, by the time, date or in the manner specified within the Tender Regulations. </w:t>
      </w:r>
    </w:p>
    <w:p w:rsidR="00E6536D" w:rsidRDefault="00E6536D">
      <w:pPr>
        <w:pStyle w:val="Paragrapgh"/>
        <w:rPr>
          <w:rFonts w:eastAsia="SimSun"/>
        </w:rPr>
      </w:pPr>
      <w:r>
        <w:t>Any such supplementary documentation issued by Ofgem during a Tender Exercise will b</w:t>
      </w:r>
      <w:r w:rsidR="00044822">
        <w:t>e deemed to form part of this QTT</w:t>
      </w:r>
      <w:r>
        <w:t xml:space="preserve"> Document to the extent </w:t>
      </w:r>
      <w:r w:rsidR="005F28BF">
        <w:t xml:space="preserve">indicated in the amendment. </w:t>
      </w:r>
      <w:r>
        <w:t>Ofgem may decide to extend a Ten</w:t>
      </w:r>
      <w:r w:rsidR="00044822">
        <w:t>der Exercise and postpone any QTT</w:t>
      </w:r>
      <w:r>
        <w:t xml:space="preserve"> Submission deadline in the event of any such amendment.</w:t>
      </w:r>
      <w:r w:rsidR="00937E9D">
        <w:t xml:space="preserve"> </w:t>
      </w:r>
    </w:p>
    <w:p w:rsidR="00E6536D" w:rsidRDefault="00E6536D" w:rsidP="00FE4CD8">
      <w:pPr>
        <w:pStyle w:val="Heading2"/>
      </w:pPr>
      <w:bookmarkStart w:id="5" w:name="_Toc283819625"/>
      <w:r>
        <w:t>Costs</w:t>
      </w:r>
      <w:bookmarkEnd w:id="5"/>
    </w:p>
    <w:p w:rsidR="00094687" w:rsidRPr="00580E79" w:rsidRDefault="00094687" w:rsidP="008C3C3A">
      <w:pPr>
        <w:pStyle w:val="Paragrapgh"/>
      </w:pPr>
      <w:r w:rsidRPr="00580E79">
        <w:t xml:space="preserve">Qualifying Bidders are not required to make any payments to Ofgem at the </w:t>
      </w:r>
      <w:r>
        <w:t>QTT</w:t>
      </w:r>
      <w:r w:rsidRPr="00580E79">
        <w:t xml:space="preserve"> </w:t>
      </w:r>
      <w:r>
        <w:t>Stage</w:t>
      </w:r>
      <w:r w:rsidRPr="00580E79">
        <w:t>.</w:t>
      </w:r>
    </w:p>
    <w:p w:rsidR="00E6536D" w:rsidRDefault="00E6536D">
      <w:pPr>
        <w:pStyle w:val="Paragrapgh"/>
      </w:pPr>
      <w:r>
        <w:t xml:space="preserve">Ofgem is under no obligation and shall not accept any liability for any costs, expenses, damages or losses incurred </w:t>
      </w:r>
      <w:r w:rsidR="00DE0D50">
        <w:t xml:space="preserve">by any </w:t>
      </w:r>
      <w:r w:rsidR="00B542B2">
        <w:t xml:space="preserve">Qualifying </w:t>
      </w:r>
      <w:r w:rsidR="00DE0D50">
        <w:t xml:space="preserve">Bidder, including without limitation any unsuccessful </w:t>
      </w:r>
      <w:r w:rsidR="00246DF6">
        <w:t xml:space="preserve">Qualifying </w:t>
      </w:r>
      <w:r w:rsidR="00DE0D50">
        <w:t xml:space="preserve">Bidder, </w:t>
      </w:r>
      <w:r>
        <w:t>in connection with a Tender Exercise.</w:t>
      </w:r>
    </w:p>
    <w:p w:rsidR="00EC107A" w:rsidRDefault="00EC107A" w:rsidP="00FE4CD8">
      <w:pPr>
        <w:pStyle w:val="Heading2"/>
      </w:pPr>
      <w:bookmarkStart w:id="6" w:name="_Toc283819626"/>
      <w:r>
        <w:t>Miscellaneous</w:t>
      </w:r>
      <w:bookmarkEnd w:id="6"/>
    </w:p>
    <w:p w:rsidR="00EC107A" w:rsidRDefault="00EC107A" w:rsidP="00EC107A">
      <w:pPr>
        <w:pStyle w:val="Paragrapgh"/>
      </w:pPr>
      <w:r>
        <w:t>Ofg</w:t>
      </w:r>
      <w:r w:rsidR="00A238EE">
        <w:t>em is not bound to accept any QTT</w:t>
      </w:r>
      <w:r>
        <w:t xml:space="preserve"> Submission made by a</w:t>
      </w:r>
      <w:r w:rsidR="00B542B2">
        <w:t xml:space="preserve"> Qualifying</w:t>
      </w:r>
      <w:r w:rsidR="005F28BF">
        <w:t xml:space="preserve"> Bidder. </w:t>
      </w:r>
      <w:r>
        <w:t xml:space="preserve">If a </w:t>
      </w:r>
      <w:r w:rsidR="00B542B2">
        <w:t xml:space="preserve">Qualifying </w:t>
      </w:r>
      <w:r>
        <w:t xml:space="preserve">Bidder withdraws or is disqualified from one or more Tender Exercises or Ofgem cancels a Tender Exercise (in each case in accordance with the Tender Regulations), Ofgem shall not incur any liability for any losses whatsoever (whether in contract, tort or otherwise and including direct, indirect and consequential losses) towards any </w:t>
      </w:r>
      <w:r w:rsidR="00246DF6">
        <w:t>Q</w:t>
      </w:r>
      <w:r w:rsidR="00B542B2">
        <w:t xml:space="preserve">ualifying </w:t>
      </w:r>
      <w:r>
        <w:t>Bidder or any of their Related Parties.</w:t>
      </w:r>
    </w:p>
    <w:p w:rsidR="00E6536D" w:rsidRDefault="00E6536D" w:rsidP="001C7FC5">
      <w:pPr>
        <w:pStyle w:val="Heading1"/>
      </w:pPr>
      <w:bookmarkStart w:id="7" w:name="_Toc283819627"/>
      <w:r>
        <w:lastRenderedPageBreak/>
        <w:t>Timetable</w:t>
      </w:r>
      <w:bookmarkEnd w:id="7"/>
    </w:p>
    <w:p w:rsidR="00E6536D" w:rsidRDefault="00E6536D" w:rsidP="008C3C3A">
      <w:pPr>
        <w:pStyle w:val="Paragrapgh"/>
      </w:pPr>
      <w:r>
        <w:t>The Tender Rules</w:t>
      </w:r>
      <w:r w:rsidR="00246DF6">
        <w:t xml:space="preserve"> set out</w:t>
      </w:r>
      <w:r>
        <w:t xml:space="preserve"> the overall </w:t>
      </w:r>
      <w:r w:rsidR="00246DF6">
        <w:t xml:space="preserve">indicative </w:t>
      </w:r>
      <w:r>
        <w:t>timetable for the sec</w:t>
      </w:r>
      <w:r w:rsidR="00C40F20">
        <w:t xml:space="preserve">ond transitional Tender Round. </w:t>
      </w:r>
      <w:r>
        <w:t>T</w:t>
      </w:r>
      <w:r w:rsidR="006526C9">
        <w:t xml:space="preserve">he detailed timetable for </w:t>
      </w:r>
      <w:r w:rsidR="00B542B2">
        <w:t>the QTT</w:t>
      </w:r>
      <w:r>
        <w:t xml:space="preserve"> Stage</w:t>
      </w:r>
      <w:r w:rsidR="006526C9">
        <w:t xml:space="preserve"> of Tranche A Tender Exercises </w:t>
      </w:r>
      <w:r w:rsidR="008909F9">
        <w:t>is set out below:</w:t>
      </w:r>
    </w:p>
    <w:tbl>
      <w:tblPr>
        <w:tblW w:w="8093" w:type="dxa"/>
        <w:tblInd w:w="95" w:type="dxa"/>
        <w:tblLook w:val="04A0"/>
      </w:tblPr>
      <w:tblGrid>
        <w:gridCol w:w="4220"/>
        <w:gridCol w:w="3873"/>
      </w:tblGrid>
      <w:tr w:rsidR="005D3060" w:rsidRPr="005D3060" w:rsidTr="006526C9">
        <w:trPr>
          <w:trHeight w:val="255"/>
        </w:trPr>
        <w:tc>
          <w:tcPr>
            <w:tcW w:w="4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5D3060" w:rsidRPr="005D3060" w:rsidRDefault="005D3060" w:rsidP="005D3060">
            <w:pPr>
              <w:rPr>
                <w:b/>
                <w:bCs/>
                <w:color w:val="000000"/>
                <w:szCs w:val="20"/>
                <w:lang w:eastAsia="en-GB"/>
              </w:rPr>
            </w:pPr>
            <w:r w:rsidRPr="005D3060">
              <w:rPr>
                <w:b/>
                <w:bCs/>
                <w:color w:val="000000"/>
                <w:szCs w:val="20"/>
                <w:lang w:eastAsia="en-GB"/>
              </w:rPr>
              <w:t>Milestone</w:t>
            </w:r>
          </w:p>
        </w:tc>
        <w:tc>
          <w:tcPr>
            <w:tcW w:w="387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5D3060" w:rsidRPr="005D3060" w:rsidRDefault="005D3060" w:rsidP="005D3060">
            <w:pPr>
              <w:rPr>
                <w:b/>
                <w:bCs/>
                <w:color w:val="000000"/>
                <w:szCs w:val="20"/>
                <w:lang w:eastAsia="en-GB"/>
              </w:rPr>
            </w:pPr>
            <w:r w:rsidRPr="005D3060">
              <w:rPr>
                <w:b/>
                <w:bCs/>
                <w:color w:val="000000"/>
                <w:szCs w:val="20"/>
                <w:lang w:eastAsia="en-GB"/>
              </w:rPr>
              <w:t>Date</w:t>
            </w:r>
          </w:p>
        </w:tc>
      </w:tr>
      <w:tr w:rsidR="008909F9" w:rsidRPr="005D3060" w:rsidTr="005D3060">
        <w:trPr>
          <w:trHeight w:val="255"/>
        </w:trPr>
        <w:tc>
          <w:tcPr>
            <w:tcW w:w="4220" w:type="dxa"/>
            <w:tcBorders>
              <w:top w:val="nil"/>
              <w:left w:val="single" w:sz="4" w:space="0" w:color="auto"/>
              <w:bottom w:val="single" w:sz="4" w:space="0" w:color="auto"/>
              <w:right w:val="single" w:sz="4" w:space="0" w:color="auto"/>
            </w:tcBorders>
            <w:shd w:val="clear" w:color="auto" w:fill="auto"/>
            <w:hideMark/>
          </w:tcPr>
          <w:p w:rsidR="008909F9" w:rsidRPr="005D3060" w:rsidRDefault="00B542B2" w:rsidP="005D3060">
            <w:pPr>
              <w:rPr>
                <w:color w:val="000000"/>
                <w:szCs w:val="20"/>
                <w:lang w:eastAsia="en-GB"/>
              </w:rPr>
            </w:pPr>
            <w:r>
              <w:rPr>
                <w:color w:val="000000"/>
                <w:szCs w:val="20"/>
                <w:lang w:eastAsia="en-GB"/>
              </w:rPr>
              <w:t>QTT Document</w:t>
            </w:r>
            <w:r w:rsidR="008909F9" w:rsidRPr="005D3060">
              <w:rPr>
                <w:color w:val="000000"/>
                <w:szCs w:val="20"/>
                <w:lang w:eastAsia="en-GB"/>
              </w:rPr>
              <w:t xml:space="preserve"> </w:t>
            </w:r>
            <w:r w:rsidR="00823E73">
              <w:rPr>
                <w:color w:val="000000"/>
                <w:szCs w:val="20"/>
                <w:lang w:eastAsia="en-GB"/>
              </w:rPr>
              <w:t xml:space="preserve">and Confidentiality Agreements </w:t>
            </w:r>
            <w:r w:rsidR="008909F9" w:rsidRPr="005D3060">
              <w:rPr>
                <w:color w:val="000000"/>
                <w:szCs w:val="20"/>
                <w:lang w:eastAsia="en-GB"/>
              </w:rPr>
              <w:t>published</w:t>
            </w:r>
          </w:p>
        </w:tc>
        <w:tc>
          <w:tcPr>
            <w:tcW w:w="3873" w:type="dxa"/>
            <w:tcBorders>
              <w:top w:val="nil"/>
              <w:left w:val="nil"/>
              <w:bottom w:val="single" w:sz="4" w:space="0" w:color="auto"/>
              <w:right w:val="single" w:sz="4" w:space="0" w:color="auto"/>
            </w:tcBorders>
            <w:shd w:val="clear" w:color="auto" w:fill="auto"/>
            <w:hideMark/>
          </w:tcPr>
          <w:p w:rsidR="008909F9" w:rsidRPr="00695AD5" w:rsidRDefault="00823E73" w:rsidP="005D3060">
            <w:pPr>
              <w:rPr>
                <w:color w:val="000000"/>
                <w:szCs w:val="20"/>
                <w:lang w:eastAsia="en-GB"/>
              </w:rPr>
            </w:pPr>
            <w:r w:rsidRPr="00695AD5">
              <w:rPr>
                <w:color w:val="000000"/>
                <w:szCs w:val="20"/>
                <w:lang w:eastAsia="en-GB"/>
              </w:rPr>
              <w:t>2</w:t>
            </w:r>
            <w:r w:rsidR="00791360" w:rsidRPr="00695AD5">
              <w:rPr>
                <w:color w:val="000000"/>
                <w:szCs w:val="20"/>
                <w:lang w:eastAsia="en-GB"/>
              </w:rPr>
              <w:t>6</w:t>
            </w:r>
            <w:r w:rsidR="00595E47" w:rsidRPr="00695AD5">
              <w:rPr>
                <w:color w:val="000000"/>
                <w:szCs w:val="20"/>
                <w:lang w:eastAsia="en-GB"/>
              </w:rPr>
              <w:t xml:space="preserve"> January 2011</w:t>
            </w:r>
          </w:p>
        </w:tc>
      </w:tr>
      <w:tr w:rsidR="001F4A02" w:rsidRPr="005D3060" w:rsidTr="005D3060">
        <w:trPr>
          <w:trHeight w:val="255"/>
        </w:trPr>
        <w:tc>
          <w:tcPr>
            <w:tcW w:w="4220" w:type="dxa"/>
            <w:tcBorders>
              <w:top w:val="nil"/>
              <w:left w:val="single" w:sz="4" w:space="0" w:color="auto"/>
              <w:bottom w:val="single" w:sz="4" w:space="0" w:color="auto"/>
              <w:right w:val="single" w:sz="4" w:space="0" w:color="auto"/>
            </w:tcBorders>
            <w:shd w:val="clear" w:color="auto" w:fill="auto"/>
            <w:hideMark/>
          </w:tcPr>
          <w:p w:rsidR="001F4A02" w:rsidRPr="005D3060" w:rsidRDefault="001F4A02" w:rsidP="005D3060">
            <w:pPr>
              <w:rPr>
                <w:color w:val="000000"/>
                <w:szCs w:val="20"/>
                <w:lang w:eastAsia="en-GB"/>
              </w:rPr>
            </w:pPr>
            <w:r>
              <w:rPr>
                <w:color w:val="000000"/>
                <w:szCs w:val="20"/>
                <w:lang w:eastAsia="en-GB"/>
              </w:rPr>
              <w:t>Qualifying Bidders return s</w:t>
            </w:r>
            <w:r w:rsidR="00246DF6">
              <w:rPr>
                <w:color w:val="000000"/>
                <w:szCs w:val="20"/>
                <w:lang w:eastAsia="en-GB"/>
              </w:rPr>
              <w:t>igned Confidentiality Agreement</w:t>
            </w:r>
            <w:r>
              <w:rPr>
                <w:color w:val="000000"/>
                <w:szCs w:val="20"/>
                <w:lang w:eastAsia="en-GB"/>
              </w:rPr>
              <w:t>(s)</w:t>
            </w:r>
          </w:p>
        </w:tc>
        <w:tc>
          <w:tcPr>
            <w:tcW w:w="3873" w:type="dxa"/>
            <w:tcBorders>
              <w:top w:val="nil"/>
              <w:left w:val="nil"/>
              <w:bottom w:val="single" w:sz="4" w:space="0" w:color="auto"/>
              <w:right w:val="single" w:sz="4" w:space="0" w:color="auto"/>
            </w:tcBorders>
            <w:shd w:val="clear" w:color="auto" w:fill="auto"/>
            <w:hideMark/>
          </w:tcPr>
          <w:p w:rsidR="001F4A02" w:rsidRPr="00695AD5" w:rsidRDefault="00823E73" w:rsidP="005D3060">
            <w:pPr>
              <w:rPr>
                <w:color w:val="000000"/>
                <w:szCs w:val="20"/>
                <w:lang w:eastAsia="en-GB"/>
              </w:rPr>
            </w:pPr>
            <w:r w:rsidRPr="00695AD5">
              <w:rPr>
                <w:color w:val="000000"/>
                <w:szCs w:val="20"/>
                <w:lang w:eastAsia="en-GB"/>
              </w:rPr>
              <w:t xml:space="preserve">From </w:t>
            </w:r>
            <w:r w:rsidR="00791360" w:rsidRPr="00695AD5">
              <w:rPr>
                <w:color w:val="000000"/>
                <w:szCs w:val="20"/>
                <w:lang w:eastAsia="en-GB"/>
              </w:rPr>
              <w:t>26</w:t>
            </w:r>
            <w:r w:rsidR="001F4A02" w:rsidRPr="00695AD5">
              <w:rPr>
                <w:color w:val="000000"/>
                <w:szCs w:val="20"/>
                <w:lang w:eastAsia="en-GB"/>
              </w:rPr>
              <w:t xml:space="preserve"> January 2011</w:t>
            </w:r>
          </w:p>
        </w:tc>
      </w:tr>
      <w:tr w:rsidR="001F4A02" w:rsidRPr="005D3060" w:rsidTr="005D3060">
        <w:trPr>
          <w:trHeight w:val="255"/>
        </w:trPr>
        <w:tc>
          <w:tcPr>
            <w:tcW w:w="4220" w:type="dxa"/>
            <w:tcBorders>
              <w:top w:val="nil"/>
              <w:left w:val="single" w:sz="4" w:space="0" w:color="auto"/>
              <w:bottom w:val="single" w:sz="4" w:space="0" w:color="auto"/>
              <w:right w:val="single" w:sz="4" w:space="0" w:color="auto"/>
            </w:tcBorders>
            <w:shd w:val="clear" w:color="auto" w:fill="auto"/>
            <w:hideMark/>
          </w:tcPr>
          <w:p w:rsidR="001F4A02" w:rsidRPr="005D3060" w:rsidRDefault="001F4A02" w:rsidP="00823E73">
            <w:pPr>
              <w:rPr>
                <w:color w:val="000000"/>
                <w:szCs w:val="20"/>
                <w:lang w:eastAsia="en-GB"/>
              </w:rPr>
            </w:pPr>
            <w:r>
              <w:rPr>
                <w:color w:val="000000"/>
                <w:szCs w:val="20"/>
                <w:lang w:eastAsia="en-GB"/>
              </w:rPr>
              <w:t xml:space="preserve">Information Memoranda </w:t>
            </w:r>
            <w:r w:rsidR="006E1D09">
              <w:rPr>
                <w:color w:val="000000"/>
                <w:szCs w:val="20"/>
                <w:lang w:eastAsia="en-GB"/>
              </w:rPr>
              <w:t>a</w:t>
            </w:r>
            <w:r w:rsidR="00674A37">
              <w:rPr>
                <w:color w:val="000000"/>
                <w:szCs w:val="20"/>
                <w:lang w:eastAsia="en-GB"/>
              </w:rPr>
              <w:t xml:space="preserve">nd Project </w:t>
            </w:r>
            <w:r w:rsidR="006E1D09">
              <w:rPr>
                <w:color w:val="000000"/>
                <w:szCs w:val="20"/>
                <w:lang w:eastAsia="en-GB"/>
              </w:rPr>
              <w:t xml:space="preserve">Transfer Agreements </w:t>
            </w:r>
            <w:r>
              <w:rPr>
                <w:color w:val="000000"/>
                <w:szCs w:val="20"/>
                <w:lang w:eastAsia="en-GB"/>
              </w:rPr>
              <w:t xml:space="preserve">made available to Qualifying Bidders </w:t>
            </w:r>
          </w:p>
        </w:tc>
        <w:tc>
          <w:tcPr>
            <w:tcW w:w="3873" w:type="dxa"/>
            <w:tcBorders>
              <w:top w:val="nil"/>
              <w:left w:val="nil"/>
              <w:bottom w:val="single" w:sz="4" w:space="0" w:color="auto"/>
              <w:right w:val="single" w:sz="4" w:space="0" w:color="auto"/>
            </w:tcBorders>
            <w:shd w:val="clear" w:color="auto" w:fill="auto"/>
            <w:hideMark/>
          </w:tcPr>
          <w:p w:rsidR="001F4A02" w:rsidRPr="00695AD5" w:rsidRDefault="00823E73" w:rsidP="005D3060">
            <w:pPr>
              <w:rPr>
                <w:color w:val="000000"/>
                <w:szCs w:val="20"/>
                <w:lang w:eastAsia="en-GB"/>
              </w:rPr>
            </w:pPr>
            <w:r w:rsidRPr="00695AD5">
              <w:rPr>
                <w:color w:val="000000"/>
                <w:szCs w:val="20"/>
                <w:lang w:eastAsia="en-GB"/>
              </w:rPr>
              <w:t>Following return of signed Confidentiality Agreement(s)</w:t>
            </w:r>
          </w:p>
        </w:tc>
      </w:tr>
      <w:tr w:rsidR="008909F9" w:rsidRPr="005D3060" w:rsidTr="005D3060">
        <w:trPr>
          <w:trHeight w:val="255"/>
        </w:trPr>
        <w:tc>
          <w:tcPr>
            <w:tcW w:w="4220" w:type="dxa"/>
            <w:tcBorders>
              <w:top w:val="nil"/>
              <w:left w:val="single" w:sz="4" w:space="0" w:color="auto"/>
              <w:bottom w:val="single" w:sz="4" w:space="0" w:color="auto"/>
              <w:right w:val="single" w:sz="4" w:space="0" w:color="auto"/>
            </w:tcBorders>
            <w:shd w:val="clear" w:color="auto" w:fill="auto"/>
            <w:hideMark/>
          </w:tcPr>
          <w:p w:rsidR="008909F9" w:rsidRPr="005D3060" w:rsidRDefault="008909F9" w:rsidP="005D3060">
            <w:pPr>
              <w:rPr>
                <w:color w:val="000000"/>
                <w:szCs w:val="20"/>
                <w:lang w:eastAsia="en-GB"/>
              </w:rPr>
            </w:pPr>
            <w:r w:rsidRPr="005D3060">
              <w:rPr>
                <w:color w:val="000000"/>
                <w:szCs w:val="20"/>
                <w:lang w:eastAsia="en-GB"/>
              </w:rPr>
              <w:t>Deadline for</w:t>
            </w:r>
            <w:r w:rsidR="00440243">
              <w:rPr>
                <w:color w:val="000000"/>
                <w:szCs w:val="20"/>
                <w:lang w:eastAsia="en-GB"/>
              </w:rPr>
              <w:t xml:space="preserve"> Qualifying</w:t>
            </w:r>
            <w:r w:rsidRPr="005D3060">
              <w:rPr>
                <w:color w:val="000000"/>
                <w:szCs w:val="20"/>
                <w:lang w:eastAsia="en-GB"/>
              </w:rPr>
              <w:t xml:space="preserve"> </w:t>
            </w:r>
            <w:r>
              <w:rPr>
                <w:color w:val="000000"/>
                <w:szCs w:val="20"/>
                <w:lang w:eastAsia="en-GB"/>
              </w:rPr>
              <w:t xml:space="preserve">Bidder </w:t>
            </w:r>
            <w:r w:rsidRPr="005D3060">
              <w:rPr>
                <w:color w:val="000000"/>
                <w:szCs w:val="20"/>
                <w:lang w:eastAsia="en-GB"/>
              </w:rPr>
              <w:t xml:space="preserve">clarifications to Ofgem </w:t>
            </w:r>
          </w:p>
        </w:tc>
        <w:tc>
          <w:tcPr>
            <w:tcW w:w="3873" w:type="dxa"/>
            <w:tcBorders>
              <w:top w:val="nil"/>
              <w:left w:val="nil"/>
              <w:bottom w:val="single" w:sz="4" w:space="0" w:color="auto"/>
              <w:right w:val="single" w:sz="4" w:space="0" w:color="auto"/>
            </w:tcBorders>
            <w:shd w:val="clear" w:color="auto" w:fill="auto"/>
            <w:hideMark/>
          </w:tcPr>
          <w:p w:rsidR="008909F9" w:rsidRPr="00695AD5" w:rsidRDefault="00B542B2" w:rsidP="005D3060">
            <w:pPr>
              <w:rPr>
                <w:color w:val="000000"/>
                <w:szCs w:val="20"/>
                <w:lang w:eastAsia="en-GB"/>
              </w:rPr>
            </w:pPr>
            <w:r w:rsidRPr="00695AD5">
              <w:rPr>
                <w:color w:val="000000"/>
                <w:szCs w:val="20"/>
                <w:lang w:eastAsia="en-GB"/>
              </w:rPr>
              <w:t>11</w:t>
            </w:r>
            <w:r w:rsidR="00595E47" w:rsidRPr="00695AD5">
              <w:rPr>
                <w:color w:val="000000"/>
                <w:szCs w:val="20"/>
                <w:lang w:eastAsia="en-GB"/>
              </w:rPr>
              <w:t xml:space="preserve"> February 2011</w:t>
            </w:r>
          </w:p>
        </w:tc>
      </w:tr>
      <w:tr w:rsidR="008909F9" w:rsidRPr="005D3060" w:rsidTr="005D3060">
        <w:trPr>
          <w:trHeight w:val="259"/>
        </w:trPr>
        <w:tc>
          <w:tcPr>
            <w:tcW w:w="4220" w:type="dxa"/>
            <w:tcBorders>
              <w:top w:val="nil"/>
              <w:left w:val="single" w:sz="4" w:space="0" w:color="auto"/>
              <w:bottom w:val="single" w:sz="4" w:space="0" w:color="auto"/>
              <w:right w:val="single" w:sz="4" w:space="0" w:color="auto"/>
            </w:tcBorders>
            <w:shd w:val="clear" w:color="auto" w:fill="auto"/>
            <w:hideMark/>
          </w:tcPr>
          <w:p w:rsidR="008909F9" w:rsidRPr="005D3060" w:rsidRDefault="005F28BF" w:rsidP="005D3060">
            <w:pPr>
              <w:rPr>
                <w:color w:val="000000"/>
                <w:szCs w:val="20"/>
                <w:lang w:eastAsia="en-GB"/>
              </w:rPr>
            </w:pPr>
            <w:r>
              <w:rPr>
                <w:color w:val="000000"/>
                <w:szCs w:val="20"/>
                <w:lang w:eastAsia="en-GB"/>
              </w:rPr>
              <w:t xml:space="preserve">QTT </w:t>
            </w:r>
            <w:r w:rsidR="008909F9" w:rsidRPr="005D3060">
              <w:rPr>
                <w:color w:val="000000"/>
                <w:szCs w:val="20"/>
                <w:lang w:eastAsia="en-GB"/>
              </w:rPr>
              <w:t>Submissions due</w:t>
            </w:r>
          </w:p>
        </w:tc>
        <w:tc>
          <w:tcPr>
            <w:tcW w:w="3873" w:type="dxa"/>
            <w:tcBorders>
              <w:top w:val="nil"/>
              <w:left w:val="nil"/>
              <w:bottom w:val="single" w:sz="4" w:space="0" w:color="auto"/>
              <w:right w:val="single" w:sz="4" w:space="0" w:color="auto"/>
            </w:tcBorders>
            <w:shd w:val="clear" w:color="auto" w:fill="auto"/>
            <w:hideMark/>
          </w:tcPr>
          <w:p w:rsidR="008909F9" w:rsidRPr="00695AD5" w:rsidRDefault="000810DB" w:rsidP="005D3060">
            <w:pPr>
              <w:rPr>
                <w:color w:val="000000"/>
                <w:szCs w:val="20"/>
                <w:lang w:eastAsia="en-GB"/>
              </w:rPr>
            </w:pPr>
            <w:r>
              <w:rPr>
                <w:color w:val="000000"/>
                <w:szCs w:val="20"/>
                <w:lang w:eastAsia="en-GB"/>
              </w:rPr>
              <w:t>28</w:t>
            </w:r>
            <w:r w:rsidR="0005186B" w:rsidRPr="00695AD5">
              <w:rPr>
                <w:color w:val="000000"/>
                <w:szCs w:val="20"/>
                <w:lang w:eastAsia="en-GB"/>
              </w:rPr>
              <w:t xml:space="preserve"> February 2011</w:t>
            </w:r>
            <w:r w:rsidR="00B542B2" w:rsidRPr="00695AD5">
              <w:rPr>
                <w:color w:val="000000"/>
                <w:szCs w:val="20"/>
                <w:lang w:eastAsia="en-GB"/>
              </w:rPr>
              <w:t xml:space="preserve"> (noon</w:t>
            </w:r>
            <w:r w:rsidR="008909F9" w:rsidRPr="00695AD5">
              <w:rPr>
                <w:color w:val="000000"/>
                <w:szCs w:val="20"/>
                <w:lang w:eastAsia="en-GB"/>
              </w:rPr>
              <w:t>)</w:t>
            </w:r>
          </w:p>
        </w:tc>
      </w:tr>
      <w:tr w:rsidR="008909F9" w:rsidRPr="005D3060" w:rsidTr="005D3060">
        <w:trPr>
          <w:trHeight w:val="510"/>
        </w:trPr>
        <w:tc>
          <w:tcPr>
            <w:tcW w:w="4220" w:type="dxa"/>
            <w:tcBorders>
              <w:top w:val="nil"/>
              <w:left w:val="single" w:sz="4" w:space="0" w:color="auto"/>
              <w:bottom w:val="single" w:sz="4" w:space="0" w:color="auto"/>
              <w:right w:val="single" w:sz="4" w:space="0" w:color="auto"/>
            </w:tcBorders>
            <w:shd w:val="clear" w:color="auto" w:fill="auto"/>
            <w:hideMark/>
          </w:tcPr>
          <w:p w:rsidR="008909F9" w:rsidRPr="005D3060" w:rsidRDefault="008909F9" w:rsidP="005D3060">
            <w:pPr>
              <w:rPr>
                <w:color w:val="000000"/>
                <w:szCs w:val="20"/>
                <w:lang w:eastAsia="en-GB"/>
              </w:rPr>
            </w:pPr>
            <w:r w:rsidRPr="005D3060">
              <w:rPr>
                <w:color w:val="000000"/>
                <w:szCs w:val="20"/>
                <w:lang w:eastAsia="en-GB"/>
              </w:rPr>
              <w:t xml:space="preserve">Evaluation of </w:t>
            </w:r>
            <w:r w:rsidR="005F28BF">
              <w:rPr>
                <w:color w:val="000000"/>
                <w:szCs w:val="20"/>
                <w:lang w:eastAsia="en-GB"/>
              </w:rPr>
              <w:t xml:space="preserve">QTT </w:t>
            </w:r>
            <w:r w:rsidRPr="005D3060">
              <w:rPr>
                <w:color w:val="000000"/>
                <w:szCs w:val="20"/>
                <w:lang w:eastAsia="en-GB"/>
              </w:rPr>
              <w:t>Submissions</w:t>
            </w:r>
            <w:r>
              <w:rPr>
                <w:color w:val="000000"/>
                <w:szCs w:val="20"/>
                <w:lang w:eastAsia="en-GB"/>
              </w:rPr>
              <w:t xml:space="preserve"> (including Ofgem clarifications to</w:t>
            </w:r>
            <w:r w:rsidR="00440243">
              <w:rPr>
                <w:color w:val="000000"/>
                <w:szCs w:val="20"/>
                <w:lang w:eastAsia="en-GB"/>
              </w:rPr>
              <w:t xml:space="preserve"> Qualifying</w:t>
            </w:r>
            <w:r>
              <w:rPr>
                <w:color w:val="000000"/>
                <w:szCs w:val="20"/>
                <w:lang w:eastAsia="en-GB"/>
              </w:rPr>
              <w:t xml:space="preserve"> Bidders)</w:t>
            </w:r>
          </w:p>
        </w:tc>
        <w:tc>
          <w:tcPr>
            <w:tcW w:w="3873" w:type="dxa"/>
            <w:tcBorders>
              <w:top w:val="nil"/>
              <w:left w:val="nil"/>
              <w:bottom w:val="single" w:sz="4" w:space="0" w:color="auto"/>
              <w:right w:val="single" w:sz="4" w:space="0" w:color="auto"/>
            </w:tcBorders>
            <w:shd w:val="clear" w:color="auto" w:fill="auto"/>
            <w:hideMark/>
          </w:tcPr>
          <w:p w:rsidR="008909F9" w:rsidRPr="00695AD5" w:rsidRDefault="000810DB" w:rsidP="000810DB">
            <w:pPr>
              <w:rPr>
                <w:color w:val="000000"/>
                <w:szCs w:val="20"/>
                <w:lang w:eastAsia="en-GB"/>
              </w:rPr>
            </w:pPr>
            <w:r>
              <w:rPr>
                <w:color w:val="000000"/>
                <w:szCs w:val="20"/>
                <w:lang w:eastAsia="en-GB"/>
              </w:rPr>
              <w:t>1</w:t>
            </w:r>
            <w:r w:rsidR="0005186B" w:rsidRPr="00695AD5">
              <w:rPr>
                <w:color w:val="000000"/>
                <w:szCs w:val="20"/>
                <w:lang w:eastAsia="en-GB"/>
              </w:rPr>
              <w:t xml:space="preserve"> </w:t>
            </w:r>
            <w:r>
              <w:rPr>
                <w:color w:val="000000"/>
                <w:szCs w:val="20"/>
                <w:lang w:eastAsia="en-GB"/>
              </w:rPr>
              <w:t>March</w:t>
            </w:r>
            <w:r w:rsidR="0005186B" w:rsidRPr="00695AD5">
              <w:rPr>
                <w:color w:val="000000"/>
                <w:szCs w:val="20"/>
                <w:lang w:eastAsia="en-GB"/>
              </w:rPr>
              <w:t xml:space="preserve"> 2011</w:t>
            </w:r>
            <w:r w:rsidR="008909F9" w:rsidRPr="00695AD5">
              <w:rPr>
                <w:color w:val="000000"/>
                <w:szCs w:val="20"/>
                <w:lang w:eastAsia="en-GB"/>
              </w:rPr>
              <w:t xml:space="preserve"> to </w:t>
            </w:r>
            <w:r w:rsidR="00B542B2" w:rsidRPr="00695AD5">
              <w:rPr>
                <w:color w:val="000000"/>
                <w:szCs w:val="20"/>
                <w:lang w:eastAsia="en-GB"/>
              </w:rPr>
              <w:t>29</w:t>
            </w:r>
            <w:r w:rsidR="0005186B" w:rsidRPr="00695AD5">
              <w:rPr>
                <w:color w:val="000000"/>
                <w:szCs w:val="20"/>
                <w:lang w:eastAsia="en-GB"/>
              </w:rPr>
              <w:t xml:space="preserve"> March 2011</w:t>
            </w:r>
          </w:p>
        </w:tc>
      </w:tr>
      <w:tr w:rsidR="008909F9" w:rsidRPr="005D3060" w:rsidTr="005D3060">
        <w:trPr>
          <w:trHeight w:val="510"/>
        </w:trPr>
        <w:tc>
          <w:tcPr>
            <w:tcW w:w="4220" w:type="dxa"/>
            <w:tcBorders>
              <w:top w:val="nil"/>
              <w:left w:val="single" w:sz="4" w:space="0" w:color="auto"/>
              <w:bottom w:val="single" w:sz="4" w:space="0" w:color="auto"/>
              <w:right w:val="single" w:sz="4" w:space="0" w:color="auto"/>
            </w:tcBorders>
            <w:shd w:val="clear" w:color="auto" w:fill="auto"/>
            <w:hideMark/>
          </w:tcPr>
          <w:p w:rsidR="008909F9" w:rsidRPr="005D3060" w:rsidRDefault="00440243" w:rsidP="005F28BF">
            <w:pPr>
              <w:rPr>
                <w:color w:val="000000"/>
                <w:szCs w:val="20"/>
                <w:lang w:eastAsia="en-GB"/>
              </w:rPr>
            </w:pPr>
            <w:r>
              <w:rPr>
                <w:color w:val="000000"/>
                <w:szCs w:val="20"/>
                <w:lang w:eastAsia="en-GB"/>
              </w:rPr>
              <w:t xml:space="preserve">Qualifying </w:t>
            </w:r>
            <w:r w:rsidR="008909F9">
              <w:rPr>
                <w:color w:val="000000"/>
                <w:szCs w:val="20"/>
                <w:lang w:eastAsia="en-GB"/>
              </w:rPr>
              <w:t xml:space="preserve">Bidders </w:t>
            </w:r>
            <w:r w:rsidR="00246DF6">
              <w:rPr>
                <w:color w:val="000000"/>
                <w:szCs w:val="20"/>
                <w:lang w:eastAsia="en-GB"/>
              </w:rPr>
              <w:t xml:space="preserve">notified </w:t>
            </w:r>
            <w:r w:rsidR="008909F9">
              <w:rPr>
                <w:color w:val="000000"/>
                <w:szCs w:val="20"/>
                <w:lang w:eastAsia="en-GB"/>
              </w:rPr>
              <w:t>of outco</w:t>
            </w:r>
            <w:r w:rsidR="00246DF6">
              <w:rPr>
                <w:color w:val="000000"/>
                <w:szCs w:val="20"/>
                <w:lang w:eastAsia="en-GB"/>
              </w:rPr>
              <w:t xml:space="preserve">mes and </w:t>
            </w:r>
            <w:r w:rsidR="00B542B2">
              <w:rPr>
                <w:color w:val="000000"/>
                <w:szCs w:val="20"/>
                <w:lang w:eastAsia="en-GB"/>
              </w:rPr>
              <w:t>Qualifying</w:t>
            </w:r>
            <w:r w:rsidR="008909F9">
              <w:rPr>
                <w:color w:val="000000"/>
                <w:szCs w:val="20"/>
                <w:lang w:eastAsia="en-GB"/>
              </w:rPr>
              <w:t xml:space="preserve"> Bidder </w:t>
            </w:r>
            <w:r>
              <w:rPr>
                <w:color w:val="000000"/>
                <w:szCs w:val="20"/>
                <w:lang w:eastAsia="en-GB"/>
              </w:rPr>
              <w:t>shortlist</w:t>
            </w:r>
            <w:r w:rsidR="00246DF6">
              <w:rPr>
                <w:color w:val="000000"/>
                <w:szCs w:val="20"/>
                <w:lang w:eastAsia="en-GB"/>
              </w:rPr>
              <w:t xml:space="preserve"> </w:t>
            </w:r>
            <w:r w:rsidR="005F28BF">
              <w:rPr>
                <w:color w:val="000000"/>
                <w:szCs w:val="20"/>
                <w:lang w:eastAsia="en-GB"/>
              </w:rPr>
              <w:t xml:space="preserve">for each Qualifying Project </w:t>
            </w:r>
            <w:r w:rsidR="00246DF6">
              <w:rPr>
                <w:color w:val="000000"/>
                <w:szCs w:val="20"/>
                <w:lang w:eastAsia="en-GB"/>
              </w:rPr>
              <w:t>published</w:t>
            </w:r>
            <w:r w:rsidR="005F28BF">
              <w:rPr>
                <w:color w:val="000000"/>
                <w:szCs w:val="20"/>
                <w:lang w:eastAsia="en-GB"/>
              </w:rPr>
              <w:t xml:space="preserve"> </w:t>
            </w:r>
          </w:p>
        </w:tc>
        <w:tc>
          <w:tcPr>
            <w:tcW w:w="3873" w:type="dxa"/>
            <w:tcBorders>
              <w:top w:val="nil"/>
              <w:left w:val="nil"/>
              <w:bottom w:val="single" w:sz="4" w:space="0" w:color="auto"/>
              <w:right w:val="single" w:sz="4" w:space="0" w:color="auto"/>
            </w:tcBorders>
            <w:shd w:val="clear" w:color="auto" w:fill="auto"/>
            <w:hideMark/>
          </w:tcPr>
          <w:p w:rsidR="008909F9" w:rsidRPr="00695AD5" w:rsidRDefault="00B542B2" w:rsidP="005D3060">
            <w:pPr>
              <w:rPr>
                <w:color w:val="000000"/>
                <w:szCs w:val="20"/>
                <w:lang w:eastAsia="en-GB"/>
              </w:rPr>
            </w:pPr>
            <w:r w:rsidRPr="00695AD5">
              <w:rPr>
                <w:color w:val="000000"/>
                <w:szCs w:val="20"/>
                <w:lang w:eastAsia="en-GB"/>
              </w:rPr>
              <w:t>8</w:t>
            </w:r>
            <w:r w:rsidR="0005186B" w:rsidRPr="00695AD5">
              <w:rPr>
                <w:color w:val="000000"/>
                <w:szCs w:val="20"/>
                <w:lang w:eastAsia="en-GB"/>
              </w:rPr>
              <w:t xml:space="preserve"> April 2011</w:t>
            </w:r>
          </w:p>
        </w:tc>
      </w:tr>
    </w:tbl>
    <w:p w:rsidR="00E6536D" w:rsidRDefault="00E6536D" w:rsidP="008C3C3A">
      <w:pPr>
        <w:pStyle w:val="Paragrapgh"/>
      </w:pPr>
      <w:r>
        <w:t>Ofgem reserves the right to vary thi</w:t>
      </w:r>
      <w:r w:rsidR="00C40F20">
        <w:t xml:space="preserve">s timetable at its discretion. </w:t>
      </w:r>
      <w:r>
        <w:t xml:space="preserve">Any such variation will be communicated via the </w:t>
      </w:r>
      <w:r w:rsidR="008467AE">
        <w:t>Portal</w:t>
      </w:r>
      <w:r>
        <w:t xml:space="preserve">. </w:t>
      </w:r>
      <w:r w:rsidR="008909F9">
        <w:t>Further information on the Portal can be found in the Tender Rules.</w:t>
      </w:r>
    </w:p>
    <w:p w:rsidR="00ED4C42" w:rsidRDefault="00ED4C42" w:rsidP="001C7FC5">
      <w:pPr>
        <w:pStyle w:val="Heading1"/>
      </w:pPr>
      <w:bookmarkStart w:id="8" w:name="_Toc283819628"/>
      <w:r>
        <w:t>Confidentiality Agreement</w:t>
      </w:r>
      <w:bookmarkEnd w:id="8"/>
    </w:p>
    <w:p w:rsidR="0055736C" w:rsidRDefault="0055736C" w:rsidP="008C3C3A">
      <w:pPr>
        <w:pStyle w:val="Paragrapgh"/>
      </w:pPr>
      <w:r>
        <w:t>Ofgem will publish (via the Portal) a Confidentiality Agreement in respect of each Qualifying Project, along with instructions that apply to that document, including the date, time and manner in which the Confidentiali</w:t>
      </w:r>
      <w:r w:rsidR="00246DF6">
        <w:t>ty Agreement should be returned</w:t>
      </w:r>
      <w:r>
        <w:t xml:space="preserve"> to Ofgem by a Qualifying Bidder. The Confidentiality Agreement will already have been signed by the relevant Developer (as a Tender Entry condition) and should not be amended.</w:t>
      </w:r>
    </w:p>
    <w:p w:rsidR="0055736C" w:rsidRDefault="0055736C" w:rsidP="008C3C3A">
      <w:pPr>
        <w:pStyle w:val="Paragrapgh"/>
      </w:pPr>
      <w:r>
        <w:t xml:space="preserve">Each Qualifying Bidder must return a signed Confidentiality Agreement to Ofgem in respect of each Qualifying </w:t>
      </w:r>
      <w:r w:rsidR="00246DF6">
        <w:t xml:space="preserve">Project </w:t>
      </w:r>
      <w:r w:rsidR="00232740">
        <w:t>for which it is bidding</w:t>
      </w:r>
      <w:r w:rsidR="00246DF6">
        <w:t>. R</w:t>
      </w:r>
      <w:r>
        <w:t xml:space="preserve">eturn of the Confidentiality Agreement will enable Ofgem to release the </w:t>
      </w:r>
      <w:r w:rsidR="008467AE">
        <w:t>relevant Information Memorandum</w:t>
      </w:r>
      <w:r w:rsidR="00246DF6">
        <w:t xml:space="preserve"> </w:t>
      </w:r>
      <w:r w:rsidR="00A94644">
        <w:t xml:space="preserve">(IM) </w:t>
      </w:r>
      <w:r>
        <w:t xml:space="preserve">and </w:t>
      </w:r>
      <w:r w:rsidR="00A94644">
        <w:t xml:space="preserve">draft </w:t>
      </w:r>
      <w:r w:rsidR="00674A37">
        <w:t>Project</w:t>
      </w:r>
      <w:r>
        <w:t xml:space="preserve"> Transfer Agreement (</w:t>
      </w:r>
      <w:r w:rsidR="00246DF6">
        <w:t xml:space="preserve">both </w:t>
      </w:r>
      <w:r>
        <w:t>referred to below) to the Qualifying Bidder to assist completion of the</w:t>
      </w:r>
      <w:r w:rsidR="00246DF6">
        <w:t>ir QTT Submission</w:t>
      </w:r>
      <w:r>
        <w:t>.</w:t>
      </w:r>
    </w:p>
    <w:p w:rsidR="00ED4C42" w:rsidRDefault="00ED4C42" w:rsidP="008C3C3A">
      <w:pPr>
        <w:pStyle w:val="Paragrapgh"/>
      </w:pPr>
      <w:r>
        <w:t xml:space="preserve">A QTT Submission in respect of any particular Qualifying Project will be deemed to be non-compliant if the Qualifying </w:t>
      </w:r>
      <w:r w:rsidR="00AC2F97">
        <w:t>Bidder</w:t>
      </w:r>
      <w:r>
        <w:t xml:space="preserve"> has not </w:t>
      </w:r>
      <w:r w:rsidR="008467AE">
        <w:t>returned a signed</w:t>
      </w:r>
      <w:r>
        <w:t xml:space="preserve"> Confidentiality Agree</w:t>
      </w:r>
      <w:r w:rsidR="00246DF6">
        <w:t>ment in relation to that</w:t>
      </w:r>
      <w:r>
        <w:t xml:space="preserve"> Qualifying Project.</w:t>
      </w:r>
    </w:p>
    <w:p w:rsidR="00E6536D" w:rsidRDefault="00E6536D" w:rsidP="001C7FC5">
      <w:pPr>
        <w:pStyle w:val="Heading1"/>
      </w:pPr>
      <w:bookmarkStart w:id="9" w:name="_Toc283819629"/>
      <w:r>
        <w:lastRenderedPageBreak/>
        <w:t xml:space="preserve">Information </w:t>
      </w:r>
      <w:r w:rsidR="00ED4C42">
        <w:t xml:space="preserve">Memoranda </w:t>
      </w:r>
      <w:r>
        <w:t>on Qualifying Projects</w:t>
      </w:r>
      <w:bookmarkEnd w:id="9"/>
    </w:p>
    <w:p w:rsidR="00ED4C42" w:rsidRDefault="00246DF6" w:rsidP="00246DF6">
      <w:pPr>
        <w:pStyle w:val="Paragrapgh"/>
      </w:pPr>
      <w:r>
        <w:t xml:space="preserve">Each IM document contains detailed information in relation to a Qualifying Project. </w:t>
      </w:r>
      <w:r w:rsidR="00505048">
        <w:t xml:space="preserve">Each </w:t>
      </w:r>
      <w:r w:rsidR="00ED4C42">
        <w:t xml:space="preserve">Qualifying </w:t>
      </w:r>
      <w:r w:rsidR="00AC2F97">
        <w:t>Bidder</w:t>
      </w:r>
      <w:r w:rsidR="00505048">
        <w:t xml:space="preserve"> that has returned a signed Confidentiality Agreement will be granted access (on the Portal) to the </w:t>
      </w:r>
      <w:r w:rsidR="00EE67FA">
        <w:t>IM</w:t>
      </w:r>
      <w:r w:rsidR="00505048">
        <w:t xml:space="preserve"> prepared in respect of each of the relevant Qualifying Project(s).</w:t>
      </w:r>
      <w:r w:rsidR="00ED4C42">
        <w:t xml:space="preserve"> </w:t>
      </w:r>
    </w:p>
    <w:p w:rsidR="009B7416" w:rsidRPr="001F0D6B" w:rsidRDefault="001F0D6B" w:rsidP="001F0D6B">
      <w:pPr>
        <w:pStyle w:val="Paragrapgh"/>
      </w:pPr>
      <w:r>
        <w:t>The table below</w:t>
      </w:r>
      <w:r w:rsidR="00823E73">
        <w:t xml:space="preserve"> sets out key information, taken from each IM, </w:t>
      </w:r>
      <w:r w:rsidR="00823E73" w:rsidRPr="00823E73">
        <w:t>on Qualifying Projects for Tranche A Tender Exercises in the second transitional Tender Round</w:t>
      </w:r>
      <w:r>
        <w:t>:</w:t>
      </w:r>
    </w:p>
    <w:tbl>
      <w:tblPr>
        <w:tblW w:w="8862" w:type="dxa"/>
        <w:tblLook w:val="00A0"/>
      </w:tblPr>
      <w:tblGrid>
        <w:gridCol w:w="1678"/>
        <w:gridCol w:w="2757"/>
        <w:gridCol w:w="1148"/>
        <w:gridCol w:w="1784"/>
        <w:gridCol w:w="1495"/>
      </w:tblGrid>
      <w:tr w:rsidR="00513523" w:rsidRPr="009069DC" w:rsidTr="00513523">
        <w:tc>
          <w:tcPr>
            <w:tcW w:w="1678" w:type="dxa"/>
            <w:tcBorders>
              <w:left w:val="single" w:sz="6" w:space="0" w:color="FFFFFF"/>
              <w:bottom w:val="single" w:sz="6" w:space="0" w:color="FFFFFF"/>
              <w:right w:val="single" w:sz="6" w:space="0" w:color="FFFFFF"/>
            </w:tcBorders>
            <w:shd w:val="clear" w:color="auto" w:fill="0060A9"/>
          </w:tcPr>
          <w:p w:rsidR="00513523" w:rsidRDefault="00513523" w:rsidP="00513523">
            <w:pPr>
              <w:keepNext/>
              <w:spacing w:before="60" w:after="60"/>
              <w:jc w:val="center"/>
              <w:rPr>
                <w:b/>
                <w:bCs/>
                <w:color w:val="FFFFFF"/>
                <w:sz w:val="16"/>
                <w:szCs w:val="16"/>
              </w:rPr>
            </w:pPr>
            <w:r w:rsidRPr="009069DC">
              <w:rPr>
                <w:b/>
                <w:bCs/>
                <w:color w:val="FFFFFF"/>
                <w:sz w:val="16"/>
                <w:szCs w:val="16"/>
              </w:rPr>
              <w:t>Project</w:t>
            </w:r>
          </w:p>
        </w:tc>
        <w:tc>
          <w:tcPr>
            <w:tcW w:w="2757" w:type="dxa"/>
            <w:tcBorders>
              <w:left w:val="single" w:sz="6" w:space="0" w:color="FFFFFF"/>
              <w:bottom w:val="single" w:sz="6" w:space="0" w:color="FFFFFF"/>
              <w:right w:val="single" w:sz="6" w:space="0" w:color="FFFFFF"/>
            </w:tcBorders>
            <w:shd w:val="clear" w:color="auto" w:fill="0060A9"/>
          </w:tcPr>
          <w:p w:rsidR="00513523" w:rsidRDefault="00513523" w:rsidP="00513523">
            <w:pPr>
              <w:keepNext/>
              <w:spacing w:before="60" w:after="60"/>
              <w:jc w:val="center"/>
              <w:rPr>
                <w:b/>
                <w:bCs/>
                <w:color w:val="FFFFFF"/>
                <w:sz w:val="16"/>
                <w:szCs w:val="16"/>
              </w:rPr>
            </w:pPr>
            <w:r w:rsidRPr="009069DC">
              <w:rPr>
                <w:b/>
                <w:bCs/>
                <w:color w:val="FFFFFF"/>
                <w:sz w:val="16"/>
                <w:szCs w:val="16"/>
              </w:rPr>
              <w:t>Developer</w:t>
            </w:r>
          </w:p>
        </w:tc>
        <w:tc>
          <w:tcPr>
            <w:tcW w:w="1148" w:type="dxa"/>
            <w:tcBorders>
              <w:left w:val="single" w:sz="6" w:space="0" w:color="FFFFFF"/>
              <w:bottom w:val="single" w:sz="6" w:space="0" w:color="FFFFFF"/>
              <w:right w:val="single" w:sz="6" w:space="0" w:color="FFFFFF"/>
            </w:tcBorders>
            <w:shd w:val="clear" w:color="auto" w:fill="0060A9"/>
          </w:tcPr>
          <w:p w:rsidR="00513523" w:rsidRDefault="00513523" w:rsidP="00513523">
            <w:pPr>
              <w:keepNext/>
              <w:spacing w:before="60" w:after="60"/>
              <w:jc w:val="center"/>
              <w:rPr>
                <w:b/>
                <w:bCs/>
                <w:color w:val="FFFFFF"/>
                <w:sz w:val="16"/>
                <w:szCs w:val="16"/>
              </w:rPr>
            </w:pPr>
            <w:r>
              <w:rPr>
                <w:b/>
                <w:bCs/>
                <w:color w:val="FFFFFF"/>
                <w:sz w:val="16"/>
                <w:szCs w:val="16"/>
              </w:rPr>
              <w:t>Size (MW)</w:t>
            </w:r>
          </w:p>
        </w:tc>
        <w:tc>
          <w:tcPr>
            <w:tcW w:w="1784" w:type="dxa"/>
            <w:tcBorders>
              <w:left w:val="single" w:sz="6" w:space="0" w:color="FFFFFF"/>
              <w:bottom w:val="single" w:sz="6" w:space="0" w:color="FFFFFF"/>
            </w:tcBorders>
            <w:shd w:val="clear" w:color="auto" w:fill="0060A9"/>
          </w:tcPr>
          <w:p w:rsidR="00513523" w:rsidRDefault="00513523" w:rsidP="00513523">
            <w:pPr>
              <w:keepNext/>
              <w:spacing w:before="60" w:after="60"/>
              <w:jc w:val="center"/>
              <w:rPr>
                <w:b/>
                <w:bCs/>
                <w:color w:val="FFFFFF"/>
                <w:sz w:val="16"/>
                <w:szCs w:val="16"/>
              </w:rPr>
            </w:pPr>
            <w:r>
              <w:rPr>
                <w:b/>
                <w:bCs/>
                <w:color w:val="FFFFFF"/>
                <w:sz w:val="16"/>
                <w:szCs w:val="16"/>
              </w:rPr>
              <w:t>Initial Transfer Value</w:t>
            </w:r>
          </w:p>
        </w:tc>
        <w:tc>
          <w:tcPr>
            <w:tcW w:w="1495" w:type="dxa"/>
            <w:tcBorders>
              <w:left w:val="single" w:sz="6" w:space="0" w:color="FFFFFF"/>
              <w:bottom w:val="single" w:sz="6" w:space="0" w:color="FFFFFF"/>
            </w:tcBorders>
            <w:shd w:val="clear" w:color="auto" w:fill="0060A9"/>
          </w:tcPr>
          <w:p w:rsidR="00513523" w:rsidRDefault="00513523" w:rsidP="00653BE1">
            <w:pPr>
              <w:keepNext/>
              <w:spacing w:before="60" w:after="60"/>
              <w:jc w:val="center"/>
              <w:rPr>
                <w:b/>
                <w:bCs/>
                <w:color w:val="FFFFFF"/>
                <w:sz w:val="16"/>
                <w:szCs w:val="16"/>
              </w:rPr>
            </w:pPr>
            <w:r>
              <w:rPr>
                <w:b/>
                <w:bCs/>
                <w:color w:val="FFFFFF"/>
                <w:sz w:val="16"/>
                <w:szCs w:val="16"/>
              </w:rPr>
              <w:t>Estimated Transfer Date</w:t>
            </w:r>
          </w:p>
        </w:tc>
      </w:tr>
      <w:tr w:rsidR="00513523" w:rsidRPr="00E56BD0" w:rsidTr="00513523">
        <w:tc>
          <w:tcPr>
            <w:tcW w:w="1678" w:type="dxa"/>
            <w:tcBorders>
              <w:top w:val="single" w:sz="6" w:space="0" w:color="FFFFFF"/>
              <w:bottom w:val="dashed" w:sz="4" w:space="0" w:color="C0C0C0"/>
            </w:tcBorders>
          </w:tcPr>
          <w:p w:rsidR="00513523" w:rsidRPr="00D26C39" w:rsidRDefault="00513523" w:rsidP="00513523">
            <w:pPr>
              <w:keepNext/>
              <w:spacing w:before="60" w:after="60"/>
              <w:rPr>
                <w:color w:val="000000"/>
                <w:sz w:val="16"/>
                <w:szCs w:val="16"/>
              </w:rPr>
            </w:pPr>
            <w:r w:rsidRPr="00D26C39">
              <w:rPr>
                <w:color w:val="000000"/>
                <w:sz w:val="16"/>
                <w:szCs w:val="16"/>
              </w:rPr>
              <w:t>Gwynt y Môr</w:t>
            </w:r>
          </w:p>
        </w:tc>
        <w:tc>
          <w:tcPr>
            <w:tcW w:w="2757" w:type="dxa"/>
            <w:tcBorders>
              <w:top w:val="single" w:sz="6" w:space="0" w:color="FFFFFF"/>
              <w:bottom w:val="dashed" w:sz="4" w:space="0" w:color="C0C0C0"/>
            </w:tcBorders>
          </w:tcPr>
          <w:p w:rsidR="00513523" w:rsidRPr="00D26C39" w:rsidRDefault="00513523" w:rsidP="00513523">
            <w:pPr>
              <w:keepNext/>
              <w:spacing w:before="60" w:after="60"/>
              <w:jc w:val="center"/>
              <w:rPr>
                <w:color w:val="000000"/>
                <w:sz w:val="16"/>
                <w:szCs w:val="16"/>
              </w:rPr>
            </w:pPr>
            <w:r>
              <w:rPr>
                <w:color w:val="000000"/>
                <w:sz w:val="16"/>
                <w:szCs w:val="16"/>
              </w:rPr>
              <w:t>RWE</w:t>
            </w:r>
            <w:r w:rsidR="00FC6DF2">
              <w:rPr>
                <w:color w:val="000000"/>
                <w:sz w:val="16"/>
                <w:szCs w:val="16"/>
              </w:rPr>
              <w:t xml:space="preserve"> </w:t>
            </w:r>
            <w:r>
              <w:rPr>
                <w:color w:val="000000"/>
                <w:sz w:val="16"/>
                <w:szCs w:val="16"/>
              </w:rPr>
              <w:t>/</w:t>
            </w:r>
            <w:r w:rsidR="00FC6DF2">
              <w:rPr>
                <w:color w:val="000000"/>
                <w:sz w:val="16"/>
                <w:szCs w:val="16"/>
              </w:rPr>
              <w:t xml:space="preserve"> </w:t>
            </w:r>
            <w:r>
              <w:rPr>
                <w:color w:val="000000"/>
                <w:sz w:val="16"/>
                <w:szCs w:val="16"/>
              </w:rPr>
              <w:t>Sieme</w:t>
            </w:r>
            <w:r w:rsidRPr="00D26C39">
              <w:rPr>
                <w:color w:val="000000"/>
                <w:sz w:val="16"/>
                <w:szCs w:val="16"/>
              </w:rPr>
              <w:t>ns</w:t>
            </w:r>
            <w:r w:rsidR="00FC6DF2">
              <w:rPr>
                <w:color w:val="000000"/>
                <w:sz w:val="16"/>
                <w:szCs w:val="16"/>
              </w:rPr>
              <w:t xml:space="preserve"> </w:t>
            </w:r>
            <w:r w:rsidRPr="00D26C39">
              <w:rPr>
                <w:color w:val="000000"/>
                <w:sz w:val="16"/>
                <w:szCs w:val="16"/>
              </w:rPr>
              <w:t>/</w:t>
            </w:r>
            <w:r w:rsidR="00FC6DF2">
              <w:rPr>
                <w:color w:val="000000"/>
                <w:sz w:val="16"/>
                <w:szCs w:val="16"/>
              </w:rPr>
              <w:t xml:space="preserve"> </w:t>
            </w:r>
            <w:r w:rsidRPr="00D26C39">
              <w:rPr>
                <w:color w:val="000000"/>
                <w:sz w:val="16"/>
                <w:szCs w:val="16"/>
              </w:rPr>
              <w:t>Stadtwerke Munchen</w:t>
            </w:r>
          </w:p>
        </w:tc>
        <w:tc>
          <w:tcPr>
            <w:tcW w:w="1148" w:type="dxa"/>
            <w:tcBorders>
              <w:top w:val="single" w:sz="6" w:space="0" w:color="FFFFFF"/>
              <w:bottom w:val="dashed" w:sz="4" w:space="0" w:color="C0C0C0"/>
            </w:tcBorders>
          </w:tcPr>
          <w:p w:rsidR="00513523" w:rsidRPr="00D26C39" w:rsidRDefault="00513523" w:rsidP="00513523">
            <w:pPr>
              <w:keepNext/>
              <w:spacing w:before="60" w:after="60"/>
              <w:jc w:val="center"/>
              <w:rPr>
                <w:color w:val="000000"/>
                <w:sz w:val="16"/>
                <w:szCs w:val="16"/>
              </w:rPr>
            </w:pPr>
            <w:r w:rsidRPr="00D26C39">
              <w:rPr>
                <w:color w:val="000000"/>
                <w:sz w:val="16"/>
                <w:szCs w:val="16"/>
              </w:rPr>
              <w:t>576</w:t>
            </w:r>
          </w:p>
        </w:tc>
        <w:tc>
          <w:tcPr>
            <w:tcW w:w="1784" w:type="dxa"/>
            <w:tcBorders>
              <w:top w:val="single" w:sz="6" w:space="0" w:color="FFFFFF"/>
              <w:bottom w:val="dashed" w:sz="4" w:space="0" w:color="C0C0C0"/>
            </w:tcBorders>
          </w:tcPr>
          <w:p w:rsidR="00513523" w:rsidRPr="00D26C39" w:rsidRDefault="00513523" w:rsidP="00513523">
            <w:pPr>
              <w:keepNext/>
              <w:spacing w:before="60" w:after="60"/>
              <w:jc w:val="center"/>
              <w:rPr>
                <w:color w:val="000000"/>
                <w:sz w:val="16"/>
                <w:szCs w:val="16"/>
              </w:rPr>
            </w:pPr>
            <w:r w:rsidRPr="00D26C39">
              <w:rPr>
                <w:color w:val="000000"/>
                <w:sz w:val="16"/>
                <w:szCs w:val="16"/>
              </w:rPr>
              <w:t>£305.7m</w:t>
            </w:r>
          </w:p>
        </w:tc>
        <w:tc>
          <w:tcPr>
            <w:tcW w:w="1495" w:type="dxa"/>
            <w:tcBorders>
              <w:top w:val="single" w:sz="6" w:space="0" w:color="FFFFFF"/>
              <w:bottom w:val="dashed" w:sz="4" w:space="0" w:color="C0C0C0"/>
            </w:tcBorders>
          </w:tcPr>
          <w:p w:rsidR="00513523" w:rsidRPr="00D26C39" w:rsidRDefault="00232740" w:rsidP="00513523">
            <w:pPr>
              <w:keepNext/>
              <w:spacing w:before="60" w:after="60"/>
              <w:jc w:val="center"/>
              <w:rPr>
                <w:color w:val="000000"/>
                <w:sz w:val="16"/>
                <w:szCs w:val="16"/>
              </w:rPr>
            </w:pPr>
            <w:r>
              <w:rPr>
                <w:color w:val="000000"/>
                <w:sz w:val="16"/>
                <w:szCs w:val="16"/>
              </w:rPr>
              <w:t>April 2013</w:t>
            </w:r>
          </w:p>
        </w:tc>
      </w:tr>
      <w:tr w:rsidR="00513523" w:rsidRPr="00E56BD0" w:rsidTr="00513523">
        <w:tc>
          <w:tcPr>
            <w:tcW w:w="1678" w:type="dxa"/>
            <w:tcBorders>
              <w:top w:val="dashed" w:sz="4" w:space="0" w:color="C0C0C0"/>
              <w:bottom w:val="dashed" w:sz="4" w:space="0" w:color="C0C0C0"/>
            </w:tcBorders>
          </w:tcPr>
          <w:p w:rsidR="00513523" w:rsidRPr="00D26C39" w:rsidRDefault="00513523" w:rsidP="00513523">
            <w:pPr>
              <w:keepNext/>
              <w:spacing w:before="60" w:after="60"/>
              <w:rPr>
                <w:color w:val="000000"/>
                <w:sz w:val="16"/>
                <w:szCs w:val="16"/>
              </w:rPr>
            </w:pPr>
            <w:r w:rsidRPr="00D26C39">
              <w:rPr>
                <w:color w:val="000000"/>
                <w:sz w:val="16"/>
                <w:szCs w:val="16"/>
              </w:rPr>
              <w:t>Lincs</w:t>
            </w:r>
          </w:p>
        </w:tc>
        <w:tc>
          <w:tcPr>
            <w:tcW w:w="2757" w:type="dxa"/>
            <w:tcBorders>
              <w:top w:val="dashed" w:sz="4" w:space="0" w:color="C0C0C0"/>
              <w:bottom w:val="dashed" w:sz="4" w:space="0" w:color="C0C0C0"/>
            </w:tcBorders>
          </w:tcPr>
          <w:p w:rsidR="00513523" w:rsidRPr="00D26C39" w:rsidRDefault="00513523" w:rsidP="00513523">
            <w:pPr>
              <w:keepNext/>
              <w:spacing w:before="60" w:after="60"/>
              <w:jc w:val="center"/>
              <w:rPr>
                <w:color w:val="000000"/>
                <w:sz w:val="16"/>
                <w:szCs w:val="16"/>
              </w:rPr>
            </w:pPr>
            <w:r>
              <w:rPr>
                <w:color w:val="000000"/>
                <w:sz w:val="16"/>
                <w:szCs w:val="16"/>
              </w:rPr>
              <w:t>Centrica</w:t>
            </w:r>
            <w:r w:rsidR="00FC6DF2">
              <w:rPr>
                <w:color w:val="000000"/>
                <w:sz w:val="16"/>
                <w:szCs w:val="16"/>
              </w:rPr>
              <w:t xml:space="preserve"> </w:t>
            </w:r>
            <w:r>
              <w:rPr>
                <w:color w:val="000000"/>
                <w:sz w:val="16"/>
                <w:szCs w:val="16"/>
              </w:rPr>
              <w:t>/</w:t>
            </w:r>
            <w:r w:rsidR="00FC6DF2">
              <w:rPr>
                <w:color w:val="000000"/>
                <w:sz w:val="16"/>
                <w:szCs w:val="16"/>
              </w:rPr>
              <w:t xml:space="preserve"> </w:t>
            </w:r>
            <w:r>
              <w:rPr>
                <w:color w:val="000000"/>
                <w:sz w:val="16"/>
                <w:szCs w:val="16"/>
              </w:rPr>
              <w:t>DONG</w:t>
            </w:r>
            <w:r w:rsidR="00FC6DF2">
              <w:rPr>
                <w:color w:val="000000"/>
                <w:sz w:val="16"/>
                <w:szCs w:val="16"/>
              </w:rPr>
              <w:t xml:space="preserve"> </w:t>
            </w:r>
            <w:r>
              <w:rPr>
                <w:color w:val="000000"/>
                <w:sz w:val="16"/>
                <w:szCs w:val="16"/>
              </w:rPr>
              <w:t>/</w:t>
            </w:r>
            <w:r w:rsidR="00FC6DF2">
              <w:rPr>
                <w:color w:val="000000"/>
                <w:sz w:val="16"/>
                <w:szCs w:val="16"/>
              </w:rPr>
              <w:t xml:space="preserve"> </w:t>
            </w:r>
            <w:r>
              <w:rPr>
                <w:color w:val="000000"/>
                <w:sz w:val="16"/>
                <w:szCs w:val="16"/>
              </w:rPr>
              <w:t>Sieme</w:t>
            </w:r>
            <w:r w:rsidRPr="00D26C39">
              <w:rPr>
                <w:color w:val="000000"/>
                <w:sz w:val="16"/>
                <w:szCs w:val="16"/>
              </w:rPr>
              <w:t>ns</w:t>
            </w:r>
          </w:p>
        </w:tc>
        <w:tc>
          <w:tcPr>
            <w:tcW w:w="1148" w:type="dxa"/>
            <w:tcBorders>
              <w:top w:val="dashed" w:sz="4" w:space="0" w:color="C0C0C0"/>
              <w:bottom w:val="dashed" w:sz="4" w:space="0" w:color="C0C0C0"/>
            </w:tcBorders>
          </w:tcPr>
          <w:p w:rsidR="00513523" w:rsidRPr="00D26C39" w:rsidRDefault="00513523" w:rsidP="00513523">
            <w:pPr>
              <w:keepNext/>
              <w:spacing w:before="60" w:after="60"/>
              <w:jc w:val="center"/>
              <w:rPr>
                <w:color w:val="000000"/>
                <w:sz w:val="16"/>
                <w:szCs w:val="16"/>
              </w:rPr>
            </w:pPr>
            <w:r w:rsidRPr="00D26C39">
              <w:rPr>
                <w:color w:val="000000"/>
                <w:sz w:val="16"/>
                <w:szCs w:val="16"/>
              </w:rPr>
              <w:t>250</w:t>
            </w:r>
          </w:p>
        </w:tc>
        <w:tc>
          <w:tcPr>
            <w:tcW w:w="1784" w:type="dxa"/>
            <w:tcBorders>
              <w:top w:val="dashed" w:sz="4" w:space="0" w:color="C0C0C0"/>
              <w:bottom w:val="dashed" w:sz="4" w:space="0" w:color="C0C0C0"/>
            </w:tcBorders>
          </w:tcPr>
          <w:p w:rsidR="00513523" w:rsidRPr="00D26C39" w:rsidRDefault="00513523" w:rsidP="00513523">
            <w:pPr>
              <w:keepNext/>
              <w:spacing w:before="60" w:after="60"/>
              <w:jc w:val="center"/>
              <w:rPr>
                <w:color w:val="000000"/>
                <w:sz w:val="16"/>
                <w:szCs w:val="16"/>
              </w:rPr>
            </w:pPr>
            <w:r w:rsidRPr="00D26C39">
              <w:rPr>
                <w:color w:val="000000"/>
                <w:sz w:val="16"/>
                <w:szCs w:val="16"/>
              </w:rPr>
              <w:t>£310.5m</w:t>
            </w:r>
          </w:p>
        </w:tc>
        <w:tc>
          <w:tcPr>
            <w:tcW w:w="1495" w:type="dxa"/>
            <w:tcBorders>
              <w:top w:val="dashed" w:sz="4" w:space="0" w:color="C0C0C0"/>
              <w:bottom w:val="dashed" w:sz="4" w:space="0" w:color="C0C0C0"/>
            </w:tcBorders>
          </w:tcPr>
          <w:p w:rsidR="00513523" w:rsidRPr="00D26C39" w:rsidRDefault="004B3FE7" w:rsidP="00513523">
            <w:pPr>
              <w:keepNext/>
              <w:spacing w:before="60" w:after="60"/>
              <w:jc w:val="center"/>
              <w:rPr>
                <w:color w:val="000000"/>
                <w:sz w:val="16"/>
                <w:szCs w:val="16"/>
              </w:rPr>
            </w:pPr>
            <w:r>
              <w:rPr>
                <w:color w:val="000000"/>
                <w:sz w:val="16"/>
                <w:szCs w:val="16"/>
              </w:rPr>
              <w:t>January 2012</w:t>
            </w:r>
          </w:p>
        </w:tc>
      </w:tr>
      <w:tr w:rsidR="00513523" w:rsidRPr="00E56BD0" w:rsidTr="00513523">
        <w:tc>
          <w:tcPr>
            <w:tcW w:w="1678" w:type="dxa"/>
            <w:tcBorders>
              <w:top w:val="dashed" w:sz="4" w:space="0" w:color="C0C0C0"/>
              <w:bottom w:val="dashed" w:sz="4" w:space="0" w:color="C0C0C0"/>
            </w:tcBorders>
          </w:tcPr>
          <w:p w:rsidR="00513523" w:rsidRPr="00D26C39" w:rsidRDefault="00513523" w:rsidP="00513523">
            <w:pPr>
              <w:keepNext/>
              <w:spacing w:before="60" w:after="60"/>
              <w:rPr>
                <w:color w:val="000000"/>
                <w:sz w:val="16"/>
                <w:szCs w:val="16"/>
              </w:rPr>
            </w:pPr>
            <w:r w:rsidRPr="00D26C39">
              <w:rPr>
                <w:color w:val="000000"/>
                <w:sz w:val="16"/>
                <w:szCs w:val="16"/>
              </w:rPr>
              <w:t>London Array (Phase 1)</w:t>
            </w:r>
          </w:p>
        </w:tc>
        <w:tc>
          <w:tcPr>
            <w:tcW w:w="2757" w:type="dxa"/>
            <w:tcBorders>
              <w:top w:val="dashed" w:sz="4" w:space="0" w:color="C0C0C0"/>
              <w:bottom w:val="dashed" w:sz="4" w:space="0" w:color="C0C0C0"/>
            </w:tcBorders>
          </w:tcPr>
          <w:p w:rsidR="00513523" w:rsidRPr="00D26C39" w:rsidRDefault="00513523" w:rsidP="00513523">
            <w:pPr>
              <w:keepNext/>
              <w:spacing w:before="60" w:after="60"/>
              <w:jc w:val="center"/>
              <w:rPr>
                <w:color w:val="000000"/>
                <w:sz w:val="16"/>
                <w:szCs w:val="16"/>
              </w:rPr>
            </w:pPr>
            <w:r w:rsidRPr="00D26C39">
              <w:rPr>
                <w:color w:val="000000"/>
                <w:sz w:val="16"/>
                <w:szCs w:val="16"/>
              </w:rPr>
              <w:t>E.On / DONG / Masdar</w:t>
            </w:r>
          </w:p>
        </w:tc>
        <w:tc>
          <w:tcPr>
            <w:tcW w:w="1148" w:type="dxa"/>
            <w:tcBorders>
              <w:top w:val="dashed" w:sz="4" w:space="0" w:color="C0C0C0"/>
              <w:bottom w:val="dashed" w:sz="4" w:space="0" w:color="C0C0C0"/>
            </w:tcBorders>
          </w:tcPr>
          <w:p w:rsidR="00513523" w:rsidRPr="00D26C39" w:rsidRDefault="00513523" w:rsidP="00513523">
            <w:pPr>
              <w:keepNext/>
              <w:spacing w:before="60" w:after="60"/>
              <w:jc w:val="center"/>
              <w:rPr>
                <w:color w:val="000000"/>
                <w:sz w:val="16"/>
                <w:szCs w:val="16"/>
              </w:rPr>
            </w:pPr>
            <w:r w:rsidRPr="00D26C39">
              <w:rPr>
                <w:color w:val="000000"/>
                <w:sz w:val="16"/>
                <w:szCs w:val="16"/>
              </w:rPr>
              <w:t>630</w:t>
            </w:r>
          </w:p>
        </w:tc>
        <w:tc>
          <w:tcPr>
            <w:tcW w:w="1784" w:type="dxa"/>
            <w:tcBorders>
              <w:top w:val="dashed" w:sz="4" w:space="0" w:color="C0C0C0"/>
              <w:bottom w:val="dashed" w:sz="4" w:space="0" w:color="C0C0C0"/>
            </w:tcBorders>
          </w:tcPr>
          <w:p w:rsidR="00513523" w:rsidRPr="00D26C39" w:rsidRDefault="00513523" w:rsidP="00513523">
            <w:pPr>
              <w:keepNext/>
              <w:spacing w:before="60" w:after="60"/>
              <w:jc w:val="center"/>
              <w:rPr>
                <w:color w:val="000000"/>
                <w:sz w:val="16"/>
                <w:szCs w:val="16"/>
              </w:rPr>
            </w:pPr>
            <w:r w:rsidRPr="00D26C39">
              <w:rPr>
                <w:color w:val="000000"/>
                <w:sz w:val="16"/>
                <w:szCs w:val="16"/>
              </w:rPr>
              <w:t>£475.7m</w:t>
            </w:r>
          </w:p>
        </w:tc>
        <w:tc>
          <w:tcPr>
            <w:tcW w:w="1495" w:type="dxa"/>
            <w:tcBorders>
              <w:top w:val="dashed" w:sz="4" w:space="0" w:color="C0C0C0"/>
              <w:bottom w:val="dashed" w:sz="4" w:space="0" w:color="C0C0C0"/>
            </w:tcBorders>
          </w:tcPr>
          <w:p w:rsidR="00513523" w:rsidRPr="00D26C39" w:rsidRDefault="004B3FE7" w:rsidP="00513523">
            <w:pPr>
              <w:keepNext/>
              <w:spacing w:before="60" w:after="60"/>
              <w:jc w:val="center"/>
              <w:rPr>
                <w:color w:val="000000"/>
                <w:sz w:val="16"/>
                <w:szCs w:val="16"/>
              </w:rPr>
            </w:pPr>
            <w:r>
              <w:rPr>
                <w:color w:val="000000"/>
                <w:sz w:val="16"/>
                <w:szCs w:val="16"/>
              </w:rPr>
              <w:t>August 2012</w:t>
            </w:r>
            <w:r w:rsidR="00653BE1" w:rsidRPr="00653BE1">
              <w:rPr>
                <w:rStyle w:val="FootnoteReference"/>
                <w:b/>
                <w:bCs/>
                <w:sz w:val="16"/>
                <w:szCs w:val="16"/>
              </w:rPr>
              <w:footnoteReference w:id="5"/>
            </w:r>
          </w:p>
        </w:tc>
      </w:tr>
      <w:tr w:rsidR="00513523" w:rsidRPr="00E56BD0" w:rsidTr="00513523">
        <w:tc>
          <w:tcPr>
            <w:tcW w:w="4435" w:type="dxa"/>
            <w:gridSpan w:val="2"/>
            <w:tcBorders>
              <w:top w:val="dashed" w:sz="4" w:space="0" w:color="C0C0C0"/>
              <w:bottom w:val="single" w:sz="6" w:space="0" w:color="A29989"/>
            </w:tcBorders>
          </w:tcPr>
          <w:p w:rsidR="00513523" w:rsidRDefault="00513523" w:rsidP="00513523">
            <w:pPr>
              <w:keepNext/>
              <w:spacing w:before="60" w:after="60"/>
              <w:rPr>
                <w:b/>
                <w:sz w:val="16"/>
                <w:szCs w:val="16"/>
              </w:rPr>
            </w:pPr>
            <w:r w:rsidRPr="00A06706">
              <w:rPr>
                <w:b/>
                <w:sz w:val="16"/>
                <w:szCs w:val="16"/>
              </w:rPr>
              <w:t>Total</w:t>
            </w:r>
          </w:p>
        </w:tc>
        <w:tc>
          <w:tcPr>
            <w:tcW w:w="1148" w:type="dxa"/>
            <w:tcBorders>
              <w:top w:val="dashed" w:sz="4" w:space="0" w:color="C0C0C0"/>
              <w:bottom w:val="single" w:sz="6" w:space="0" w:color="A29989"/>
            </w:tcBorders>
          </w:tcPr>
          <w:p w:rsidR="00513523" w:rsidRDefault="00513523" w:rsidP="00513523">
            <w:pPr>
              <w:keepNext/>
              <w:spacing w:before="60" w:after="60"/>
              <w:jc w:val="center"/>
              <w:rPr>
                <w:b/>
                <w:sz w:val="16"/>
                <w:szCs w:val="16"/>
              </w:rPr>
            </w:pPr>
            <w:r w:rsidRPr="00A06706">
              <w:rPr>
                <w:b/>
                <w:sz w:val="16"/>
                <w:szCs w:val="16"/>
              </w:rPr>
              <w:t>1456</w:t>
            </w:r>
          </w:p>
        </w:tc>
        <w:tc>
          <w:tcPr>
            <w:tcW w:w="1784" w:type="dxa"/>
            <w:tcBorders>
              <w:top w:val="dashed" w:sz="4" w:space="0" w:color="C0C0C0"/>
              <w:bottom w:val="single" w:sz="6" w:space="0" w:color="A29989"/>
            </w:tcBorders>
          </w:tcPr>
          <w:p w:rsidR="00513523" w:rsidRDefault="00513523" w:rsidP="00513523">
            <w:pPr>
              <w:keepNext/>
              <w:spacing w:before="60" w:after="60"/>
              <w:jc w:val="center"/>
              <w:rPr>
                <w:b/>
                <w:sz w:val="16"/>
                <w:szCs w:val="16"/>
              </w:rPr>
            </w:pPr>
            <w:r w:rsidRPr="00A06706">
              <w:rPr>
                <w:b/>
                <w:sz w:val="16"/>
                <w:szCs w:val="16"/>
              </w:rPr>
              <w:t>£1,091.9m</w:t>
            </w:r>
          </w:p>
        </w:tc>
        <w:tc>
          <w:tcPr>
            <w:tcW w:w="1495" w:type="dxa"/>
            <w:tcBorders>
              <w:top w:val="dashed" w:sz="4" w:space="0" w:color="C0C0C0"/>
              <w:bottom w:val="single" w:sz="6" w:space="0" w:color="A29989"/>
            </w:tcBorders>
          </w:tcPr>
          <w:p w:rsidR="00513523" w:rsidRPr="00A06706" w:rsidRDefault="00513523" w:rsidP="00513523">
            <w:pPr>
              <w:keepNext/>
              <w:spacing w:before="60" w:after="60"/>
              <w:jc w:val="center"/>
              <w:rPr>
                <w:b/>
                <w:sz w:val="16"/>
                <w:szCs w:val="16"/>
              </w:rPr>
            </w:pPr>
          </w:p>
        </w:tc>
      </w:tr>
    </w:tbl>
    <w:p w:rsidR="00513523" w:rsidRDefault="00513523" w:rsidP="00513523">
      <w:pPr>
        <w:pStyle w:val="Paragrapgh"/>
      </w:pPr>
      <w:bookmarkStart w:id="10" w:name="_Toc277746334"/>
      <w:r>
        <w:t>The Initial Transfer V</w:t>
      </w:r>
      <w:r w:rsidRPr="00513523">
        <w:t>alue is ba</w:t>
      </w:r>
      <w:r>
        <w:t>sed on information provided by Developers. Ofgem</w:t>
      </w:r>
      <w:r w:rsidRPr="00513523">
        <w:t xml:space="preserve"> expects to determine t</w:t>
      </w:r>
      <w:r w:rsidR="00FF20F2">
        <w:t>he Indicative Transfer V</w:t>
      </w:r>
      <w:r>
        <w:t>alue before the ITT S</w:t>
      </w:r>
      <w:r w:rsidR="004F62BF">
        <w:t>tage of a T</w:t>
      </w:r>
      <w:r w:rsidRPr="00513523">
        <w:t xml:space="preserve">ender </w:t>
      </w:r>
      <w:r w:rsidR="004F62BF">
        <w:t>Exercise</w:t>
      </w:r>
      <w:r w:rsidRPr="00513523">
        <w:t>.</w:t>
      </w:r>
    </w:p>
    <w:p w:rsidR="00513523" w:rsidRDefault="00513523" w:rsidP="00513523">
      <w:pPr>
        <w:pStyle w:val="Paragrapgh"/>
      </w:pPr>
      <w:r>
        <w:t>Q</w:t>
      </w:r>
      <w:r w:rsidR="00FF20F2">
        <w:t>ualifying Bidders should use</w:t>
      </w:r>
      <w:r>
        <w:t xml:space="preserve"> the Initial Transfer Value detailed above for the purposes of making their QTT Submission.</w:t>
      </w:r>
      <w:r w:rsidR="00122175">
        <w:t xml:space="preserve"> Ofgem expects to publish </w:t>
      </w:r>
      <w:r w:rsidR="00653BE1">
        <w:t xml:space="preserve">the Indicative Transfer Value for each Qualifying Project during the ITT Stage. </w:t>
      </w:r>
    </w:p>
    <w:p w:rsidR="00EE67FA" w:rsidRPr="00521787" w:rsidRDefault="00A94644" w:rsidP="00513523">
      <w:pPr>
        <w:pStyle w:val="Heading1"/>
        <w:spacing w:before="360"/>
        <w:rPr>
          <w:iCs/>
        </w:rPr>
      </w:pPr>
      <w:bookmarkStart w:id="11" w:name="_Toc283819630"/>
      <w:r>
        <w:t xml:space="preserve">Draft </w:t>
      </w:r>
      <w:r w:rsidR="00674A37">
        <w:t>Project</w:t>
      </w:r>
      <w:r w:rsidR="00EE67FA" w:rsidRPr="00521787">
        <w:t xml:space="preserve"> </w:t>
      </w:r>
      <w:r w:rsidR="00EE67FA">
        <w:t>Transfer Agreement</w:t>
      </w:r>
      <w:r w:rsidR="00EE67FA" w:rsidRPr="00521787">
        <w:t>s</w:t>
      </w:r>
      <w:bookmarkEnd w:id="10"/>
      <w:bookmarkEnd w:id="11"/>
    </w:p>
    <w:p w:rsidR="00FF20F2" w:rsidRDefault="00FF20F2" w:rsidP="00FF20F2">
      <w:pPr>
        <w:pStyle w:val="Paragrapgh"/>
        <w:spacing w:before="240"/>
      </w:pPr>
      <w:r>
        <w:t>Under the Tender Regulations, the Developer must fill in a Transfer Agreement, as far as possible, with all relevant information available to it, for their Qualifying Project. Ofgem have previously stated</w:t>
      </w:r>
      <w:r>
        <w:rPr>
          <w:rStyle w:val="FootnoteReference"/>
        </w:rPr>
        <w:footnoteReference w:id="6"/>
      </w:r>
      <w:r>
        <w:t xml:space="preserve"> the intention to share Developers’ </w:t>
      </w:r>
      <w:r w:rsidR="00A94644">
        <w:t xml:space="preserve">draft </w:t>
      </w:r>
      <w:r>
        <w:t>Project Transfer Agreements with Qualifying bidders at the QTT Stage to inform their QTT Submissions, provided that Ofgem were satisfied they were sufficiently advanced.</w:t>
      </w:r>
    </w:p>
    <w:p w:rsidR="00FF20F2" w:rsidRDefault="00FF20F2" w:rsidP="00FF20F2">
      <w:pPr>
        <w:pStyle w:val="Paragrapgh"/>
        <w:spacing w:before="240"/>
      </w:pPr>
      <w:r>
        <w:lastRenderedPageBreak/>
        <w:t xml:space="preserve">Developers have provided draft Project Transfer Agreements. Ofgem are satisfied that the agreements are sufficiently advanced so that they can now be </w:t>
      </w:r>
      <w:r w:rsidR="00CA5DAC">
        <w:t>shared with Qualifying Bidders (via</w:t>
      </w:r>
      <w:r>
        <w:t xml:space="preserve"> the </w:t>
      </w:r>
      <w:r w:rsidR="00CA5DAC">
        <w:t xml:space="preserve">Portal). </w:t>
      </w:r>
      <w:r>
        <w:t>Before Ofgem can share these, Qua</w:t>
      </w:r>
      <w:r w:rsidR="00070DB8">
        <w:t xml:space="preserve">lifying Bidders must return the </w:t>
      </w:r>
      <w:r>
        <w:t>signed Confidentiality Agreements for the relevant Qualifying Projects.</w:t>
      </w:r>
    </w:p>
    <w:p w:rsidR="00070DB8" w:rsidRDefault="00FF20F2" w:rsidP="00070DB8">
      <w:pPr>
        <w:pStyle w:val="Paragrapgh"/>
        <w:spacing w:before="240"/>
      </w:pPr>
      <w:r>
        <w:t xml:space="preserve">In addition to filling in the Transfer Agreement, Developers were also required to undertake to continue filling in the Transfer Agreement </w:t>
      </w:r>
      <w:r w:rsidR="00070DB8">
        <w:t xml:space="preserve">with all relevant information. </w:t>
      </w:r>
      <w:r>
        <w:t>Qualifying Bidders should therefore be aware that the relevant draft Project Tr</w:t>
      </w:r>
      <w:r w:rsidR="002F4F77">
        <w:t xml:space="preserve">ansfer Agreements released </w:t>
      </w:r>
      <w:r>
        <w:t>at the QTT Stage are subject to furt</w:t>
      </w:r>
      <w:r w:rsidR="00070DB8">
        <w:t>her development by Developers. The Tender Rules set</w:t>
      </w:r>
      <w:r w:rsidR="00070DB8" w:rsidRPr="00070DB8">
        <w:t xml:space="preserve"> out further informa</w:t>
      </w:r>
      <w:r w:rsidR="00070DB8">
        <w:t>tion on the development of the Transfer A</w:t>
      </w:r>
      <w:r w:rsidR="00070DB8" w:rsidRPr="00070DB8">
        <w:t>greement</w:t>
      </w:r>
      <w:r w:rsidR="00070DB8">
        <w:t>s</w:t>
      </w:r>
      <w:r w:rsidR="00070DB8" w:rsidRPr="00070DB8">
        <w:t xml:space="preserve"> after </w:t>
      </w:r>
      <w:r w:rsidR="00070DB8">
        <w:t>the QTT S</w:t>
      </w:r>
      <w:r w:rsidR="00070DB8" w:rsidRPr="00070DB8">
        <w:t>tage</w:t>
      </w:r>
      <w:r w:rsidR="00070DB8">
        <w:t>.</w:t>
      </w:r>
    </w:p>
    <w:p w:rsidR="00ED4C42" w:rsidRDefault="00ED4C42" w:rsidP="001C7FC5">
      <w:pPr>
        <w:pStyle w:val="Heading1"/>
      </w:pPr>
      <w:bookmarkStart w:id="12" w:name="_Toc283819631"/>
      <w:r>
        <w:t>Other Documents</w:t>
      </w:r>
      <w:bookmarkEnd w:id="12"/>
    </w:p>
    <w:p w:rsidR="00027F40" w:rsidRPr="001815F1" w:rsidRDefault="00027F40" w:rsidP="00DD236A">
      <w:pPr>
        <w:pStyle w:val="Paragrapgh"/>
        <w:spacing w:after="240"/>
      </w:pPr>
      <w:r w:rsidRPr="001815F1">
        <w:t>The non-exhaustive list of documents</w:t>
      </w:r>
      <w:r w:rsidR="00122175">
        <w:t xml:space="preserve"> </w:t>
      </w:r>
      <w:r w:rsidR="00122175" w:rsidRPr="001815F1">
        <w:t>below</w:t>
      </w:r>
      <w:r w:rsidRPr="001815F1">
        <w:t xml:space="preserve"> provides additional information Ofgem would expect </w:t>
      </w:r>
      <w:r>
        <w:t>Qualifying Bidders</w:t>
      </w:r>
      <w:r w:rsidRPr="001815F1">
        <w:t xml:space="preserve"> to be aware of. </w:t>
      </w:r>
      <w:r>
        <w:t>M</w:t>
      </w:r>
      <w:r w:rsidRPr="001815F1">
        <w:t>any of these documents also include references to other useful</w:t>
      </w:r>
      <w:r w:rsidR="00DD236A">
        <w:t xml:space="preserve"> documentation not listed below:</w:t>
      </w:r>
    </w:p>
    <w:p w:rsidR="00027F40" w:rsidRDefault="00ED2B5F" w:rsidP="001570E0">
      <w:pPr>
        <w:pStyle w:val="Text-bulleted"/>
        <w:numPr>
          <w:ilvl w:val="0"/>
          <w:numId w:val="21"/>
        </w:numPr>
        <w:spacing w:before="120" w:after="120"/>
        <w:ind w:left="357" w:hanging="357"/>
        <w:rPr>
          <w:szCs w:val="20"/>
        </w:rPr>
      </w:pPr>
      <w:hyperlink r:id="rId17" w:history="1">
        <w:r w:rsidR="00027F40" w:rsidRPr="00773349">
          <w:rPr>
            <w:rStyle w:val="Hyperlink"/>
            <w:sz w:val="20"/>
            <w:szCs w:val="20"/>
          </w:rPr>
          <w:t>Joint DECC/Ofgem Statement on the Offshore Transmission Regulatory Regime, June 2009</w:t>
        </w:r>
      </w:hyperlink>
      <w:r w:rsidR="00027F40">
        <w:rPr>
          <w:rStyle w:val="FootnoteReference"/>
          <w:szCs w:val="20"/>
        </w:rPr>
        <w:footnoteReference w:id="7"/>
      </w:r>
    </w:p>
    <w:p w:rsidR="00027F40" w:rsidRPr="0095602F" w:rsidRDefault="00ED2B5F" w:rsidP="001570E0">
      <w:pPr>
        <w:pStyle w:val="Text-bulleted"/>
        <w:numPr>
          <w:ilvl w:val="0"/>
          <w:numId w:val="21"/>
        </w:numPr>
        <w:spacing w:before="120" w:after="120"/>
        <w:ind w:left="357" w:hanging="357"/>
        <w:rPr>
          <w:szCs w:val="20"/>
        </w:rPr>
      </w:pPr>
      <w:hyperlink r:id="rId18" w:history="1">
        <w:r w:rsidR="00027F40" w:rsidRPr="00773349">
          <w:rPr>
            <w:rStyle w:val="Hyperlink"/>
            <w:sz w:val="20"/>
            <w:szCs w:val="20"/>
          </w:rPr>
          <w:t>Final Statement on the Competitive Tender Process, June 2009, Ofgem ref: 71/09</w:t>
        </w:r>
      </w:hyperlink>
      <w:r w:rsidR="00027F40">
        <w:rPr>
          <w:rStyle w:val="FootnoteReference"/>
          <w:szCs w:val="20"/>
        </w:rPr>
        <w:footnoteReference w:id="8"/>
      </w:r>
    </w:p>
    <w:p w:rsidR="00027F40" w:rsidRDefault="00ED2B5F" w:rsidP="001570E0">
      <w:pPr>
        <w:pStyle w:val="Text-bulleted"/>
        <w:numPr>
          <w:ilvl w:val="0"/>
          <w:numId w:val="21"/>
        </w:numPr>
        <w:spacing w:before="120" w:after="120"/>
        <w:ind w:left="357" w:hanging="357"/>
        <w:rPr>
          <w:szCs w:val="20"/>
        </w:rPr>
      </w:pPr>
      <w:hyperlink r:id="rId19" w:history="1">
        <w:r w:rsidR="00027F40" w:rsidRPr="00773349">
          <w:rPr>
            <w:rStyle w:val="Hyperlink"/>
            <w:sz w:val="20"/>
            <w:szCs w:val="20"/>
          </w:rPr>
          <w:t>Transmission Licence Standard Conditions</w:t>
        </w:r>
      </w:hyperlink>
      <w:r w:rsidR="00027F40">
        <w:rPr>
          <w:rStyle w:val="FootnoteReference"/>
          <w:szCs w:val="20"/>
        </w:rPr>
        <w:footnoteReference w:id="9"/>
      </w:r>
    </w:p>
    <w:p w:rsidR="00027F40" w:rsidRDefault="00ED2B5F" w:rsidP="001570E0">
      <w:pPr>
        <w:pStyle w:val="Text-bulleted"/>
        <w:numPr>
          <w:ilvl w:val="0"/>
          <w:numId w:val="21"/>
        </w:numPr>
        <w:spacing w:before="120" w:after="120"/>
        <w:ind w:left="357" w:hanging="357"/>
        <w:rPr>
          <w:szCs w:val="20"/>
        </w:rPr>
      </w:pPr>
      <w:hyperlink r:id="rId20" w:history="1">
        <w:r w:rsidR="00027F40" w:rsidRPr="00773349">
          <w:rPr>
            <w:rStyle w:val="Hyperlink"/>
            <w:sz w:val="20"/>
            <w:szCs w:val="20"/>
          </w:rPr>
          <w:t>Draft Generic Offshore Transmission Owner Licence (version 0.7), October 2010</w:t>
        </w:r>
      </w:hyperlink>
      <w:r w:rsidR="00027F40">
        <w:rPr>
          <w:rStyle w:val="FootnoteReference"/>
          <w:szCs w:val="20"/>
        </w:rPr>
        <w:footnoteReference w:id="10"/>
      </w:r>
    </w:p>
    <w:p w:rsidR="00027F40" w:rsidRDefault="00ED2B5F" w:rsidP="001570E0">
      <w:pPr>
        <w:pStyle w:val="Text-bulleted"/>
        <w:numPr>
          <w:ilvl w:val="0"/>
          <w:numId w:val="21"/>
        </w:numPr>
        <w:spacing w:before="120" w:after="120"/>
        <w:ind w:left="357" w:hanging="357"/>
        <w:rPr>
          <w:szCs w:val="20"/>
        </w:rPr>
      </w:pPr>
      <w:hyperlink r:id="rId21" w:history="1">
        <w:r w:rsidR="00027F40" w:rsidRPr="00773349">
          <w:rPr>
            <w:rStyle w:val="Hyperlink"/>
            <w:sz w:val="20"/>
            <w:szCs w:val="20"/>
          </w:rPr>
          <w:t>Offshore Transmission Tender Guidance Note: Generic Offshore Transmission Owner (OFTO) Licence, September 2010</w:t>
        </w:r>
      </w:hyperlink>
      <w:r w:rsidR="00027F40">
        <w:rPr>
          <w:rStyle w:val="FootnoteReference"/>
          <w:szCs w:val="20"/>
        </w:rPr>
        <w:footnoteReference w:id="11"/>
      </w:r>
      <w:r w:rsidR="00027F40" w:rsidRPr="004A1198">
        <w:rPr>
          <w:rStyle w:val="Hyperlink"/>
          <w:rFonts w:eastAsia="Batang"/>
          <w:sz w:val="20"/>
          <w:szCs w:val="20"/>
        </w:rPr>
        <w:t xml:space="preserve"> </w:t>
      </w:r>
      <w:r w:rsidR="00027F40" w:rsidRPr="004A1198">
        <w:rPr>
          <w:szCs w:val="20"/>
        </w:rPr>
        <w:t xml:space="preserve"> </w:t>
      </w:r>
    </w:p>
    <w:p w:rsidR="00027F40" w:rsidRPr="00027F40" w:rsidRDefault="00ED2B5F" w:rsidP="001570E0">
      <w:pPr>
        <w:pStyle w:val="Text-bulleted"/>
        <w:numPr>
          <w:ilvl w:val="0"/>
          <w:numId w:val="22"/>
        </w:numPr>
        <w:spacing w:before="120" w:after="120"/>
        <w:ind w:left="357" w:hanging="357"/>
        <w:rPr>
          <w:szCs w:val="20"/>
        </w:rPr>
      </w:pPr>
      <w:hyperlink r:id="rId22" w:history="1">
        <w:r w:rsidR="00027F40" w:rsidRPr="00773349">
          <w:rPr>
            <w:rStyle w:val="Hyperlink"/>
            <w:sz w:val="20"/>
            <w:szCs w:val="20"/>
          </w:rPr>
          <w:t>Guidance on the Offshore Transmission Owner (OFTO) of Last Resort Mechanism, February 2010</w:t>
        </w:r>
      </w:hyperlink>
      <w:r w:rsidR="00027F40">
        <w:rPr>
          <w:rStyle w:val="FootnoteReference"/>
          <w:szCs w:val="20"/>
        </w:rPr>
        <w:footnoteReference w:id="12"/>
      </w:r>
    </w:p>
    <w:p w:rsidR="005A2B8F" w:rsidRPr="005A2B8F" w:rsidRDefault="00ED2B5F" w:rsidP="001570E0">
      <w:pPr>
        <w:pStyle w:val="Text-bulleted"/>
        <w:numPr>
          <w:ilvl w:val="0"/>
          <w:numId w:val="22"/>
        </w:numPr>
        <w:spacing w:before="120" w:after="120"/>
        <w:ind w:left="357" w:hanging="357"/>
        <w:rPr>
          <w:szCs w:val="20"/>
        </w:rPr>
      </w:pPr>
      <w:hyperlink r:id="rId23" w:history="1">
        <w:r w:rsidR="005A2B8F" w:rsidRPr="00246DF6">
          <w:rPr>
            <w:rStyle w:val="Hyperlink"/>
            <w:sz w:val="20"/>
            <w:szCs w:val="20"/>
          </w:rPr>
          <w:t>Transfer Agreement Guidance for Second Transitional Tender Round</w:t>
        </w:r>
        <w:r w:rsidR="00246DF6" w:rsidRPr="00246DF6">
          <w:rPr>
            <w:rStyle w:val="Hyperlink"/>
            <w:sz w:val="20"/>
          </w:rPr>
          <w:t>, November 2010</w:t>
        </w:r>
      </w:hyperlink>
      <w:r w:rsidR="005A2B8F">
        <w:rPr>
          <w:rStyle w:val="FootnoteReference"/>
          <w:szCs w:val="20"/>
        </w:rPr>
        <w:footnoteReference w:id="13"/>
      </w:r>
    </w:p>
    <w:p w:rsidR="00027F40" w:rsidRPr="00027F40" w:rsidRDefault="00ED2B5F" w:rsidP="001570E0">
      <w:pPr>
        <w:pStyle w:val="Text-bulleted"/>
        <w:numPr>
          <w:ilvl w:val="0"/>
          <w:numId w:val="22"/>
        </w:numPr>
        <w:spacing w:before="120" w:after="120"/>
        <w:ind w:left="357" w:hanging="357"/>
        <w:rPr>
          <w:szCs w:val="20"/>
        </w:rPr>
      </w:pPr>
      <w:hyperlink r:id="rId24" w:history="1">
        <w:r w:rsidR="001B77B4" w:rsidRPr="001B77B4">
          <w:rPr>
            <w:rStyle w:val="Hyperlink"/>
            <w:sz w:val="20"/>
          </w:rPr>
          <w:t>Arrangements for responding in the event that an energy network company experiences deteriorating financial health, October 2009</w:t>
        </w:r>
      </w:hyperlink>
      <w:r w:rsidR="001B77B4">
        <w:rPr>
          <w:rStyle w:val="FootnoteReference"/>
        </w:rPr>
        <w:footnoteReference w:id="14"/>
      </w:r>
    </w:p>
    <w:p w:rsidR="00027F40" w:rsidRPr="00340E49" w:rsidRDefault="00027F40" w:rsidP="001570E0">
      <w:pPr>
        <w:pStyle w:val="Text-bulleted"/>
        <w:numPr>
          <w:ilvl w:val="0"/>
          <w:numId w:val="22"/>
        </w:numPr>
        <w:spacing w:before="120" w:after="120"/>
        <w:ind w:left="357" w:hanging="357"/>
        <w:rPr>
          <w:szCs w:val="20"/>
        </w:rPr>
      </w:pPr>
      <w:r>
        <w:t xml:space="preserve">Crown Estate </w:t>
      </w:r>
      <w:r w:rsidR="005723B0">
        <w:t>guidance on insurance requirements</w:t>
      </w:r>
      <w:r w:rsidR="000E49F3">
        <w:t xml:space="preserve"> (this will be released to Qualifying Bidders via the Portal)</w:t>
      </w:r>
    </w:p>
    <w:p w:rsidR="00340E49" w:rsidRDefault="00340E49" w:rsidP="001570E0">
      <w:pPr>
        <w:pStyle w:val="Text-bulleted"/>
        <w:numPr>
          <w:ilvl w:val="0"/>
          <w:numId w:val="22"/>
        </w:numPr>
        <w:spacing w:before="120" w:after="120"/>
        <w:ind w:left="357" w:hanging="357"/>
        <w:rPr>
          <w:szCs w:val="20"/>
        </w:rPr>
      </w:pPr>
      <w:r>
        <w:t xml:space="preserve">Guidance on </w:t>
      </w:r>
      <w:r w:rsidR="00F51E40">
        <w:t xml:space="preserve">the </w:t>
      </w:r>
      <w:r>
        <w:t>process to asset transfer</w:t>
      </w:r>
      <w:r w:rsidR="00E44A22">
        <w:t xml:space="preserve"> for the second transitional Tender Round</w:t>
      </w:r>
      <w:r w:rsidR="00F51E40">
        <w:t xml:space="preserve"> (this will be released to Qualifying Bidders via the Portal).</w:t>
      </w:r>
    </w:p>
    <w:p w:rsidR="00027F40" w:rsidRDefault="00027F40" w:rsidP="008C3C3A">
      <w:pPr>
        <w:pStyle w:val="Paragrapgh"/>
      </w:pPr>
      <w:r>
        <w:t>Qualifying Bidders</w:t>
      </w:r>
      <w:r w:rsidRPr="001815F1">
        <w:t xml:space="preserve"> should also be familiar with the standard industry framework documents that underpin the G</w:t>
      </w:r>
      <w:r w:rsidR="00070DB8">
        <w:t xml:space="preserve">reat </w:t>
      </w:r>
      <w:r w:rsidRPr="001815F1">
        <w:t>B</w:t>
      </w:r>
      <w:r w:rsidR="00070DB8">
        <w:t>ritain</w:t>
      </w:r>
      <w:r w:rsidRPr="001815F1">
        <w:t xml:space="preserve"> transmission market, for example the industry codes</w:t>
      </w:r>
      <w:r w:rsidRPr="001815F1">
        <w:rPr>
          <w:rStyle w:val="FootnoteReference"/>
        </w:rPr>
        <w:footnoteReference w:id="15"/>
      </w:r>
      <w:r w:rsidRPr="001815F1">
        <w:t xml:space="preserve"> and technical standards.</w:t>
      </w:r>
    </w:p>
    <w:p w:rsidR="00ED4C42" w:rsidRDefault="00ED4C42" w:rsidP="008C3C3A">
      <w:pPr>
        <w:pStyle w:val="Paragrapgh"/>
      </w:pPr>
      <w:r>
        <w:t xml:space="preserve">Ofgem may publish </w:t>
      </w:r>
      <w:r w:rsidR="005B2CBF">
        <w:t>additional</w:t>
      </w:r>
      <w:r>
        <w:t xml:space="preserve"> information during the QTT Stage. </w:t>
      </w:r>
      <w:r w:rsidR="000F3DB0">
        <w:t>Any such information will be made available to Qualifying Bidders via the Portal.</w:t>
      </w:r>
    </w:p>
    <w:p w:rsidR="00E6536D" w:rsidRDefault="00E6536D" w:rsidP="001C7FC5">
      <w:pPr>
        <w:pStyle w:val="Heading1"/>
      </w:pPr>
      <w:bookmarkStart w:id="13" w:name="_Toc283819632"/>
      <w:r>
        <w:t>Third Package</w:t>
      </w:r>
      <w:bookmarkEnd w:id="13"/>
    </w:p>
    <w:p w:rsidR="00FA1399" w:rsidRDefault="00003C2E" w:rsidP="008C3C3A">
      <w:pPr>
        <w:pStyle w:val="Paragrapgh"/>
      </w:pPr>
      <w:r w:rsidRPr="00003C2E">
        <w:t>The third package of European legislation on the liberalisation of EU gas and electricity markets (the Third Package) came into force on 3 September 2009. Transposition of the Third Package into domestic law is the responsibility of the Secretary of State for the Department of Energy and Climate Change (DECC), with implementa</w:t>
      </w:r>
      <w:r w:rsidR="007651CB">
        <w:t xml:space="preserve">tion required by 3 March 2011. </w:t>
      </w:r>
      <w:r w:rsidRPr="00003C2E">
        <w:t xml:space="preserve">One of the areas covered by the Third Package is the ownership unbundling of electricity transmission undertakings from electricity generation, electricity supply, gas production and gas supply undertakings (set out in Directive 2009/72/EC of the European Parliament and of the Council of 13 July </w:t>
      </w:r>
      <w:r w:rsidRPr="00F81ED3">
        <w:t>2009 (the Electricity Directive)).</w:t>
      </w:r>
      <w:r w:rsidR="00E6536D" w:rsidRPr="00F81ED3">
        <w:t xml:space="preserve"> </w:t>
      </w:r>
      <w:r w:rsidR="00FA1399" w:rsidRPr="00F81ED3">
        <w:t xml:space="preserve">At the time of publication of this document, DECC’s latest position in relation to Third Package implementation in Great Britain is set out in </w:t>
      </w:r>
      <w:r w:rsidR="001F0D6B" w:rsidRPr="00F81ED3">
        <w:t>‘</w:t>
      </w:r>
      <w:hyperlink r:id="rId25" w:history="1">
        <w:r w:rsidR="00FA1399" w:rsidRPr="00F81ED3">
          <w:rPr>
            <w:rStyle w:val="Hyperlink"/>
            <w:rFonts w:cs="CGOmega-Regular"/>
            <w:sz w:val="20"/>
            <w:szCs w:val="24"/>
          </w:rPr>
          <w:t>Implementation of the EU Third Internal Energy Package – Government Response</w:t>
        </w:r>
      </w:hyperlink>
      <w:r w:rsidR="001F0D6B" w:rsidRPr="00F81ED3">
        <w:t>’</w:t>
      </w:r>
      <w:r w:rsidR="00FA1399" w:rsidRPr="00F81ED3">
        <w:rPr>
          <w:rStyle w:val="FootnoteReference"/>
        </w:rPr>
        <w:footnoteReference w:id="16"/>
      </w:r>
      <w:r w:rsidR="00FA1399" w:rsidRPr="00F81ED3">
        <w:t xml:space="preserve"> dated 14 January 2011. However, Qualifying Bidders are strongly advised to make themselves aware of ongoing developments in this area.</w:t>
      </w:r>
    </w:p>
    <w:p w:rsidR="00E6536D" w:rsidRDefault="00003C2E" w:rsidP="009D33EB">
      <w:pPr>
        <w:pStyle w:val="Paragrapgh"/>
      </w:pPr>
      <w:r>
        <w:t xml:space="preserve">All Qualifying Bidders should make themselves aware of the relevant provisions of the Third Package and are strongly advised to consider the requirements of the Third Package as necessary. </w:t>
      </w:r>
      <w:r w:rsidRPr="0036137A">
        <w:t xml:space="preserve">In addition to the requirements for </w:t>
      </w:r>
      <w:r>
        <w:t xml:space="preserve">ownership </w:t>
      </w:r>
      <w:r w:rsidRPr="0036137A">
        <w:t xml:space="preserve">unbundling, </w:t>
      </w:r>
      <w:r>
        <w:t>Qualifying Bidders</w:t>
      </w:r>
      <w:r w:rsidRPr="0036137A">
        <w:t xml:space="preserve"> should make themselves aware of any other </w:t>
      </w:r>
      <w:r>
        <w:t xml:space="preserve">Third Package </w:t>
      </w:r>
      <w:r w:rsidRPr="0036137A">
        <w:t xml:space="preserve">obligations that will need to be satisfied by </w:t>
      </w:r>
      <w:r>
        <w:t xml:space="preserve">offshore electricity </w:t>
      </w:r>
      <w:r w:rsidRPr="0036137A">
        <w:t>transmission owners.</w:t>
      </w:r>
      <w:r>
        <w:t xml:space="preserve"> Ofgem is not able to advise Qualifying Bidders as to the provisions of the </w:t>
      </w:r>
      <w:r>
        <w:lastRenderedPageBreak/>
        <w:t>Third Package and strongly recommends that Qualifying Bidders seek appropriate independent legal advice in this respect.</w:t>
      </w:r>
    </w:p>
    <w:p w:rsidR="00E6536D" w:rsidRPr="00696743" w:rsidRDefault="00E6536D" w:rsidP="00696743">
      <w:pPr>
        <w:pStyle w:val="ChapterHeading"/>
      </w:pPr>
      <w:bookmarkStart w:id="14" w:name="_Toc283819633"/>
      <w:r w:rsidRPr="00696743">
        <w:lastRenderedPageBreak/>
        <w:t xml:space="preserve">Instructions to </w:t>
      </w:r>
      <w:r w:rsidR="00CE35DC">
        <w:t xml:space="preserve">Qualifying </w:t>
      </w:r>
      <w:r w:rsidRPr="00696743">
        <w:t>Bidders</w:t>
      </w:r>
      <w:bookmarkEnd w:id="14"/>
    </w:p>
    <w:p w:rsidR="00E6536D" w:rsidRDefault="00E6536D"/>
    <w:p w:rsidR="00E6536D" w:rsidRDefault="00A55854">
      <w:pPr>
        <w:pStyle w:val="ChapterSummary"/>
        <w:numPr>
          <w:ilvl w:val="0"/>
          <w:numId w:val="0"/>
        </w:numPr>
        <w:rPr>
          <w:rStyle w:val="Text-Bold"/>
        </w:rPr>
      </w:pPr>
      <w:r>
        <w:rPr>
          <w:rStyle w:val="Text-Bold"/>
        </w:rPr>
        <w:t>Section</w:t>
      </w:r>
      <w:r w:rsidR="00E6536D">
        <w:rPr>
          <w:rStyle w:val="Text-Bold"/>
        </w:rPr>
        <w:t xml:space="preserve"> Summary</w:t>
      </w:r>
    </w:p>
    <w:p w:rsidR="00E6536D" w:rsidRDefault="00E6536D">
      <w:pPr>
        <w:pStyle w:val="ChapterSummary"/>
        <w:numPr>
          <w:ilvl w:val="0"/>
          <w:numId w:val="0"/>
        </w:numPr>
      </w:pPr>
    </w:p>
    <w:p w:rsidR="00E6536D" w:rsidRDefault="00E6536D">
      <w:pPr>
        <w:pStyle w:val="ChapterSummary"/>
        <w:numPr>
          <w:ilvl w:val="0"/>
          <w:numId w:val="0"/>
        </w:numPr>
      </w:pPr>
      <w:r>
        <w:t>This section sets out the instructions</w:t>
      </w:r>
      <w:r w:rsidR="000B7B2E">
        <w:t xml:space="preserve"> to </w:t>
      </w:r>
      <w:r w:rsidR="00246DF6">
        <w:t xml:space="preserve">Qualifying </w:t>
      </w:r>
      <w:r w:rsidR="000B7B2E">
        <w:t xml:space="preserve">Bidders in respect of the </w:t>
      </w:r>
      <w:r w:rsidR="002F4F77">
        <w:t>QTT Stage, includ</w:t>
      </w:r>
      <w:r w:rsidR="000B7B2E">
        <w:t>ing the QTT</w:t>
      </w:r>
      <w:r>
        <w:t xml:space="preserve"> Questionnaire, </w:t>
      </w:r>
      <w:r w:rsidR="000B7B2E">
        <w:t>QTT</w:t>
      </w:r>
      <w:r w:rsidR="00172E6E">
        <w:t xml:space="preserve"> S</w:t>
      </w:r>
      <w:r>
        <w:t>ubmissions and the clarification process.</w:t>
      </w:r>
    </w:p>
    <w:p w:rsidR="00E6536D" w:rsidRDefault="00E6536D">
      <w:pPr>
        <w:pStyle w:val="ChapterSummary"/>
        <w:numPr>
          <w:ilvl w:val="0"/>
          <w:numId w:val="0"/>
        </w:numPr>
      </w:pPr>
    </w:p>
    <w:p w:rsidR="00E6536D" w:rsidRDefault="004F0B4A" w:rsidP="006E1D09">
      <w:pPr>
        <w:pStyle w:val="Heading1"/>
        <w:spacing w:before="360"/>
      </w:pPr>
      <w:bookmarkStart w:id="15" w:name="_Toc283819634"/>
      <w:r>
        <w:t>QTT</w:t>
      </w:r>
      <w:r w:rsidR="00E6536D">
        <w:t xml:space="preserve"> Questionnaire</w:t>
      </w:r>
      <w:bookmarkEnd w:id="15"/>
    </w:p>
    <w:p w:rsidR="00E6536D" w:rsidRDefault="004B1531">
      <w:pPr>
        <w:pStyle w:val="Paragrapgh"/>
      </w:pPr>
      <w:r>
        <w:t xml:space="preserve">The </w:t>
      </w:r>
      <w:r w:rsidR="00E6536D">
        <w:t>Q</w:t>
      </w:r>
      <w:r>
        <w:t>TT</w:t>
      </w:r>
      <w:r w:rsidR="00E6536D">
        <w:t xml:space="preserve"> Questionnaire, which is included in </w:t>
      </w:r>
      <w:r w:rsidR="00AC2F97">
        <w:t>Chapter</w:t>
      </w:r>
      <w:r w:rsidR="00E6536D">
        <w:t xml:space="preserve"> </w:t>
      </w:r>
      <w:r w:rsidR="00A910F7">
        <w:t>3</w:t>
      </w:r>
      <w:r w:rsidR="00E6536D">
        <w:t>, has been produced t</w:t>
      </w:r>
      <w:r w:rsidR="00AC21FA">
        <w:t xml:space="preserve">o enable Ofgem to evaluate each </w:t>
      </w:r>
      <w:r w:rsidR="00246DF6">
        <w:t xml:space="preserve">Qualifying </w:t>
      </w:r>
      <w:r w:rsidR="00373976">
        <w:t>Bidder’s</w:t>
      </w:r>
      <w:r w:rsidR="00AC21FA">
        <w:t xml:space="preserve"> approach in a number of areas, including financing, </w:t>
      </w:r>
      <w:r w:rsidR="00246DF6" w:rsidRPr="00246DF6">
        <w:t>operating</w:t>
      </w:r>
      <w:r w:rsidR="00AC21FA">
        <w:t xml:space="preserve"> and managing</w:t>
      </w:r>
      <w:r w:rsidR="00246DF6" w:rsidRPr="00246DF6">
        <w:t xml:space="preserve"> </w:t>
      </w:r>
      <w:r w:rsidR="00373976">
        <w:t>Qualifying Project</w:t>
      </w:r>
      <w:r w:rsidR="00B8497D">
        <w:t>(s)</w:t>
      </w:r>
      <w:r w:rsidR="00373976">
        <w:t>.</w:t>
      </w:r>
    </w:p>
    <w:p w:rsidR="00E6536D" w:rsidRPr="006E1D09" w:rsidRDefault="00E6536D" w:rsidP="006E1D09">
      <w:pPr>
        <w:pStyle w:val="Heading2"/>
        <w:rPr>
          <w:color w:val="auto"/>
          <w:sz w:val="22"/>
          <w:szCs w:val="22"/>
        </w:rPr>
      </w:pPr>
      <w:bookmarkStart w:id="16" w:name="_Toc283819635"/>
      <w:r w:rsidRPr="006E1D09">
        <w:rPr>
          <w:color w:val="auto"/>
          <w:sz w:val="22"/>
          <w:szCs w:val="22"/>
        </w:rPr>
        <w:t>Bidder Groups</w:t>
      </w:r>
      <w:bookmarkEnd w:id="16"/>
    </w:p>
    <w:p w:rsidR="00E6536D" w:rsidRDefault="000352B9">
      <w:pPr>
        <w:pStyle w:val="Paragrapgh"/>
      </w:pPr>
      <w:r>
        <w:t>Questions in the QTT</w:t>
      </w:r>
      <w:r w:rsidR="00E6536D">
        <w:t xml:space="preserve"> Questionnaire which are required to be completed by the </w:t>
      </w:r>
      <w:r w:rsidR="00C307EC">
        <w:t xml:space="preserve">Qualifying </w:t>
      </w:r>
      <w:r w:rsidR="00E6536D">
        <w:t xml:space="preserve">Bidder should be answered by, in the case of a </w:t>
      </w:r>
      <w:r w:rsidR="00C307EC">
        <w:t xml:space="preserve">Qualifying </w:t>
      </w:r>
      <w:r w:rsidR="00E6536D">
        <w:t xml:space="preserve">Bidder which is a single entity, that entity, and in the case of a </w:t>
      </w:r>
      <w:r w:rsidR="00C307EC">
        <w:t xml:space="preserve">Qualifying </w:t>
      </w:r>
      <w:r w:rsidR="00E6536D">
        <w:t>Bidder which is part of a Bidder Group, the lead member of that Bidder Group.</w:t>
      </w:r>
    </w:p>
    <w:p w:rsidR="00E6536D" w:rsidRDefault="002F4F77" w:rsidP="001C7FC5">
      <w:pPr>
        <w:pStyle w:val="Heading1"/>
      </w:pPr>
      <w:bookmarkStart w:id="17" w:name="_Toc283819636"/>
      <w:r>
        <w:t>QTT</w:t>
      </w:r>
      <w:r w:rsidR="00E6536D">
        <w:t xml:space="preserve"> Submissions</w:t>
      </w:r>
      <w:bookmarkEnd w:id="17"/>
    </w:p>
    <w:p w:rsidR="00E6536D" w:rsidRPr="006E1D09" w:rsidRDefault="000352B9" w:rsidP="006E1D09">
      <w:pPr>
        <w:pStyle w:val="Heading2"/>
        <w:rPr>
          <w:color w:val="auto"/>
          <w:sz w:val="22"/>
          <w:szCs w:val="22"/>
        </w:rPr>
      </w:pPr>
      <w:bookmarkStart w:id="18" w:name="_Toc283819637"/>
      <w:r w:rsidRPr="006E1D09">
        <w:rPr>
          <w:color w:val="auto"/>
          <w:sz w:val="22"/>
          <w:szCs w:val="22"/>
        </w:rPr>
        <w:t>QTT</w:t>
      </w:r>
      <w:r w:rsidR="00E6536D" w:rsidRPr="006E1D09">
        <w:rPr>
          <w:color w:val="auto"/>
          <w:sz w:val="22"/>
          <w:szCs w:val="22"/>
        </w:rPr>
        <w:t xml:space="preserve"> Submission Deadline</w:t>
      </w:r>
      <w:bookmarkEnd w:id="18"/>
    </w:p>
    <w:p w:rsidR="00E6536D" w:rsidRDefault="00E6536D">
      <w:pPr>
        <w:pStyle w:val="Paragrapgh"/>
      </w:pPr>
      <w:r>
        <w:t xml:space="preserve">All </w:t>
      </w:r>
      <w:r w:rsidR="00557ACD">
        <w:t>QTT</w:t>
      </w:r>
      <w:r>
        <w:t xml:space="preserve"> Submissions must be submitted via the Portal </w:t>
      </w:r>
      <w:r w:rsidRPr="000810DB">
        <w:rPr>
          <w:b/>
        </w:rPr>
        <w:t xml:space="preserve">no later than </w:t>
      </w:r>
      <w:r w:rsidR="00557ACD" w:rsidRPr="000810DB">
        <w:rPr>
          <w:b/>
        </w:rPr>
        <w:t>12 noon</w:t>
      </w:r>
      <w:r w:rsidRPr="000810DB">
        <w:rPr>
          <w:b/>
        </w:rPr>
        <w:t xml:space="preserve"> on </w:t>
      </w:r>
      <w:r w:rsidR="000810DB" w:rsidRPr="000810DB">
        <w:rPr>
          <w:b/>
          <w:color w:val="000000"/>
          <w:lang w:eastAsia="en-GB"/>
        </w:rPr>
        <w:t>28</w:t>
      </w:r>
      <w:r w:rsidR="000352B9" w:rsidRPr="000810DB">
        <w:rPr>
          <w:b/>
          <w:color w:val="000000"/>
          <w:lang w:eastAsia="en-GB"/>
        </w:rPr>
        <w:t xml:space="preserve"> February 2011</w:t>
      </w:r>
      <w:r w:rsidR="000352B9">
        <w:rPr>
          <w:color w:val="000000"/>
          <w:lang w:eastAsia="en-GB"/>
        </w:rPr>
        <w:t xml:space="preserve">. </w:t>
      </w:r>
      <w:r>
        <w:t xml:space="preserve">The Portal will be closed at this time and no late </w:t>
      </w:r>
      <w:r w:rsidR="007537BF">
        <w:t>QTT</w:t>
      </w:r>
      <w:r w:rsidR="00A910F7">
        <w:t xml:space="preserve"> </w:t>
      </w:r>
      <w:r w:rsidR="00AD231E">
        <w:t xml:space="preserve">Submissions will be accepted. </w:t>
      </w:r>
      <w:r>
        <w:t xml:space="preserve">All </w:t>
      </w:r>
      <w:r w:rsidR="00A910F7">
        <w:t>Q</w:t>
      </w:r>
      <w:r w:rsidR="007537BF">
        <w:t>TT</w:t>
      </w:r>
      <w:r w:rsidR="00A910F7">
        <w:t xml:space="preserve"> </w:t>
      </w:r>
      <w:r>
        <w:t>Submissions must be made in the templates provided on the</w:t>
      </w:r>
      <w:r w:rsidR="00557ACD">
        <w:t xml:space="preserve"> Portal. Ofgem will not accept </w:t>
      </w:r>
      <w:r>
        <w:t>Q</w:t>
      </w:r>
      <w:r w:rsidR="00557ACD">
        <w:t>TT</w:t>
      </w:r>
      <w:r>
        <w:t xml:space="preserve"> Submissions in any other form.</w:t>
      </w:r>
    </w:p>
    <w:p w:rsidR="002D34D5" w:rsidRDefault="002D34D5">
      <w:pPr>
        <w:pStyle w:val="Paragrapgh"/>
      </w:pPr>
      <w:r>
        <w:t xml:space="preserve">Qualifying Bidders must return a separate completed QTT Questionnaire for each Qualifying </w:t>
      </w:r>
      <w:r w:rsidR="005B2CBF">
        <w:t>Project</w:t>
      </w:r>
      <w:r>
        <w:t xml:space="preserve"> for which they wish to be considered.</w:t>
      </w:r>
    </w:p>
    <w:p w:rsidR="00E6536D" w:rsidRDefault="00E6536D">
      <w:pPr>
        <w:pStyle w:val="Paragrapgh"/>
      </w:pPr>
      <w:r>
        <w:t xml:space="preserve">The </w:t>
      </w:r>
      <w:r w:rsidR="00557ACD">
        <w:t>QTT</w:t>
      </w:r>
      <w:r>
        <w:t xml:space="preserve"> Submission must be completed in English, including any supplementary supporting documentation.</w:t>
      </w:r>
    </w:p>
    <w:p w:rsidR="00E6536D" w:rsidRDefault="00B8497D">
      <w:pPr>
        <w:pStyle w:val="Paragrapgh"/>
      </w:pPr>
      <w:r>
        <w:t>Rules on s</w:t>
      </w:r>
      <w:r w:rsidR="00E6536D">
        <w:t>ubmissions via the Portal c</w:t>
      </w:r>
      <w:r w:rsidR="004C3046">
        <w:t>an be found in the Tender Rules</w:t>
      </w:r>
      <w:r w:rsidR="00E6536D">
        <w:t>.</w:t>
      </w:r>
    </w:p>
    <w:p w:rsidR="00E6536D" w:rsidRPr="006E1D09" w:rsidRDefault="007537BF" w:rsidP="00422C4A">
      <w:pPr>
        <w:pStyle w:val="Heading2"/>
        <w:keepNext/>
        <w:rPr>
          <w:color w:val="auto"/>
          <w:sz w:val="22"/>
          <w:szCs w:val="22"/>
        </w:rPr>
      </w:pPr>
      <w:bookmarkStart w:id="19" w:name="_Toc283819638"/>
      <w:r w:rsidRPr="006E1D09">
        <w:rPr>
          <w:color w:val="auto"/>
          <w:sz w:val="22"/>
          <w:szCs w:val="22"/>
        </w:rPr>
        <w:lastRenderedPageBreak/>
        <w:t>Content of QTT</w:t>
      </w:r>
      <w:r w:rsidR="00E6536D" w:rsidRPr="006E1D09">
        <w:rPr>
          <w:color w:val="auto"/>
          <w:sz w:val="22"/>
          <w:szCs w:val="22"/>
        </w:rPr>
        <w:t xml:space="preserve"> Submission</w:t>
      </w:r>
      <w:r w:rsidR="002D34D5" w:rsidRPr="006E1D09">
        <w:rPr>
          <w:color w:val="auto"/>
          <w:sz w:val="22"/>
          <w:szCs w:val="22"/>
        </w:rPr>
        <w:t>s</w:t>
      </w:r>
      <w:bookmarkEnd w:id="19"/>
    </w:p>
    <w:p w:rsidR="00E6536D" w:rsidRDefault="00E6536D" w:rsidP="00422C4A">
      <w:pPr>
        <w:pStyle w:val="Paragrapgh"/>
        <w:keepNext/>
        <w:spacing w:after="240"/>
      </w:pPr>
      <w:r>
        <w:t xml:space="preserve">A compliant </w:t>
      </w:r>
      <w:r w:rsidR="007537BF">
        <w:t>QTT</w:t>
      </w:r>
      <w:r>
        <w:t xml:space="preserve"> Submission must contain the following: </w:t>
      </w:r>
    </w:p>
    <w:p w:rsidR="00E07435" w:rsidRDefault="00ED4993" w:rsidP="001570E0">
      <w:pPr>
        <w:pStyle w:val="Text-bulleted"/>
        <w:keepNext/>
        <w:numPr>
          <w:ilvl w:val="0"/>
          <w:numId w:val="12"/>
        </w:numPr>
        <w:tabs>
          <w:tab w:val="clear" w:pos="2581"/>
          <w:tab w:val="left" w:pos="426"/>
        </w:tabs>
        <w:spacing w:before="120" w:after="120"/>
        <w:ind w:left="425" w:hanging="425"/>
      </w:pPr>
      <w:r>
        <w:t>r</w:t>
      </w:r>
      <w:r w:rsidR="00E6536D">
        <w:t xml:space="preserve">esponses to all requirements set out in </w:t>
      </w:r>
      <w:r w:rsidR="004C3046">
        <w:t xml:space="preserve">the </w:t>
      </w:r>
      <w:r w:rsidR="007537BF">
        <w:t>QTT</w:t>
      </w:r>
      <w:r w:rsidR="00E6536D">
        <w:t xml:space="preserve"> </w:t>
      </w:r>
      <w:r w:rsidR="004C3046">
        <w:t>Questionnaire</w:t>
      </w:r>
      <w:r w:rsidR="00E6536D">
        <w:t>, together with rele</w:t>
      </w:r>
      <w:r w:rsidR="00AD231E">
        <w:t xml:space="preserve">vant supporting documentation. </w:t>
      </w:r>
      <w:r w:rsidR="00E6536D">
        <w:t xml:space="preserve">Responses must be provided in the templates provided on </w:t>
      </w:r>
      <w:r w:rsidR="00A67A1E">
        <w:t>the Portal</w:t>
      </w:r>
      <w:r w:rsidR="004F0B4A">
        <w:t>; and</w:t>
      </w:r>
    </w:p>
    <w:p w:rsidR="002D34D5" w:rsidRDefault="00A76E7D" w:rsidP="001570E0">
      <w:pPr>
        <w:pStyle w:val="Text-bulleted"/>
        <w:numPr>
          <w:ilvl w:val="0"/>
          <w:numId w:val="12"/>
        </w:numPr>
        <w:tabs>
          <w:tab w:val="clear" w:pos="2581"/>
          <w:tab w:val="left" w:pos="426"/>
        </w:tabs>
        <w:spacing w:before="120" w:after="120"/>
        <w:ind w:left="425" w:hanging="425"/>
      </w:pPr>
      <w:r>
        <w:t xml:space="preserve">if applicable, a resubmitted PQ Questionnaire, together with required supporting documentation </w:t>
      </w:r>
      <w:r w:rsidR="00B8497D">
        <w:t>– see ‘</w:t>
      </w:r>
      <w:r w:rsidR="002D34D5">
        <w:t>Changes arising since</w:t>
      </w:r>
      <w:r w:rsidR="00B8497D">
        <w:t xml:space="preserve"> PQ Submission’</w:t>
      </w:r>
      <w:r>
        <w:t xml:space="preserve"> below.</w:t>
      </w:r>
      <w:r w:rsidR="002D34D5">
        <w:t xml:space="preserve"> </w:t>
      </w:r>
    </w:p>
    <w:p w:rsidR="008467AE" w:rsidRDefault="008467AE" w:rsidP="008C3C3A">
      <w:pPr>
        <w:pStyle w:val="Paragrapgh"/>
      </w:pPr>
      <w:r>
        <w:t xml:space="preserve">As detailed within </w:t>
      </w:r>
      <w:r w:rsidRPr="00695AD5">
        <w:t>paragraph 1.17, a</w:t>
      </w:r>
      <w:r w:rsidRPr="008467AE">
        <w:t xml:space="preserve"> QTT Submission in respect of any particular Qualifying Project will </w:t>
      </w:r>
      <w:r>
        <w:t xml:space="preserve">also </w:t>
      </w:r>
      <w:r w:rsidRPr="008467AE">
        <w:t>be deemed to be non-compliant if the Qualifying Bidder has not returned a signed Confidentiality Agreement in relation to that Qualifying Project.</w:t>
      </w:r>
    </w:p>
    <w:p w:rsidR="00E6536D" w:rsidRDefault="00E6536D" w:rsidP="008C3C3A">
      <w:pPr>
        <w:pStyle w:val="Paragrapgh"/>
      </w:pPr>
      <w:r>
        <w:t>Where page limits are indicated in the requirements for response, these</w:t>
      </w:r>
      <w:r w:rsidR="008467AE">
        <w:t xml:space="preserve"> </w:t>
      </w:r>
      <w:r w:rsidR="003079A8" w:rsidRPr="003079A8">
        <w:t>refer to A4 size pages</w:t>
      </w:r>
      <w:r w:rsidR="003079A8">
        <w:t xml:space="preserve">. Any such page limits </w:t>
      </w:r>
      <w:r w:rsidR="008467AE">
        <w:t>must be adhered to.</w:t>
      </w:r>
      <w:r w:rsidR="003079A8">
        <w:t xml:space="preserve"> </w:t>
      </w:r>
      <w:r>
        <w:t>Ofgem reserves the right to ignore any additional information submitted in excess of these limits.</w:t>
      </w:r>
    </w:p>
    <w:p w:rsidR="003079A8" w:rsidRDefault="003079A8" w:rsidP="003079A8">
      <w:pPr>
        <w:pStyle w:val="Paragrapgh"/>
      </w:pPr>
      <w:r>
        <w:t xml:space="preserve">Where a Qualifying Bidder is submitting supplementary documentation in support of any response to the QTT Questionnaire, this should be clearly referenced in the text of the QTT Submission. </w:t>
      </w:r>
      <w:r w:rsidRPr="003079A8">
        <w:t>Where a Quali</w:t>
      </w:r>
      <w:r>
        <w:t>fying Bidder is bidding for all Qualifying Projects</w:t>
      </w:r>
      <w:r w:rsidRPr="003079A8">
        <w:t xml:space="preserve"> </w:t>
      </w:r>
      <w:r>
        <w:t>and is submitting</w:t>
      </w:r>
      <w:r w:rsidRPr="003079A8">
        <w:t xml:space="preserve"> supplementary supporting documentation </w:t>
      </w:r>
      <w:r>
        <w:t>that</w:t>
      </w:r>
      <w:r w:rsidRPr="003079A8">
        <w:t xml:space="preserve"> is common across all</w:t>
      </w:r>
      <w:r>
        <w:t xml:space="preserve"> these Qualifying Projects</w:t>
      </w:r>
      <w:r w:rsidRPr="003079A8">
        <w:t>, this</w:t>
      </w:r>
      <w:r>
        <w:t xml:space="preserve"> documentation</w:t>
      </w:r>
      <w:r w:rsidRPr="003079A8">
        <w:t xml:space="preserve"> needs only to be u</w:t>
      </w:r>
      <w:r w:rsidR="00402462">
        <w:t xml:space="preserve">ploaded to the Portal once. </w:t>
      </w:r>
      <w:r w:rsidRPr="003079A8">
        <w:t>If providing documentation in this way</w:t>
      </w:r>
      <w:r>
        <w:t>,</w:t>
      </w:r>
      <w:r w:rsidRPr="003079A8">
        <w:t xml:space="preserve"> </w:t>
      </w:r>
      <w:r>
        <w:t>Qualifying Bidders</w:t>
      </w:r>
      <w:r w:rsidRPr="003079A8">
        <w:t xml:space="preserve"> are required to ensure that the location of the </w:t>
      </w:r>
      <w:r w:rsidR="00402462">
        <w:t xml:space="preserve">supplementary </w:t>
      </w:r>
      <w:r w:rsidRPr="003079A8">
        <w:t>documentation is clearly cross-referenced within the text of each of the</w:t>
      </w:r>
      <w:r>
        <w:t xml:space="preserve"> </w:t>
      </w:r>
      <w:r w:rsidR="00AD231E">
        <w:t xml:space="preserve">sections of the </w:t>
      </w:r>
      <w:r>
        <w:t>QTT S</w:t>
      </w:r>
      <w:r w:rsidRPr="003079A8">
        <w:t>ubmissions to which it is relevant.</w:t>
      </w:r>
    </w:p>
    <w:p w:rsidR="00E6536D" w:rsidRDefault="00E6536D" w:rsidP="008C3C3A">
      <w:pPr>
        <w:pStyle w:val="Paragrapgh"/>
      </w:pPr>
      <w:r>
        <w:t xml:space="preserve">Ofgem reserves the right to amend these requirements during the </w:t>
      </w:r>
      <w:r w:rsidR="007537BF">
        <w:t>QTT</w:t>
      </w:r>
      <w:r>
        <w:t xml:space="preserve"> Stage prior to the </w:t>
      </w:r>
      <w:r w:rsidR="007537BF">
        <w:t>QTT</w:t>
      </w:r>
      <w:r>
        <w:t xml:space="preserve"> Submission deadline.</w:t>
      </w:r>
    </w:p>
    <w:p w:rsidR="00517315" w:rsidRPr="00517315" w:rsidRDefault="002D34D5" w:rsidP="00517315">
      <w:pPr>
        <w:pStyle w:val="Paragrapgh"/>
        <w:spacing w:after="120"/>
      </w:pPr>
      <w:r>
        <w:rPr>
          <w:rFonts w:eastAsia="SimSun"/>
        </w:rPr>
        <w:t xml:space="preserve">Qualifying </w:t>
      </w:r>
      <w:r w:rsidR="00E6536D">
        <w:rPr>
          <w:rFonts w:eastAsia="SimSun"/>
        </w:rPr>
        <w:t>Bidders should note that if</w:t>
      </w:r>
      <w:r w:rsidR="004F0B4A">
        <w:rPr>
          <w:rFonts w:eastAsia="SimSun"/>
        </w:rPr>
        <w:t xml:space="preserve">, after their QTT Submission has been submitted and prior to the publication of </w:t>
      </w:r>
      <w:r w:rsidR="00517315">
        <w:rPr>
          <w:rFonts w:eastAsia="SimSun"/>
        </w:rPr>
        <w:t>the Qualifying Bidder shortlist:</w:t>
      </w:r>
      <w:r w:rsidR="00E6536D">
        <w:rPr>
          <w:rFonts w:eastAsia="SimSun"/>
        </w:rPr>
        <w:t xml:space="preserve"> </w:t>
      </w:r>
    </w:p>
    <w:p w:rsidR="00517315" w:rsidRPr="00517315" w:rsidRDefault="00E6536D" w:rsidP="001570E0">
      <w:pPr>
        <w:pStyle w:val="Paragrapgh"/>
        <w:numPr>
          <w:ilvl w:val="1"/>
          <w:numId w:val="27"/>
        </w:numPr>
        <w:spacing w:before="120" w:after="120"/>
        <w:ind w:left="425" w:hanging="425"/>
      </w:pPr>
      <w:r>
        <w:rPr>
          <w:rFonts w:eastAsia="SimSun"/>
        </w:rPr>
        <w:t xml:space="preserve">there is a material change </w:t>
      </w:r>
      <w:r w:rsidR="008E3B41">
        <w:rPr>
          <w:rFonts w:eastAsia="SimSun"/>
        </w:rPr>
        <w:t xml:space="preserve">or proposed material change </w:t>
      </w:r>
      <w:r>
        <w:rPr>
          <w:rFonts w:eastAsia="SimSun"/>
        </w:rPr>
        <w:t xml:space="preserve">in the information provided in their </w:t>
      </w:r>
      <w:r w:rsidR="007537BF">
        <w:rPr>
          <w:rFonts w:eastAsia="SimSun"/>
        </w:rPr>
        <w:t>QTT</w:t>
      </w:r>
      <w:r>
        <w:rPr>
          <w:rFonts w:eastAsia="SimSun"/>
        </w:rPr>
        <w:t xml:space="preserve"> Submission</w:t>
      </w:r>
      <w:r w:rsidR="008E3B41">
        <w:rPr>
          <w:rFonts w:eastAsia="SimSun"/>
        </w:rPr>
        <w:t xml:space="preserve">, or </w:t>
      </w:r>
    </w:p>
    <w:p w:rsidR="00517315" w:rsidRPr="00517315" w:rsidRDefault="008E3B41" w:rsidP="001570E0">
      <w:pPr>
        <w:pStyle w:val="Paragrapgh"/>
        <w:numPr>
          <w:ilvl w:val="1"/>
          <w:numId w:val="27"/>
        </w:numPr>
        <w:spacing w:before="120" w:after="120"/>
        <w:ind w:left="425" w:hanging="425"/>
      </w:pPr>
      <w:r>
        <w:rPr>
          <w:rFonts w:eastAsia="SimSun"/>
        </w:rPr>
        <w:t xml:space="preserve">a </w:t>
      </w:r>
      <w:r w:rsidR="00C307EC">
        <w:rPr>
          <w:rFonts w:eastAsia="SimSun"/>
        </w:rPr>
        <w:t xml:space="preserve">Qualifying </w:t>
      </w:r>
      <w:r>
        <w:rPr>
          <w:rFonts w:eastAsia="SimSun"/>
        </w:rPr>
        <w:t>Bidder becomes aware that information previously submitte</w:t>
      </w:r>
      <w:r w:rsidR="00517315">
        <w:rPr>
          <w:rFonts w:eastAsia="SimSun"/>
        </w:rPr>
        <w:t>d is no longer true or accurate</w:t>
      </w:r>
      <w:r w:rsidR="00E6536D">
        <w:rPr>
          <w:rFonts w:eastAsia="SimSun"/>
        </w:rPr>
        <w:t xml:space="preserve"> </w:t>
      </w:r>
    </w:p>
    <w:p w:rsidR="00E6536D" w:rsidRPr="0027612A" w:rsidRDefault="00E6536D" w:rsidP="00517315">
      <w:pPr>
        <w:pStyle w:val="Paragrapgh"/>
        <w:numPr>
          <w:ilvl w:val="0"/>
          <w:numId w:val="0"/>
        </w:numPr>
        <w:spacing w:before="120"/>
      </w:pPr>
      <w:r>
        <w:rPr>
          <w:rFonts w:eastAsia="SimSun"/>
        </w:rPr>
        <w:t>they are obliged to notify Ofgem as soon as reasonably practicable.</w:t>
      </w:r>
      <w:r w:rsidR="00B22327">
        <w:rPr>
          <w:rFonts w:eastAsia="SimSun"/>
        </w:rPr>
        <w:t xml:space="preserve"> </w:t>
      </w:r>
      <w:r w:rsidR="008E3B41">
        <w:rPr>
          <w:rFonts w:eastAsia="SimSun"/>
        </w:rPr>
        <w:t xml:space="preserve">Where a </w:t>
      </w:r>
      <w:r w:rsidR="002D34D5">
        <w:rPr>
          <w:rFonts w:eastAsia="SimSun"/>
        </w:rPr>
        <w:t xml:space="preserve">Qualifying </w:t>
      </w:r>
      <w:r w:rsidR="008E3B41">
        <w:rPr>
          <w:rFonts w:eastAsia="SimSun"/>
        </w:rPr>
        <w:t xml:space="preserve">Bidder notifies Ofgem of such, Ofgem will be entitled to re-evaluate the </w:t>
      </w:r>
      <w:r w:rsidR="007537BF">
        <w:rPr>
          <w:rFonts w:eastAsia="SimSun"/>
        </w:rPr>
        <w:t>QTT</w:t>
      </w:r>
      <w:r w:rsidR="008E3B41">
        <w:rPr>
          <w:rFonts w:eastAsia="SimSun"/>
        </w:rPr>
        <w:t xml:space="preserve"> Submission in light of the change.</w:t>
      </w:r>
    </w:p>
    <w:p w:rsidR="0027612A" w:rsidRPr="006E1D09" w:rsidRDefault="0027612A" w:rsidP="00402462">
      <w:pPr>
        <w:pStyle w:val="Heading2"/>
        <w:keepNext/>
        <w:rPr>
          <w:rFonts w:eastAsia="SimSun"/>
          <w:color w:val="auto"/>
          <w:sz w:val="22"/>
          <w:szCs w:val="22"/>
        </w:rPr>
      </w:pPr>
      <w:bookmarkStart w:id="20" w:name="_Toc283819639"/>
      <w:r w:rsidRPr="006E1D09">
        <w:rPr>
          <w:rFonts w:eastAsia="SimSun"/>
          <w:color w:val="auto"/>
          <w:sz w:val="22"/>
          <w:szCs w:val="22"/>
        </w:rPr>
        <w:lastRenderedPageBreak/>
        <w:t>Changes arising since PQ Submission</w:t>
      </w:r>
      <w:bookmarkEnd w:id="20"/>
    </w:p>
    <w:p w:rsidR="0027612A" w:rsidRDefault="0027612A" w:rsidP="00402462">
      <w:pPr>
        <w:pStyle w:val="Paragrapgh"/>
        <w:keepNext/>
        <w:spacing w:after="240"/>
      </w:pPr>
      <w:r>
        <w:t xml:space="preserve">Where any information relating to its PQ Submission has changed, the Qualifying Bidder must provide updated responses to the relevant question(s) in the PQ Questionnaire as part of its QTT Submission. </w:t>
      </w:r>
      <w:r w:rsidR="00937E9D">
        <w:t>This includes where there have been changes to:</w:t>
      </w:r>
    </w:p>
    <w:p w:rsidR="00937E9D" w:rsidRDefault="00937E9D" w:rsidP="001570E0">
      <w:pPr>
        <w:pStyle w:val="ListParagraph"/>
        <w:numPr>
          <w:ilvl w:val="0"/>
          <w:numId w:val="23"/>
        </w:numPr>
        <w:spacing w:before="120" w:after="120"/>
        <w:ind w:left="426" w:hanging="426"/>
        <w:contextualSpacing w:val="0"/>
      </w:pPr>
      <w:r>
        <w:t>Bidder Group configuration and/or membership</w:t>
      </w:r>
    </w:p>
    <w:p w:rsidR="00937E9D" w:rsidRDefault="00E07435" w:rsidP="001570E0">
      <w:pPr>
        <w:pStyle w:val="ListParagraph"/>
        <w:numPr>
          <w:ilvl w:val="0"/>
          <w:numId w:val="23"/>
        </w:numPr>
        <w:spacing w:before="120" w:after="120"/>
        <w:ind w:left="426" w:hanging="426"/>
        <w:contextualSpacing w:val="0"/>
      </w:pPr>
      <w:r>
        <w:t>Qualifying Project</w:t>
      </w:r>
      <w:r w:rsidR="00937E9D">
        <w:t xml:space="preserve"> appetite</w:t>
      </w:r>
    </w:p>
    <w:p w:rsidR="00937E9D" w:rsidRDefault="00B8497D" w:rsidP="001570E0">
      <w:pPr>
        <w:pStyle w:val="ListParagraph"/>
        <w:numPr>
          <w:ilvl w:val="0"/>
          <w:numId w:val="23"/>
        </w:numPr>
        <w:spacing w:before="120" w:after="120"/>
        <w:ind w:left="426" w:hanging="426"/>
        <w:contextualSpacing w:val="0"/>
      </w:pPr>
      <w:r>
        <w:t>T</w:t>
      </w:r>
      <w:r w:rsidR="00937E9D">
        <w:t xml:space="preserve">he </w:t>
      </w:r>
      <w:r w:rsidR="00C307EC">
        <w:t xml:space="preserve">Qualifying </w:t>
      </w:r>
      <w:r w:rsidR="00937E9D">
        <w:t>Bidder’s advisers</w:t>
      </w:r>
    </w:p>
    <w:p w:rsidR="00DB0645" w:rsidRDefault="00937E9D" w:rsidP="001570E0">
      <w:pPr>
        <w:pStyle w:val="ListParagraph"/>
        <w:numPr>
          <w:ilvl w:val="0"/>
          <w:numId w:val="23"/>
        </w:numPr>
        <w:spacing w:before="120" w:after="120"/>
        <w:ind w:left="426" w:hanging="426"/>
        <w:contextualSpacing w:val="0"/>
      </w:pPr>
      <w:r>
        <w:t>Any other changes to the Qualifying Bidder’s circumstances</w:t>
      </w:r>
    </w:p>
    <w:p w:rsidR="00E53489" w:rsidRDefault="00202CEE" w:rsidP="00202CEE">
      <w:pPr>
        <w:pStyle w:val="Paragrapgh"/>
      </w:pPr>
      <w:r>
        <w:t xml:space="preserve">Updated responses should be provided as a mark-up to the Qualifying Bidder’s original PQ Submission. </w:t>
      </w:r>
      <w:r w:rsidR="00DB0645">
        <w:t>Access to the PQ Questionnaire will be provided via the Portal.</w:t>
      </w:r>
    </w:p>
    <w:p w:rsidR="00A76E7D" w:rsidRPr="006E1D09" w:rsidRDefault="00A76E7D" w:rsidP="00FE4CD8">
      <w:pPr>
        <w:pStyle w:val="Heading2"/>
        <w:rPr>
          <w:color w:val="auto"/>
          <w:sz w:val="22"/>
          <w:szCs w:val="22"/>
        </w:rPr>
      </w:pPr>
      <w:bookmarkStart w:id="21" w:name="_Toc283819640"/>
      <w:r w:rsidRPr="006E1D09">
        <w:rPr>
          <w:color w:val="auto"/>
          <w:sz w:val="22"/>
          <w:szCs w:val="22"/>
        </w:rPr>
        <w:t>Changes in Qualifying Project Appetite</w:t>
      </w:r>
      <w:bookmarkEnd w:id="21"/>
    </w:p>
    <w:p w:rsidR="00A76E7D" w:rsidRDefault="00A76E7D" w:rsidP="00A76E7D">
      <w:pPr>
        <w:pStyle w:val="Paragrapgh"/>
      </w:pPr>
      <w:r w:rsidRPr="00991EF3">
        <w:t>A Qualif</w:t>
      </w:r>
      <w:r>
        <w:t>ying Bidder may at the QTT S</w:t>
      </w:r>
      <w:r w:rsidRPr="00991EF3">
        <w:t xml:space="preserve">tage alter the </w:t>
      </w:r>
      <w:r>
        <w:t>Qualifying Project</w:t>
      </w:r>
      <w:r w:rsidRPr="00991EF3">
        <w:t xml:space="preserve">(s) </w:t>
      </w:r>
      <w:r w:rsidR="00232740">
        <w:t>for which it wishes to be considered</w:t>
      </w:r>
      <w:r w:rsidRPr="00991EF3">
        <w:t xml:space="preserve"> from those it expres</w:t>
      </w:r>
      <w:r>
        <w:t>sed a preference for at the PQ S</w:t>
      </w:r>
      <w:r w:rsidRPr="00991EF3">
        <w:t>tage, provided it can demonstrate that it still meets the evaluat</w:t>
      </w:r>
      <w:r>
        <w:t>ion criteria set out in the PQ D</w:t>
      </w:r>
      <w:r w:rsidR="00B8629D">
        <w:t>ocument</w:t>
      </w:r>
      <w:r w:rsidRPr="00991EF3">
        <w:t>.</w:t>
      </w:r>
    </w:p>
    <w:p w:rsidR="00A76E7D" w:rsidRPr="006E1D09" w:rsidRDefault="00A76E7D" w:rsidP="00FE4CD8">
      <w:pPr>
        <w:pStyle w:val="Heading2"/>
        <w:rPr>
          <w:color w:val="auto"/>
          <w:sz w:val="22"/>
          <w:szCs w:val="22"/>
        </w:rPr>
      </w:pPr>
      <w:bookmarkStart w:id="22" w:name="_Toc283819641"/>
      <w:r w:rsidRPr="006E1D09">
        <w:rPr>
          <w:color w:val="auto"/>
          <w:sz w:val="22"/>
          <w:szCs w:val="22"/>
        </w:rPr>
        <w:t>Changes to a Bidder Group</w:t>
      </w:r>
      <w:bookmarkEnd w:id="22"/>
    </w:p>
    <w:p w:rsidR="00E53489" w:rsidRDefault="00E53489" w:rsidP="008C3C3A">
      <w:pPr>
        <w:pStyle w:val="Paragrapgh"/>
      </w:pPr>
      <w:r>
        <w:t>Where a Bidder Group seeks to change its membership b</w:t>
      </w:r>
      <w:r w:rsidR="00AD231E">
        <w:t>etween the PQ and QTT s</w:t>
      </w:r>
      <w:r>
        <w:t xml:space="preserve">tages, </w:t>
      </w:r>
      <w:r w:rsidRPr="00D6435E">
        <w:t xml:space="preserve">Ofgem will reassess whether the revised </w:t>
      </w:r>
      <w:r>
        <w:t>Bidder Group</w:t>
      </w:r>
      <w:r w:rsidRPr="00D6435E">
        <w:t xml:space="preserve"> meets the criteria set out in the </w:t>
      </w:r>
      <w:r>
        <w:t>PQ D</w:t>
      </w:r>
      <w:r w:rsidRPr="00D6435E">
        <w:t>ocument</w:t>
      </w:r>
      <w:r>
        <w:t xml:space="preserve"> </w:t>
      </w:r>
      <w:r w:rsidRPr="00D6435E">
        <w:t xml:space="preserve">as part of its </w:t>
      </w:r>
      <w:r>
        <w:t>QTT</w:t>
      </w:r>
      <w:r w:rsidRPr="00D6435E">
        <w:t xml:space="preserve"> Submission. </w:t>
      </w:r>
      <w:r>
        <w:t>Ofgem will permit that change provided that the new membership meets the selection criteria</w:t>
      </w:r>
      <w:r w:rsidR="00B8629D">
        <w:t xml:space="preserve"> set out in the PQ Document</w:t>
      </w:r>
      <w:r>
        <w:t xml:space="preserve">. </w:t>
      </w:r>
    </w:p>
    <w:p w:rsidR="00537C92" w:rsidRDefault="00F03022" w:rsidP="00A76E7D">
      <w:pPr>
        <w:pStyle w:val="Paragrapgh"/>
      </w:pPr>
      <w:r>
        <w:t>Ofgem expects the membership of, and the respective interests in, a Bidder Group to be finalised when they make their QTT Submissions.</w:t>
      </w:r>
    </w:p>
    <w:p w:rsidR="00937E9D" w:rsidRDefault="00456230" w:rsidP="001C7FC5">
      <w:pPr>
        <w:pStyle w:val="Heading1"/>
      </w:pPr>
      <w:bookmarkStart w:id="23" w:name="_Toc283819642"/>
      <w:r>
        <w:t xml:space="preserve">Draft </w:t>
      </w:r>
      <w:r w:rsidR="00674A37">
        <w:t>Project</w:t>
      </w:r>
      <w:r w:rsidR="00937E9D">
        <w:t xml:space="preserve"> Transfer Agreements</w:t>
      </w:r>
      <w:bookmarkEnd w:id="23"/>
    </w:p>
    <w:p w:rsidR="00FD338A" w:rsidRDefault="00FD338A" w:rsidP="00FD338A">
      <w:pPr>
        <w:pStyle w:val="Paragrapgh"/>
      </w:pPr>
      <w:r>
        <w:t xml:space="preserve">The QTT Questionnaire includes a section on transfer of assets under the </w:t>
      </w:r>
      <w:r w:rsidR="00456230">
        <w:t xml:space="preserve">draft </w:t>
      </w:r>
      <w:r>
        <w:t xml:space="preserve">Project Transfer Agreements (see Section </w:t>
      </w:r>
      <w:r w:rsidR="00456230">
        <w:t>9</w:t>
      </w:r>
      <w:r>
        <w:t xml:space="preserve">). Qualifying Bidders are </w:t>
      </w:r>
      <w:r w:rsidR="00456230">
        <w:t>required to respond to Section 9</w:t>
      </w:r>
      <w:r>
        <w:t xml:space="preserve"> in accordance with the instructions given. </w:t>
      </w:r>
    </w:p>
    <w:p w:rsidR="00F51E40" w:rsidRDefault="00F51E40" w:rsidP="00FD338A">
      <w:pPr>
        <w:pStyle w:val="Paragrapgh"/>
      </w:pPr>
      <w:r>
        <w:t>Ofgem will consider whether to make Qualifying</w:t>
      </w:r>
      <w:r w:rsidR="00456230">
        <w:t xml:space="preserve"> Bidders’ responses to Section 9</w:t>
      </w:r>
      <w:r>
        <w:t xml:space="preserve"> available to </w:t>
      </w:r>
      <w:r w:rsidR="00380C33">
        <w:t xml:space="preserve">the relevant </w:t>
      </w:r>
      <w:r w:rsidRPr="00F51E40">
        <w:t>Developer</w:t>
      </w:r>
      <w:r w:rsidR="00380C33">
        <w:t>(</w:t>
      </w:r>
      <w:r>
        <w:t>s</w:t>
      </w:r>
      <w:r w:rsidR="00380C33">
        <w:t>)</w:t>
      </w:r>
      <w:r w:rsidRPr="00F51E40">
        <w:t xml:space="preserve"> on an anonymous</w:t>
      </w:r>
      <w:r w:rsidR="00380C33">
        <w:t xml:space="preserve"> and confidential</w:t>
      </w:r>
      <w:r w:rsidRPr="00F51E40">
        <w:t xml:space="preserve"> basis to enable the Developer to consider the </w:t>
      </w:r>
      <w:r w:rsidR="00380C33">
        <w:t>response</w:t>
      </w:r>
      <w:r w:rsidRPr="00F51E40">
        <w:t xml:space="preserve"> as part of the ongoing development of their Project Transfer Agreement.</w:t>
      </w:r>
    </w:p>
    <w:p w:rsidR="00F976B3" w:rsidRDefault="00F976B3" w:rsidP="00F976B3">
      <w:pPr>
        <w:pStyle w:val="Paragrapgh"/>
        <w:spacing w:after="120"/>
      </w:pPr>
      <w:r>
        <w:lastRenderedPageBreak/>
        <w:t xml:space="preserve">Qualifying Bidders should note: </w:t>
      </w:r>
    </w:p>
    <w:p w:rsidR="00F976B3" w:rsidRDefault="00F976B3" w:rsidP="001570E0">
      <w:pPr>
        <w:pStyle w:val="Paragrapgh"/>
        <w:numPr>
          <w:ilvl w:val="1"/>
          <w:numId w:val="29"/>
        </w:numPr>
        <w:spacing w:before="120" w:after="120"/>
        <w:ind w:left="425" w:hanging="425"/>
      </w:pPr>
      <w:r>
        <w:t xml:space="preserve">Ofgem are not requiring Qualifying Bidders to provide mark-ups of the </w:t>
      </w:r>
      <w:r w:rsidR="00456230">
        <w:t xml:space="preserve">draft </w:t>
      </w:r>
      <w:r>
        <w:t>Project Transfer Agreements; and</w:t>
      </w:r>
    </w:p>
    <w:p w:rsidR="00F976B3" w:rsidRDefault="00F976B3" w:rsidP="001570E0">
      <w:pPr>
        <w:pStyle w:val="Paragrapgh"/>
        <w:numPr>
          <w:ilvl w:val="1"/>
          <w:numId w:val="29"/>
        </w:numPr>
        <w:spacing w:before="120" w:after="120"/>
        <w:ind w:left="425" w:hanging="425"/>
      </w:pPr>
      <w:r>
        <w:t xml:space="preserve">in releasing drafts of the Project Transfer Agreement to Qualifying Bidders at the QTT Stage, Ofgem does not endorse the </w:t>
      </w:r>
      <w:r w:rsidR="00456230">
        <w:t xml:space="preserve">draft </w:t>
      </w:r>
      <w:r>
        <w:t>Project Transfer Agreement nor the positions taken by Developers expressed in them, or constrain its discretion as to the terms on which it might make a property transfer scheme under Schedule 2A to the Electricity Act in a particular case.</w:t>
      </w:r>
    </w:p>
    <w:p w:rsidR="00F976B3" w:rsidRPr="00F976B3" w:rsidRDefault="00F976B3" w:rsidP="001570E0">
      <w:pPr>
        <w:pStyle w:val="Heading2"/>
        <w:keepNext/>
        <w:rPr>
          <w:color w:val="auto"/>
          <w:sz w:val="22"/>
          <w:szCs w:val="22"/>
        </w:rPr>
      </w:pPr>
      <w:bookmarkStart w:id="24" w:name="_Toc283819643"/>
      <w:r w:rsidRPr="00F976B3">
        <w:rPr>
          <w:color w:val="auto"/>
          <w:sz w:val="22"/>
          <w:szCs w:val="22"/>
        </w:rPr>
        <w:t>Commentary tables</w:t>
      </w:r>
      <w:bookmarkEnd w:id="24"/>
      <w:r w:rsidRPr="00F976B3">
        <w:rPr>
          <w:color w:val="auto"/>
          <w:sz w:val="22"/>
          <w:szCs w:val="22"/>
        </w:rPr>
        <w:t xml:space="preserve"> </w:t>
      </w:r>
    </w:p>
    <w:p w:rsidR="00FD338A" w:rsidRDefault="00FD338A" w:rsidP="001570E0">
      <w:pPr>
        <w:pStyle w:val="Paragrapgh"/>
        <w:keepNext/>
        <w:spacing w:before="120" w:after="120"/>
      </w:pPr>
      <w:r>
        <w:t>Qualifying Bidders are also required to provide their comments on the draft Project Transfer Agreement</w:t>
      </w:r>
      <w:r w:rsidR="00525BC6">
        <w:t xml:space="preserve"> for the relevant Qualifying Project</w:t>
      </w:r>
      <w:r>
        <w:t xml:space="preserve"> by way of a commentary table, to a maximum of </w:t>
      </w:r>
      <w:r w:rsidRPr="00525BC6">
        <w:rPr>
          <w:b/>
        </w:rPr>
        <w:t>ten pages</w:t>
      </w:r>
      <w:r>
        <w:t xml:space="preserve"> using the form of template provided at</w:t>
      </w:r>
      <w:r w:rsidR="001570E0">
        <w:t xml:space="preserve"> </w:t>
      </w:r>
      <w:r w:rsidR="001570E0" w:rsidRPr="00695AD5">
        <w:t>Appendix 1</w:t>
      </w:r>
      <w:r w:rsidRPr="00695AD5">
        <w:t>,</w:t>
      </w:r>
      <w:r>
        <w:t xml:space="preserve"> indicating whether the issues are:</w:t>
      </w:r>
    </w:p>
    <w:p w:rsidR="00FD338A" w:rsidRDefault="00FD338A" w:rsidP="001570E0">
      <w:pPr>
        <w:pStyle w:val="Paragrapgh"/>
        <w:numPr>
          <w:ilvl w:val="1"/>
          <w:numId w:val="28"/>
        </w:numPr>
        <w:spacing w:before="120" w:after="120"/>
        <w:ind w:left="426" w:hanging="426"/>
      </w:pPr>
      <w:r w:rsidRPr="00FD338A">
        <w:rPr>
          <w:b/>
        </w:rPr>
        <w:t>High:</w:t>
      </w:r>
      <w:r>
        <w:t xml:space="preserve"> Significant commercial/legal impact which the Qualifying Bidder expects would materially affect the Tender Revenue Stream they would bid at the ITT Stage or could materially affect the fundability of the transfer; </w:t>
      </w:r>
    </w:p>
    <w:p w:rsidR="00FD338A" w:rsidRDefault="00FD338A" w:rsidP="001570E0">
      <w:pPr>
        <w:pStyle w:val="Paragrapgh"/>
        <w:numPr>
          <w:ilvl w:val="1"/>
          <w:numId w:val="28"/>
        </w:numPr>
        <w:spacing w:before="120" w:after="120"/>
        <w:ind w:left="426" w:hanging="426"/>
      </w:pPr>
      <w:r w:rsidRPr="00FD338A">
        <w:rPr>
          <w:b/>
        </w:rPr>
        <w:t>Medium:</w:t>
      </w:r>
      <w:r>
        <w:t xml:space="preserve"> Commercial/legal impact which could affect the Tender Revenue Stream the Qualifying Bidder would bid at the ITT Stage, but not in a material way; or</w:t>
      </w:r>
    </w:p>
    <w:p w:rsidR="00FD338A" w:rsidRDefault="00FD338A" w:rsidP="001570E0">
      <w:pPr>
        <w:pStyle w:val="Paragrapgh"/>
        <w:numPr>
          <w:ilvl w:val="1"/>
          <w:numId w:val="28"/>
        </w:numPr>
        <w:spacing w:before="120" w:after="120"/>
        <w:ind w:left="426" w:hanging="426"/>
      </w:pPr>
      <w:r w:rsidRPr="00FD338A">
        <w:rPr>
          <w:b/>
        </w:rPr>
        <w:t>Low:</w:t>
      </w:r>
      <w:r>
        <w:t xml:space="preserve"> Amendments which the Qualifying Bidder expects would neither affect the Tender Revenue Stream they would bid at the ITT Stage, nor have a significant commercial impact, but which would make the transaction more desirable from the Qualifying Bidder’s perspective.</w:t>
      </w:r>
    </w:p>
    <w:p w:rsidR="00FD338A" w:rsidRDefault="00FD338A" w:rsidP="0001069D">
      <w:pPr>
        <w:pStyle w:val="Paragrapgh"/>
      </w:pPr>
      <w:r>
        <w:t xml:space="preserve">As part of the commentary table, where an issue is identified as of high or medium significance, the Qualifying Bidder is required to explain the nature of these </w:t>
      </w:r>
      <w:r w:rsidR="00786B2D">
        <w:t>issues and the potential</w:t>
      </w:r>
      <w:r>
        <w:t xml:space="preserve"> impact on the Tender Revenue Stream the Qualifying Bidder would bid at the ITT Stage.</w:t>
      </w:r>
    </w:p>
    <w:p w:rsidR="00F976B3" w:rsidRDefault="00F976B3" w:rsidP="00F976B3">
      <w:pPr>
        <w:pStyle w:val="Paragrapgh"/>
      </w:pPr>
      <w:r>
        <w:t xml:space="preserve">The commentary tables provided by Qualifying Bidders will not be evaluated by Ofgem and are for </w:t>
      </w:r>
      <w:r w:rsidRPr="00786B2D">
        <w:rPr>
          <w:b/>
        </w:rPr>
        <w:t>information only</w:t>
      </w:r>
      <w:r>
        <w:t>. Ofgem will only be e</w:t>
      </w:r>
      <w:r w:rsidR="00456230">
        <w:t>valuating responses to Section 9</w:t>
      </w:r>
      <w:r>
        <w:t xml:space="preserve"> of the QTT Questionnaire. However, following consideration by Ofgem, Ofgem will provide the commentary tables to the relevant Developer on an anonymous basis to enable the Developer to consider the comments as part of the ongoing development of their Project Transfer Agreement. Qualifying Bidders are reminded that the final Project Transfer Agreements will be made available at the ITT Stage. </w:t>
      </w:r>
    </w:p>
    <w:p w:rsidR="00F976B3" w:rsidRDefault="00F976B3" w:rsidP="00F976B3">
      <w:pPr>
        <w:pStyle w:val="Paragrapgh"/>
      </w:pPr>
      <w:r>
        <w:t>In order to provide sufficient time for the comments from Qualifying Bidders to be considered by the relevant Developer ahead of the ITT Stage, Qualifying</w:t>
      </w:r>
      <w:r w:rsidR="00AD231E">
        <w:t xml:space="preserve"> Bidders are required to submit</w:t>
      </w:r>
      <w:r>
        <w:t xml:space="preserve"> this commentary table </w:t>
      </w:r>
      <w:r w:rsidR="00AD231E">
        <w:t xml:space="preserve">to Ofgem </w:t>
      </w:r>
      <w:r>
        <w:t xml:space="preserve">by </w:t>
      </w:r>
      <w:r w:rsidRPr="00F976B3">
        <w:rPr>
          <w:b/>
        </w:rPr>
        <w:t xml:space="preserve">12 noon </w:t>
      </w:r>
      <w:r w:rsidR="000810DB">
        <w:rPr>
          <w:b/>
        </w:rPr>
        <w:t>on 28</w:t>
      </w:r>
      <w:r w:rsidRPr="00F976B3">
        <w:rPr>
          <w:b/>
        </w:rPr>
        <w:t xml:space="preserve"> February 2011</w:t>
      </w:r>
      <w:r>
        <w:t xml:space="preserve">.  </w:t>
      </w:r>
    </w:p>
    <w:p w:rsidR="0001069D" w:rsidRPr="0001069D" w:rsidRDefault="0001069D" w:rsidP="00402462">
      <w:pPr>
        <w:pStyle w:val="Heading2"/>
        <w:keepNext/>
        <w:rPr>
          <w:color w:val="auto"/>
          <w:sz w:val="22"/>
          <w:szCs w:val="22"/>
        </w:rPr>
      </w:pPr>
      <w:bookmarkStart w:id="25" w:name="_Toc283819644"/>
      <w:r w:rsidRPr="0001069D">
        <w:rPr>
          <w:color w:val="auto"/>
          <w:sz w:val="22"/>
          <w:szCs w:val="22"/>
        </w:rPr>
        <w:lastRenderedPageBreak/>
        <w:t>Form of commentary tables</w:t>
      </w:r>
      <w:bookmarkEnd w:id="25"/>
    </w:p>
    <w:p w:rsidR="00F976B3" w:rsidRDefault="00F976B3" w:rsidP="00402462">
      <w:pPr>
        <w:pStyle w:val="Paragrapgh"/>
        <w:keepNext/>
        <w:spacing w:before="240" w:after="120"/>
      </w:pPr>
      <w:r>
        <w:t>Qualifying Bidders must:</w:t>
      </w:r>
    </w:p>
    <w:p w:rsidR="00F976B3" w:rsidRDefault="00F976B3" w:rsidP="001570E0">
      <w:pPr>
        <w:pStyle w:val="Paragrapgh"/>
        <w:numPr>
          <w:ilvl w:val="1"/>
          <w:numId w:val="33"/>
        </w:numPr>
        <w:spacing w:before="120" w:after="120"/>
        <w:ind w:left="426" w:hanging="426"/>
      </w:pPr>
      <w:r>
        <w:t xml:space="preserve">prepare the commentary table using the form </w:t>
      </w:r>
      <w:r w:rsidRPr="00695AD5">
        <w:t xml:space="preserve">provided in Appendix </w:t>
      </w:r>
      <w:r w:rsidR="00F67441" w:rsidRPr="00695AD5">
        <w:t>1</w:t>
      </w:r>
      <w:r w:rsidRPr="00695AD5">
        <w:t>; and</w:t>
      </w:r>
    </w:p>
    <w:p w:rsidR="00F976B3" w:rsidRDefault="00F976B3" w:rsidP="001570E0">
      <w:pPr>
        <w:pStyle w:val="Paragrapgh"/>
        <w:numPr>
          <w:ilvl w:val="1"/>
          <w:numId w:val="33"/>
        </w:numPr>
        <w:spacing w:before="120" w:after="120"/>
        <w:ind w:left="426" w:hanging="426"/>
      </w:pPr>
      <w:r>
        <w:t>provide the commentary table in MS Word format.</w:t>
      </w:r>
    </w:p>
    <w:p w:rsidR="0001069D" w:rsidRDefault="0001069D" w:rsidP="00F976B3">
      <w:pPr>
        <w:pStyle w:val="Paragrapgh"/>
      </w:pPr>
      <w:r>
        <w:t>The commentary table m</w:t>
      </w:r>
      <w:r w:rsidR="00CE72AF">
        <w:t>ust be provided on an anonymous</w:t>
      </w:r>
      <w:r>
        <w:t xml:space="preserve"> basis and not contain any information (including in footnotes) which could identify or allow ready identification of the Qualifying Bidder or any member of the </w:t>
      </w:r>
      <w:r w:rsidR="00380C33">
        <w:t>Bidder Group</w:t>
      </w:r>
      <w:r>
        <w:t xml:space="preserve"> (if relevant).</w:t>
      </w:r>
    </w:p>
    <w:p w:rsidR="0001069D" w:rsidRDefault="0001069D" w:rsidP="0001069D">
      <w:pPr>
        <w:pStyle w:val="Paragrapgh"/>
        <w:spacing w:before="240"/>
      </w:pPr>
      <w:r>
        <w:t xml:space="preserve">Comments which are issues for Ofgem to address, including issues in relation to </w:t>
      </w:r>
      <w:r w:rsidR="001333CB">
        <w:t>the</w:t>
      </w:r>
      <w:r>
        <w:t xml:space="preserve"> Tender </w:t>
      </w:r>
      <w:r w:rsidR="001333CB">
        <w:t>Exercise</w:t>
      </w:r>
      <w:r>
        <w:t xml:space="preserve">, </w:t>
      </w:r>
      <w:r w:rsidR="001333CB">
        <w:t>Offshore</w:t>
      </w:r>
      <w:r>
        <w:t xml:space="preserve"> Transmission Licence or regulatory regime, should be raised as clarifications in accordance with the procedure set out in </w:t>
      </w:r>
      <w:r w:rsidR="00B5032D">
        <w:t>the section</w:t>
      </w:r>
      <w:r>
        <w:t xml:space="preserve"> </w:t>
      </w:r>
      <w:r w:rsidR="001333CB">
        <w:t>below</w:t>
      </w:r>
      <w:r>
        <w:t>.</w:t>
      </w:r>
    </w:p>
    <w:p w:rsidR="0001069D" w:rsidRDefault="0001069D" w:rsidP="0001069D">
      <w:pPr>
        <w:pStyle w:val="Paragrapgh"/>
        <w:spacing w:before="240"/>
      </w:pPr>
      <w:r>
        <w:t>Qualifying Bidders should be aware that failure to comply with instructions regarding the production of commentary tables may result in their comments not being passed to the Developer.</w:t>
      </w:r>
    </w:p>
    <w:p w:rsidR="00E6536D" w:rsidRDefault="00E6536D" w:rsidP="00486AF2">
      <w:pPr>
        <w:pStyle w:val="Heading1"/>
        <w:spacing w:before="360"/>
      </w:pPr>
      <w:bookmarkStart w:id="26" w:name="_Toc283819645"/>
      <w:r>
        <w:t>Clarifications</w:t>
      </w:r>
      <w:bookmarkEnd w:id="26"/>
    </w:p>
    <w:p w:rsidR="0027612A" w:rsidRDefault="00E6536D" w:rsidP="0027612A">
      <w:pPr>
        <w:pStyle w:val="Paragrapgh"/>
      </w:pPr>
      <w:r>
        <w:t>Ofgem's general approach to dealing with clarifications is set out in the Tender Rul</w:t>
      </w:r>
      <w:r w:rsidR="00CE72AF">
        <w:t xml:space="preserve">es. </w:t>
      </w:r>
      <w:r w:rsidR="00B8497D">
        <w:t>The following sections set</w:t>
      </w:r>
      <w:r>
        <w:t xml:space="preserve"> out Ofgem's appro</w:t>
      </w:r>
      <w:r w:rsidR="00B8497D">
        <w:t>ach to clarifications at</w:t>
      </w:r>
      <w:r w:rsidR="00537C92">
        <w:t xml:space="preserve"> the QTT</w:t>
      </w:r>
      <w:r>
        <w:t xml:space="preserve"> Stage.</w:t>
      </w:r>
    </w:p>
    <w:p w:rsidR="00E6536D" w:rsidRPr="006E1D09" w:rsidRDefault="00C307EC" w:rsidP="00FE4CD8">
      <w:pPr>
        <w:pStyle w:val="Heading2"/>
        <w:rPr>
          <w:color w:val="auto"/>
          <w:sz w:val="22"/>
          <w:szCs w:val="22"/>
        </w:rPr>
      </w:pPr>
      <w:bookmarkStart w:id="27" w:name="_Toc283819646"/>
      <w:r w:rsidRPr="006E1D09">
        <w:rPr>
          <w:color w:val="auto"/>
          <w:sz w:val="22"/>
          <w:szCs w:val="22"/>
        </w:rPr>
        <w:t xml:space="preserve">Qualifying </w:t>
      </w:r>
      <w:r w:rsidR="00E6536D" w:rsidRPr="006E1D09">
        <w:rPr>
          <w:color w:val="auto"/>
          <w:sz w:val="22"/>
          <w:szCs w:val="22"/>
        </w:rPr>
        <w:t>Bidder Clarifications</w:t>
      </w:r>
      <w:bookmarkEnd w:id="27"/>
    </w:p>
    <w:p w:rsidR="00E6536D" w:rsidRDefault="00C307EC" w:rsidP="008C3C3A">
      <w:pPr>
        <w:pStyle w:val="Paragrapgh"/>
        <w:rPr>
          <w:rFonts w:eastAsia="SimSun"/>
        </w:rPr>
      </w:pPr>
      <w:r>
        <w:rPr>
          <w:rFonts w:eastAsia="SimSun"/>
        </w:rPr>
        <w:t xml:space="preserve">Qualifying </w:t>
      </w:r>
      <w:r w:rsidR="00E6536D">
        <w:rPr>
          <w:rFonts w:eastAsia="SimSun"/>
        </w:rPr>
        <w:t>Bidders may seek clarifications from Ofgem in r</w:t>
      </w:r>
      <w:r w:rsidR="007537BF">
        <w:rPr>
          <w:rFonts w:eastAsia="SimSun"/>
        </w:rPr>
        <w:t>elation to any aspect of this QTT</w:t>
      </w:r>
      <w:r w:rsidR="00E6536D">
        <w:rPr>
          <w:rFonts w:eastAsia="SimSun"/>
        </w:rPr>
        <w:t xml:space="preserve"> Document or the in</w:t>
      </w:r>
      <w:r w:rsidR="00A205AE">
        <w:rPr>
          <w:rFonts w:eastAsia="SimSun"/>
        </w:rPr>
        <w:t xml:space="preserve">formation provided in the IMs. </w:t>
      </w:r>
      <w:r w:rsidR="00E6536D">
        <w:rPr>
          <w:rFonts w:eastAsia="SimSun"/>
        </w:rPr>
        <w:t xml:space="preserve">All such clarifications must be made by no </w:t>
      </w:r>
      <w:r w:rsidR="00E6536D" w:rsidRPr="00695AD5">
        <w:rPr>
          <w:rFonts w:eastAsia="SimSun"/>
        </w:rPr>
        <w:t xml:space="preserve">later than </w:t>
      </w:r>
      <w:r w:rsidR="00E53489" w:rsidRPr="00695AD5">
        <w:rPr>
          <w:rFonts w:eastAsia="SimSun"/>
        </w:rPr>
        <w:t>11 February</w:t>
      </w:r>
      <w:r w:rsidR="00E53489">
        <w:rPr>
          <w:rFonts w:eastAsia="SimSun"/>
        </w:rPr>
        <w:t xml:space="preserve"> 2011</w:t>
      </w:r>
      <w:r w:rsidR="00CE72AF">
        <w:rPr>
          <w:rFonts w:eastAsia="SimSun"/>
        </w:rPr>
        <w:t xml:space="preserve">. </w:t>
      </w:r>
      <w:r w:rsidR="00E6536D">
        <w:t xml:space="preserve">Any clarification requests submitted after this point cannot be assured of receiving a response prior to the </w:t>
      </w:r>
      <w:r w:rsidR="007537BF">
        <w:t>QTT</w:t>
      </w:r>
      <w:r w:rsidR="00E6536D">
        <w:t xml:space="preserve"> Submission deadline.</w:t>
      </w:r>
    </w:p>
    <w:p w:rsidR="00E6536D" w:rsidRDefault="00E6536D" w:rsidP="008C3C3A">
      <w:pPr>
        <w:pStyle w:val="Paragrapgh"/>
        <w:rPr>
          <w:rFonts w:eastAsia="SimSun"/>
        </w:rPr>
      </w:pPr>
      <w:r>
        <w:rPr>
          <w:rFonts w:eastAsia="SimSun"/>
        </w:rPr>
        <w:t xml:space="preserve"> Ofgem will endeavour to provide a response as soon as reasonably possible, although the timeframe within which it will respond will vary on a case-by-case basis depending on the nature of the clarification requested</w:t>
      </w:r>
      <w:r>
        <w:t xml:space="preserve">. </w:t>
      </w:r>
    </w:p>
    <w:p w:rsidR="00E6536D" w:rsidRDefault="00E6536D" w:rsidP="008C3C3A">
      <w:pPr>
        <w:pStyle w:val="Paragrapgh"/>
        <w:rPr>
          <w:rFonts w:eastAsia="SimSun"/>
        </w:rPr>
      </w:pPr>
      <w:r>
        <w:t xml:space="preserve">Ofgem may, where appropriate, forward a </w:t>
      </w:r>
      <w:r w:rsidR="00E53489">
        <w:t xml:space="preserve">Qualifying </w:t>
      </w:r>
      <w:r>
        <w:t xml:space="preserve">Bidder’s clarification request to the relevant Developer or to another third party (for example NGET) as </w:t>
      </w:r>
      <w:r w:rsidR="00CE72AF">
        <w:t xml:space="preserve">appropriate. </w:t>
      </w:r>
      <w:r>
        <w:t xml:space="preserve">Where it does so, </w:t>
      </w:r>
      <w:r>
        <w:rPr>
          <w:rFonts w:eastAsia="SimSun"/>
        </w:rPr>
        <w:t xml:space="preserve">the identity of the </w:t>
      </w:r>
      <w:r w:rsidR="00E53489">
        <w:rPr>
          <w:rFonts w:eastAsia="SimSun"/>
        </w:rPr>
        <w:t xml:space="preserve">Qualifying </w:t>
      </w:r>
      <w:r>
        <w:rPr>
          <w:rFonts w:eastAsia="SimSun"/>
        </w:rPr>
        <w:t>Bidder that raised the clarification will remain confidential.</w:t>
      </w:r>
      <w:r>
        <w:t xml:space="preserve"> In such an instance Ofgem will act as the intermediary in any clarification request, </w:t>
      </w:r>
      <w:r w:rsidR="00246DF6">
        <w:t>ie</w:t>
      </w:r>
      <w:r>
        <w:t xml:space="preserve"> the details of the clari</w:t>
      </w:r>
      <w:r w:rsidR="00B8497D">
        <w:t>fication and the response to it</w:t>
      </w:r>
      <w:r>
        <w:t xml:space="preserve"> will be managed and provided by Ofgem. </w:t>
      </w:r>
    </w:p>
    <w:p w:rsidR="00E6536D" w:rsidRDefault="00E6536D" w:rsidP="008C3C3A">
      <w:pPr>
        <w:pStyle w:val="Paragrapgh"/>
        <w:rPr>
          <w:rFonts w:eastAsia="SimSun"/>
        </w:rPr>
      </w:pPr>
      <w:r>
        <w:rPr>
          <w:rFonts w:eastAsia="SimSun"/>
        </w:rPr>
        <w:lastRenderedPageBreak/>
        <w:t xml:space="preserve">Ofgem's default position is, for reasons of transparency and fairness, to make responses to </w:t>
      </w:r>
      <w:r w:rsidR="00E53489">
        <w:rPr>
          <w:rFonts w:eastAsia="SimSun"/>
        </w:rPr>
        <w:t xml:space="preserve">Qualifying </w:t>
      </w:r>
      <w:r>
        <w:rPr>
          <w:rFonts w:eastAsia="SimSun"/>
        </w:rPr>
        <w:t>Bidder clarifications available on the Portal</w:t>
      </w:r>
      <w:r w:rsidR="00DE0D50">
        <w:rPr>
          <w:rFonts w:eastAsia="SimSun"/>
        </w:rPr>
        <w:t xml:space="preserve"> to all </w:t>
      </w:r>
      <w:r w:rsidR="00E53489">
        <w:rPr>
          <w:rFonts w:eastAsia="SimSun"/>
        </w:rPr>
        <w:t xml:space="preserve">Qualifying </w:t>
      </w:r>
      <w:r w:rsidR="00DE0D50">
        <w:rPr>
          <w:rFonts w:eastAsia="SimSun"/>
        </w:rPr>
        <w:t>Bidders</w:t>
      </w:r>
      <w:r w:rsidR="00CE72AF">
        <w:rPr>
          <w:rFonts w:eastAsia="SimSun"/>
        </w:rPr>
        <w:t xml:space="preserve">. </w:t>
      </w:r>
      <w:r>
        <w:rPr>
          <w:rFonts w:eastAsia="SimSun"/>
        </w:rPr>
        <w:t xml:space="preserve">Where Ofgem considers that a </w:t>
      </w:r>
      <w:r w:rsidR="00C307EC">
        <w:rPr>
          <w:rFonts w:eastAsia="SimSun"/>
        </w:rPr>
        <w:t xml:space="preserve">Qualifying </w:t>
      </w:r>
      <w:r>
        <w:rPr>
          <w:rFonts w:eastAsia="SimSun"/>
        </w:rPr>
        <w:t xml:space="preserve">Bidder's clarification is sufficiently specific and confidential, Ofgem may at its discretion opt to provide its response solely to that </w:t>
      </w:r>
      <w:r w:rsidR="00E53489">
        <w:rPr>
          <w:rFonts w:eastAsia="SimSun"/>
        </w:rPr>
        <w:t xml:space="preserve">Qualifying </w:t>
      </w:r>
      <w:r>
        <w:rPr>
          <w:rFonts w:eastAsia="SimSun"/>
        </w:rPr>
        <w:t>Bidder.</w:t>
      </w:r>
    </w:p>
    <w:p w:rsidR="00E6536D" w:rsidRPr="006E1D09" w:rsidRDefault="00E6536D" w:rsidP="00FE4CD8">
      <w:pPr>
        <w:pStyle w:val="Heading2"/>
        <w:rPr>
          <w:color w:val="auto"/>
          <w:sz w:val="22"/>
          <w:szCs w:val="22"/>
        </w:rPr>
      </w:pPr>
      <w:bookmarkStart w:id="28" w:name="_Toc283819647"/>
      <w:r w:rsidRPr="006E1D09">
        <w:rPr>
          <w:color w:val="auto"/>
          <w:sz w:val="22"/>
          <w:szCs w:val="22"/>
        </w:rPr>
        <w:t>Ofgem Clarifications</w:t>
      </w:r>
      <w:bookmarkEnd w:id="28"/>
    </w:p>
    <w:p w:rsidR="00E6536D" w:rsidRDefault="00E6536D" w:rsidP="001C7FC5">
      <w:pPr>
        <w:pStyle w:val="Paragrapgh"/>
      </w:pPr>
      <w:r>
        <w:rPr>
          <w:rFonts w:eastAsia="SimSun"/>
        </w:rPr>
        <w:t xml:space="preserve">In addition, Ofgem may issue a clarification request to a </w:t>
      </w:r>
      <w:r w:rsidR="00E53489">
        <w:rPr>
          <w:rFonts w:eastAsia="SimSun"/>
        </w:rPr>
        <w:t xml:space="preserve">Qualifying </w:t>
      </w:r>
      <w:r>
        <w:rPr>
          <w:rFonts w:eastAsia="SimSun"/>
        </w:rPr>
        <w:t xml:space="preserve">Bidder during the evaluation of </w:t>
      </w:r>
      <w:r w:rsidR="007537BF">
        <w:rPr>
          <w:rFonts w:eastAsia="SimSun"/>
        </w:rPr>
        <w:t>QTT</w:t>
      </w:r>
      <w:r>
        <w:rPr>
          <w:rFonts w:eastAsia="SimSun"/>
        </w:rPr>
        <w:t xml:space="preserve"> Submissions, </w:t>
      </w:r>
      <w:r>
        <w:t>for example where a response is unclear</w:t>
      </w:r>
      <w:r w:rsidR="00C40F20">
        <w:rPr>
          <w:rFonts w:eastAsia="SimSun"/>
        </w:rPr>
        <w:t xml:space="preserve">. </w:t>
      </w:r>
      <w:r w:rsidR="00E53489">
        <w:rPr>
          <w:rFonts w:eastAsia="SimSun"/>
        </w:rPr>
        <w:t xml:space="preserve">Qualifying </w:t>
      </w:r>
      <w:r>
        <w:rPr>
          <w:rFonts w:eastAsia="SimSun"/>
        </w:rPr>
        <w:t>Bidders must respond to clarification requests issued by Ofge</w:t>
      </w:r>
      <w:r w:rsidR="00CE72AF">
        <w:rPr>
          <w:rFonts w:eastAsia="SimSun"/>
        </w:rPr>
        <w:t xml:space="preserve">m within the period specified. </w:t>
      </w:r>
      <w:r>
        <w:rPr>
          <w:rFonts w:eastAsia="SimSun"/>
        </w:rPr>
        <w:t xml:space="preserve">Failure by a </w:t>
      </w:r>
      <w:r w:rsidR="00E53489">
        <w:rPr>
          <w:rFonts w:eastAsia="SimSun"/>
        </w:rPr>
        <w:t xml:space="preserve">Qualifying </w:t>
      </w:r>
      <w:r>
        <w:rPr>
          <w:rFonts w:eastAsia="SimSun"/>
        </w:rPr>
        <w:t xml:space="preserve">Bidder to respond to a clarification request within the period specified risks the issue under clarification or the clarification response submitted late not being considered as part of Ofgem’s evaluation of their </w:t>
      </w:r>
      <w:r w:rsidR="007537BF">
        <w:rPr>
          <w:rFonts w:eastAsia="SimSun"/>
        </w:rPr>
        <w:t>QTT</w:t>
      </w:r>
      <w:r>
        <w:rPr>
          <w:rFonts w:eastAsia="SimSun"/>
        </w:rPr>
        <w:t xml:space="preserve"> Submission.</w:t>
      </w:r>
    </w:p>
    <w:p w:rsidR="00E6536D" w:rsidRDefault="00E6536D">
      <w:pPr>
        <w:pStyle w:val="Paragrapgh"/>
        <w:numPr>
          <w:ilvl w:val="0"/>
          <w:numId w:val="0"/>
        </w:numPr>
      </w:pPr>
    </w:p>
    <w:p w:rsidR="00E6536D" w:rsidRPr="00696743" w:rsidRDefault="00486AF2" w:rsidP="00696743">
      <w:pPr>
        <w:pStyle w:val="ChapterHeading"/>
      </w:pPr>
      <w:bookmarkStart w:id="29" w:name="_Toc283819648"/>
      <w:r>
        <w:lastRenderedPageBreak/>
        <w:t>QTT</w:t>
      </w:r>
      <w:r w:rsidR="00E6536D" w:rsidRPr="00696743">
        <w:t xml:space="preserve"> Questionnaire</w:t>
      </w:r>
      <w:bookmarkEnd w:id="29"/>
    </w:p>
    <w:p w:rsidR="00A55854" w:rsidRDefault="00A55854" w:rsidP="00A55854">
      <w:pPr>
        <w:pStyle w:val="Paragrapgh"/>
        <w:numPr>
          <w:ilvl w:val="0"/>
          <w:numId w:val="0"/>
        </w:numPr>
        <w:spacing w:before="0" w:after="0"/>
        <w:contextualSpacing/>
      </w:pPr>
    </w:p>
    <w:p w:rsidR="00A55854" w:rsidRPr="00A55854" w:rsidRDefault="00A55854" w:rsidP="00A55854">
      <w:pPr>
        <w:pStyle w:val="ChapterSummary"/>
        <w:numPr>
          <w:ilvl w:val="0"/>
          <w:numId w:val="0"/>
        </w:numPr>
        <w:rPr>
          <w:b/>
        </w:rPr>
      </w:pPr>
      <w:r w:rsidRPr="00A55854">
        <w:rPr>
          <w:b/>
        </w:rPr>
        <w:t>Section Summary</w:t>
      </w:r>
    </w:p>
    <w:p w:rsidR="00A55854" w:rsidRDefault="00A55854" w:rsidP="00A55854">
      <w:pPr>
        <w:pStyle w:val="ChapterSummary"/>
        <w:numPr>
          <w:ilvl w:val="0"/>
          <w:numId w:val="0"/>
        </w:numPr>
      </w:pPr>
    </w:p>
    <w:p w:rsidR="00A55854" w:rsidRDefault="008A4720" w:rsidP="00A55854">
      <w:pPr>
        <w:pStyle w:val="ChapterSummary"/>
        <w:numPr>
          <w:ilvl w:val="0"/>
          <w:numId w:val="0"/>
        </w:numPr>
      </w:pPr>
      <w:r>
        <w:t xml:space="preserve">This section </w:t>
      </w:r>
      <w:r w:rsidR="001C7FC5">
        <w:t>sets out the content of the</w:t>
      </w:r>
      <w:r>
        <w:t xml:space="preserve"> QTT</w:t>
      </w:r>
      <w:r w:rsidR="00A55854">
        <w:t xml:space="preserve"> Questionnaire.</w:t>
      </w:r>
    </w:p>
    <w:p w:rsidR="00A55854" w:rsidRDefault="00A55854" w:rsidP="00A55854">
      <w:pPr>
        <w:pStyle w:val="ChapterSummary"/>
        <w:numPr>
          <w:ilvl w:val="0"/>
          <w:numId w:val="0"/>
        </w:numPr>
      </w:pPr>
    </w:p>
    <w:p w:rsidR="008A0BCA" w:rsidRDefault="00B8497D" w:rsidP="00B8497D">
      <w:pPr>
        <w:pStyle w:val="Paragrapgh"/>
      </w:pPr>
      <w:r>
        <w:t>The</w:t>
      </w:r>
      <w:r w:rsidR="008A0BCA">
        <w:t xml:space="preserve"> QTT Questionnaire sets out the information that </w:t>
      </w:r>
      <w:r w:rsidR="00C307EC">
        <w:t xml:space="preserve">Qualifying </w:t>
      </w:r>
      <w:r w:rsidR="008A0BCA">
        <w:t>Bidders are required to return in their QTT Submission</w:t>
      </w:r>
      <w:r w:rsidR="00CE72AF">
        <w:t>(s)</w:t>
      </w:r>
      <w:r w:rsidR="008A0BCA">
        <w:t>.</w:t>
      </w:r>
    </w:p>
    <w:p w:rsidR="008A0BCA" w:rsidRDefault="008A0BCA" w:rsidP="00B8497D">
      <w:pPr>
        <w:pStyle w:val="Paragrapgh"/>
      </w:pPr>
      <w:r>
        <w:t>All questions are numbered. Qualifying Bidders should provide responses to these questions in the corresponding numbered response template on the Portal.</w:t>
      </w:r>
    </w:p>
    <w:p w:rsidR="00410657" w:rsidRDefault="008A4720" w:rsidP="00B8497D">
      <w:pPr>
        <w:pStyle w:val="Paragrapgh"/>
      </w:pPr>
      <w:r>
        <w:t>The QTT</w:t>
      </w:r>
      <w:r w:rsidR="00410657">
        <w:t xml:space="preserve"> Questionnaire is structured into the following sections:</w:t>
      </w:r>
    </w:p>
    <w:tbl>
      <w:tblPr>
        <w:tblStyle w:val="TableGrid"/>
        <w:tblW w:w="8647" w:type="dxa"/>
        <w:tblInd w:w="108" w:type="dxa"/>
        <w:tblLook w:val="04A0"/>
      </w:tblPr>
      <w:tblGrid>
        <w:gridCol w:w="1418"/>
        <w:gridCol w:w="7229"/>
      </w:tblGrid>
      <w:tr w:rsidR="00410657" w:rsidTr="00410657">
        <w:tc>
          <w:tcPr>
            <w:tcW w:w="1418" w:type="dxa"/>
          </w:tcPr>
          <w:p w:rsidR="00410657" w:rsidRDefault="00410657" w:rsidP="00410657">
            <w:pPr>
              <w:pStyle w:val="Appendixtext-Numbered"/>
              <w:numPr>
                <w:ilvl w:val="0"/>
                <w:numId w:val="0"/>
              </w:numPr>
              <w:spacing w:before="0" w:after="0"/>
              <w:contextualSpacing/>
            </w:pPr>
            <w:r>
              <w:t xml:space="preserve">Section 1 </w:t>
            </w:r>
          </w:p>
        </w:tc>
        <w:tc>
          <w:tcPr>
            <w:tcW w:w="7229" w:type="dxa"/>
          </w:tcPr>
          <w:p w:rsidR="00410657" w:rsidRDefault="00485EEF" w:rsidP="00410657">
            <w:pPr>
              <w:pStyle w:val="Appendixtext-Numbered"/>
              <w:numPr>
                <w:ilvl w:val="0"/>
                <w:numId w:val="0"/>
              </w:numPr>
              <w:spacing w:before="0" w:after="0"/>
              <w:contextualSpacing/>
            </w:pPr>
            <w:r>
              <w:t>Confirmation of PQ Submission</w:t>
            </w:r>
          </w:p>
        </w:tc>
      </w:tr>
      <w:tr w:rsidR="00410657" w:rsidTr="00410657">
        <w:tc>
          <w:tcPr>
            <w:tcW w:w="1418" w:type="dxa"/>
          </w:tcPr>
          <w:p w:rsidR="00410657" w:rsidRDefault="00410657" w:rsidP="00410657">
            <w:pPr>
              <w:pStyle w:val="Appendixtext-Numbered"/>
              <w:numPr>
                <w:ilvl w:val="0"/>
                <w:numId w:val="0"/>
              </w:numPr>
              <w:spacing w:before="0" w:after="0"/>
              <w:contextualSpacing/>
            </w:pPr>
            <w:r>
              <w:t>Section 2</w:t>
            </w:r>
          </w:p>
        </w:tc>
        <w:tc>
          <w:tcPr>
            <w:tcW w:w="7229" w:type="dxa"/>
          </w:tcPr>
          <w:p w:rsidR="00410657" w:rsidRDefault="00485EEF" w:rsidP="00410657">
            <w:pPr>
              <w:pStyle w:val="Appendixtext-Numbered"/>
              <w:numPr>
                <w:ilvl w:val="0"/>
                <w:numId w:val="0"/>
              </w:numPr>
              <w:spacing w:before="0" w:after="0"/>
              <w:contextualSpacing/>
            </w:pPr>
            <w:r>
              <w:t>Relevant Qualifying Project</w:t>
            </w:r>
          </w:p>
        </w:tc>
      </w:tr>
      <w:tr w:rsidR="00410657" w:rsidTr="00410657">
        <w:tc>
          <w:tcPr>
            <w:tcW w:w="1418" w:type="dxa"/>
          </w:tcPr>
          <w:p w:rsidR="00410657" w:rsidRDefault="00410657" w:rsidP="00410657">
            <w:pPr>
              <w:pStyle w:val="Appendixtext-Numbered"/>
              <w:numPr>
                <w:ilvl w:val="0"/>
                <w:numId w:val="0"/>
              </w:numPr>
              <w:spacing w:before="0" w:after="0"/>
              <w:contextualSpacing/>
            </w:pPr>
            <w:r>
              <w:t>Section 3</w:t>
            </w:r>
          </w:p>
        </w:tc>
        <w:tc>
          <w:tcPr>
            <w:tcW w:w="7229" w:type="dxa"/>
          </w:tcPr>
          <w:p w:rsidR="00410657" w:rsidRDefault="00485EEF" w:rsidP="00410657">
            <w:pPr>
              <w:pStyle w:val="Appendixtext-Numbered"/>
              <w:numPr>
                <w:ilvl w:val="0"/>
                <w:numId w:val="0"/>
              </w:numPr>
              <w:spacing w:before="0" w:after="0"/>
              <w:contextualSpacing/>
            </w:pPr>
            <w:r>
              <w:t>Project IRR and Tender Revenue Stream</w:t>
            </w:r>
          </w:p>
        </w:tc>
      </w:tr>
      <w:tr w:rsidR="00410657" w:rsidTr="00410657">
        <w:tc>
          <w:tcPr>
            <w:tcW w:w="1418" w:type="dxa"/>
          </w:tcPr>
          <w:p w:rsidR="00410657" w:rsidRDefault="00410657" w:rsidP="00410657">
            <w:pPr>
              <w:pStyle w:val="Appendixtext-Numbered"/>
              <w:numPr>
                <w:ilvl w:val="0"/>
                <w:numId w:val="0"/>
              </w:numPr>
              <w:spacing w:before="0" w:after="0"/>
              <w:contextualSpacing/>
            </w:pPr>
            <w:r>
              <w:t>Section 4</w:t>
            </w:r>
          </w:p>
        </w:tc>
        <w:tc>
          <w:tcPr>
            <w:tcW w:w="7229" w:type="dxa"/>
          </w:tcPr>
          <w:p w:rsidR="00410657" w:rsidRDefault="00485EEF" w:rsidP="00410657">
            <w:pPr>
              <w:pStyle w:val="Appendixtext-Numbered"/>
              <w:numPr>
                <w:ilvl w:val="0"/>
                <w:numId w:val="0"/>
              </w:numPr>
              <w:spacing w:before="0" w:after="0"/>
              <w:contextualSpacing/>
            </w:pPr>
            <w:r>
              <w:t>Financing Strategy</w:t>
            </w:r>
          </w:p>
        </w:tc>
      </w:tr>
      <w:tr w:rsidR="00410657" w:rsidTr="00410657">
        <w:tc>
          <w:tcPr>
            <w:tcW w:w="1418" w:type="dxa"/>
          </w:tcPr>
          <w:p w:rsidR="00410657" w:rsidRDefault="00410657" w:rsidP="00410657">
            <w:pPr>
              <w:pStyle w:val="Appendixtext-Numbered"/>
              <w:numPr>
                <w:ilvl w:val="0"/>
                <w:numId w:val="0"/>
              </w:numPr>
              <w:spacing w:before="0" w:after="0"/>
              <w:contextualSpacing/>
            </w:pPr>
            <w:r>
              <w:t>Section 5</w:t>
            </w:r>
          </w:p>
        </w:tc>
        <w:tc>
          <w:tcPr>
            <w:tcW w:w="7229" w:type="dxa"/>
          </w:tcPr>
          <w:p w:rsidR="00410657" w:rsidRDefault="00485EEF" w:rsidP="00410657">
            <w:pPr>
              <w:pStyle w:val="Appendixtext-Numbered"/>
              <w:numPr>
                <w:ilvl w:val="0"/>
                <w:numId w:val="0"/>
              </w:numPr>
              <w:spacing w:before="0" w:after="0"/>
              <w:contextualSpacing/>
            </w:pPr>
            <w:r>
              <w:t>Financial and Commercial Risk Management</w:t>
            </w:r>
          </w:p>
        </w:tc>
      </w:tr>
      <w:tr w:rsidR="00410657" w:rsidTr="00410657">
        <w:tc>
          <w:tcPr>
            <w:tcW w:w="1418" w:type="dxa"/>
          </w:tcPr>
          <w:p w:rsidR="00410657" w:rsidRDefault="00410657" w:rsidP="00410657">
            <w:pPr>
              <w:pStyle w:val="Appendixtext-Numbered"/>
              <w:numPr>
                <w:ilvl w:val="0"/>
                <w:numId w:val="0"/>
              </w:numPr>
              <w:spacing w:before="0" w:after="0"/>
              <w:contextualSpacing/>
            </w:pPr>
            <w:r>
              <w:t>Section 6</w:t>
            </w:r>
          </w:p>
        </w:tc>
        <w:tc>
          <w:tcPr>
            <w:tcW w:w="7229" w:type="dxa"/>
          </w:tcPr>
          <w:p w:rsidR="00410657" w:rsidRDefault="00485EEF" w:rsidP="00505048">
            <w:pPr>
              <w:pStyle w:val="Appendixtext-Numbered"/>
              <w:numPr>
                <w:ilvl w:val="0"/>
                <w:numId w:val="0"/>
              </w:numPr>
              <w:spacing w:before="0" w:after="0"/>
              <w:contextualSpacing/>
            </w:pPr>
            <w:r>
              <w:t>Shareholding/</w:t>
            </w:r>
            <w:r w:rsidR="00505048">
              <w:t>Bidder Group</w:t>
            </w:r>
            <w:r>
              <w:t xml:space="preserve"> Structure</w:t>
            </w:r>
          </w:p>
        </w:tc>
      </w:tr>
      <w:tr w:rsidR="00410657" w:rsidTr="00410657">
        <w:tc>
          <w:tcPr>
            <w:tcW w:w="1418" w:type="dxa"/>
          </w:tcPr>
          <w:p w:rsidR="00410657" w:rsidRDefault="00410657" w:rsidP="00410657">
            <w:pPr>
              <w:pStyle w:val="Appendixtext-Numbered"/>
              <w:numPr>
                <w:ilvl w:val="0"/>
                <w:numId w:val="0"/>
              </w:numPr>
              <w:spacing w:before="0" w:after="0"/>
              <w:contextualSpacing/>
            </w:pPr>
            <w:r>
              <w:t>Section 7</w:t>
            </w:r>
          </w:p>
        </w:tc>
        <w:tc>
          <w:tcPr>
            <w:tcW w:w="7229" w:type="dxa"/>
          </w:tcPr>
          <w:p w:rsidR="00410657" w:rsidRDefault="00430846" w:rsidP="00A55854">
            <w:pPr>
              <w:pStyle w:val="Appendixtext-Numbered"/>
              <w:numPr>
                <w:ilvl w:val="0"/>
                <w:numId w:val="0"/>
              </w:numPr>
              <w:spacing w:before="0" w:after="0"/>
              <w:contextualSpacing/>
            </w:pPr>
            <w:r>
              <w:t>Proposed Takeover Plan</w:t>
            </w:r>
          </w:p>
        </w:tc>
      </w:tr>
      <w:tr w:rsidR="00485EEF" w:rsidTr="00410657">
        <w:tc>
          <w:tcPr>
            <w:tcW w:w="1418" w:type="dxa"/>
          </w:tcPr>
          <w:p w:rsidR="00485EEF" w:rsidRDefault="00D600A4" w:rsidP="00410657">
            <w:pPr>
              <w:pStyle w:val="Appendixtext-Numbered"/>
              <w:numPr>
                <w:ilvl w:val="0"/>
                <w:numId w:val="0"/>
              </w:numPr>
              <w:spacing w:before="0" w:after="0"/>
              <w:contextualSpacing/>
            </w:pPr>
            <w:r>
              <w:t>Section 8</w:t>
            </w:r>
          </w:p>
        </w:tc>
        <w:tc>
          <w:tcPr>
            <w:tcW w:w="7229" w:type="dxa"/>
          </w:tcPr>
          <w:p w:rsidR="00485EEF" w:rsidRDefault="00430846" w:rsidP="008A08EA">
            <w:pPr>
              <w:pStyle w:val="Appendixtext-Numbered"/>
              <w:numPr>
                <w:ilvl w:val="0"/>
                <w:numId w:val="0"/>
              </w:numPr>
              <w:spacing w:before="0" w:after="0"/>
              <w:contextualSpacing/>
            </w:pPr>
            <w:r>
              <w:t>Management and Operational Capability Statement</w:t>
            </w:r>
          </w:p>
        </w:tc>
      </w:tr>
      <w:tr w:rsidR="00485EEF" w:rsidTr="00410657">
        <w:tc>
          <w:tcPr>
            <w:tcW w:w="1418" w:type="dxa"/>
          </w:tcPr>
          <w:p w:rsidR="00485EEF" w:rsidRDefault="00D600A4" w:rsidP="00410657">
            <w:pPr>
              <w:pStyle w:val="Appendixtext-Numbered"/>
              <w:numPr>
                <w:ilvl w:val="0"/>
                <w:numId w:val="0"/>
              </w:numPr>
              <w:spacing w:before="0" w:after="0"/>
              <w:contextualSpacing/>
            </w:pPr>
            <w:r>
              <w:t xml:space="preserve">Section 9 </w:t>
            </w:r>
          </w:p>
        </w:tc>
        <w:tc>
          <w:tcPr>
            <w:tcW w:w="7229" w:type="dxa"/>
          </w:tcPr>
          <w:p w:rsidR="00485EEF" w:rsidRDefault="00D600A4" w:rsidP="00A55854">
            <w:pPr>
              <w:pStyle w:val="Appendixtext-Numbered"/>
              <w:numPr>
                <w:ilvl w:val="0"/>
                <w:numId w:val="0"/>
              </w:numPr>
              <w:spacing w:before="0" w:after="0"/>
              <w:contextualSpacing/>
            </w:pPr>
            <w:r>
              <w:t>Transfer Agreement</w:t>
            </w:r>
          </w:p>
        </w:tc>
      </w:tr>
      <w:tr w:rsidR="00485EEF" w:rsidTr="00410657">
        <w:tc>
          <w:tcPr>
            <w:tcW w:w="1418" w:type="dxa"/>
          </w:tcPr>
          <w:p w:rsidR="00485EEF" w:rsidRDefault="00D600A4" w:rsidP="00410657">
            <w:pPr>
              <w:pStyle w:val="Appendixtext-Numbered"/>
              <w:numPr>
                <w:ilvl w:val="0"/>
                <w:numId w:val="0"/>
              </w:numPr>
              <w:spacing w:before="0" w:after="0"/>
              <w:contextualSpacing/>
            </w:pPr>
            <w:r>
              <w:t>Section 10</w:t>
            </w:r>
          </w:p>
        </w:tc>
        <w:tc>
          <w:tcPr>
            <w:tcW w:w="7229" w:type="dxa"/>
          </w:tcPr>
          <w:p w:rsidR="00485EEF" w:rsidRDefault="006D306E" w:rsidP="00A55854">
            <w:pPr>
              <w:pStyle w:val="Appendixtext-Numbered"/>
              <w:numPr>
                <w:ilvl w:val="0"/>
                <w:numId w:val="0"/>
              </w:numPr>
              <w:spacing w:before="0" w:after="0"/>
              <w:contextualSpacing/>
            </w:pPr>
            <w:r>
              <w:t xml:space="preserve">QTT </w:t>
            </w:r>
            <w:r w:rsidR="00D600A4">
              <w:t>Certificate</w:t>
            </w:r>
          </w:p>
        </w:tc>
      </w:tr>
      <w:tr w:rsidR="00485EEF" w:rsidTr="00410657">
        <w:tc>
          <w:tcPr>
            <w:tcW w:w="1418" w:type="dxa"/>
          </w:tcPr>
          <w:p w:rsidR="00485EEF" w:rsidRDefault="00D600A4" w:rsidP="00410657">
            <w:pPr>
              <w:pStyle w:val="Appendixtext-Numbered"/>
              <w:numPr>
                <w:ilvl w:val="0"/>
                <w:numId w:val="0"/>
              </w:numPr>
              <w:spacing w:before="0" w:after="0"/>
              <w:contextualSpacing/>
            </w:pPr>
            <w:r>
              <w:t>Section 11</w:t>
            </w:r>
          </w:p>
        </w:tc>
        <w:tc>
          <w:tcPr>
            <w:tcW w:w="7229" w:type="dxa"/>
          </w:tcPr>
          <w:p w:rsidR="00485EEF" w:rsidRDefault="00D600A4" w:rsidP="00A55854">
            <w:pPr>
              <w:pStyle w:val="Appendixtext-Numbered"/>
              <w:numPr>
                <w:ilvl w:val="0"/>
                <w:numId w:val="0"/>
              </w:numPr>
              <w:spacing w:before="0" w:after="0"/>
              <w:contextualSpacing/>
            </w:pPr>
            <w:r>
              <w:t>Confidentiality</w:t>
            </w:r>
          </w:p>
        </w:tc>
      </w:tr>
    </w:tbl>
    <w:p w:rsidR="00C27194" w:rsidRDefault="00C27194" w:rsidP="008C3C3A">
      <w:pPr>
        <w:pStyle w:val="Paragrapgh"/>
      </w:pPr>
      <w:r>
        <w:t>Qualifying Bidders are required to tailor their response</w:t>
      </w:r>
      <w:r w:rsidR="00232740">
        <w:t>s</w:t>
      </w:r>
      <w:r>
        <w:t xml:space="preserve"> to the specific characteristics of the relevant Qualifying Project, based on the information available. Ofgem recognises however that in some instances, responses to certain questions may be the same, and not dependent on a particular Qualifying Project. Where a Qualifying Bidder is bidding for more than one Qualifying Project and the response to a particular question(s) is the same across Qualifying Projects, the Qualifying Bidder is requested to indicate this in the respective field on the response template.</w:t>
      </w:r>
    </w:p>
    <w:p w:rsidR="00D600A4" w:rsidRDefault="00D600A4" w:rsidP="003079A8">
      <w:pPr>
        <w:pStyle w:val="Paragrapgh"/>
      </w:pPr>
      <w:r>
        <w:t>References throughou</w:t>
      </w:r>
      <w:r w:rsidR="00CE72AF">
        <w:t>t the QTT Questionnaire to the ‘relevant Qualifying Project’</w:t>
      </w:r>
      <w:r>
        <w:t xml:space="preserve"> are to the Qualifying Pr</w:t>
      </w:r>
      <w:r w:rsidR="00954AA4">
        <w:t>oject nominated in response to S</w:t>
      </w:r>
      <w:r>
        <w:t>ection 2</w:t>
      </w:r>
      <w:r w:rsidR="00954AA4">
        <w:t xml:space="preserve"> of the QTT Questionnaire</w:t>
      </w:r>
      <w:r>
        <w:t>.</w:t>
      </w:r>
      <w:r w:rsidR="003079A8">
        <w:t xml:space="preserve"> </w:t>
      </w:r>
      <w:r>
        <w:t>References throu</w:t>
      </w:r>
      <w:r w:rsidR="004B5978">
        <w:t>ghout the QTT Questionnaire to ‘</w:t>
      </w:r>
      <w:r>
        <w:t>y</w:t>
      </w:r>
      <w:r w:rsidR="004B5978">
        <w:t>ou’ and ‘your’</w:t>
      </w:r>
      <w:r>
        <w:t xml:space="preserve"> are to the Qualifying </w:t>
      </w:r>
      <w:r w:rsidR="00CD3E5D">
        <w:t>Bidder</w:t>
      </w:r>
      <w:r>
        <w:t>.</w:t>
      </w:r>
      <w:r w:rsidR="00F067E5">
        <w:t xml:space="preserve"> </w:t>
      </w:r>
    </w:p>
    <w:p w:rsidR="00D600A4" w:rsidRDefault="00D600A4" w:rsidP="00410657">
      <w:pPr>
        <w:pStyle w:val="Paragrapgh"/>
        <w:spacing w:before="0" w:after="0"/>
        <w:contextualSpacing/>
      </w:pPr>
      <w:r>
        <w:t xml:space="preserve">The expectation is that in providing responses to the </w:t>
      </w:r>
      <w:r w:rsidR="00B8497D">
        <w:t xml:space="preserve">QTT </w:t>
      </w:r>
      <w:r>
        <w:t>Questionnaire</w:t>
      </w:r>
      <w:r w:rsidR="0047490E">
        <w:t>,</w:t>
      </w:r>
      <w:r>
        <w:t xml:space="preserve"> Qualifying </w:t>
      </w:r>
      <w:r w:rsidR="00CD3E5D">
        <w:t>Bidder</w:t>
      </w:r>
      <w:r>
        <w:t xml:space="preserve">s will focus their answers on proposed approaches, using citations of relevant experience only to substantiate/evidence the viability or robustness of the proposed approach. Qualifying </w:t>
      </w:r>
      <w:r w:rsidR="00CD3E5D">
        <w:t>Bidder</w:t>
      </w:r>
      <w:r>
        <w:t>s should not provide responses that solely comprise citations.</w:t>
      </w:r>
    </w:p>
    <w:p w:rsidR="00B8497D" w:rsidRDefault="00456230" w:rsidP="00B8497D">
      <w:pPr>
        <w:pStyle w:val="Paragrapgh"/>
      </w:pPr>
      <w:r>
        <w:lastRenderedPageBreak/>
        <w:t>The requirements for Sections 1 to 11</w:t>
      </w:r>
      <w:r w:rsidR="00B8497D">
        <w:t xml:space="preserve"> of the QTT Questionnaire are set out below.</w:t>
      </w:r>
    </w:p>
    <w:p w:rsidR="00410657" w:rsidRPr="00B22327" w:rsidRDefault="005C34AE" w:rsidP="00410657">
      <w:pPr>
        <w:pStyle w:val="Paragrapgh"/>
        <w:spacing w:before="0" w:after="0"/>
        <w:contextualSpacing/>
      </w:pPr>
      <w:r>
        <w:t xml:space="preserve">In addition to providing </w:t>
      </w:r>
      <w:r w:rsidR="00CE72AF">
        <w:t>information in response to the question(s) within each</w:t>
      </w:r>
      <w:r>
        <w:t xml:space="preserve"> </w:t>
      </w:r>
      <w:r w:rsidR="00CE72AF">
        <w:t>section</w:t>
      </w:r>
      <w:r>
        <w:t xml:space="preserve">, </w:t>
      </w:r>
      <w:r w:rsidR="00B22327">
        <w:t xml:space="preserve">Qualifying </w:t>
      </w:r>
      <w:r>
        <w:t>Bidders are required to sign and return the QTT Ce</w:t>
      </w:r>
      <w:r w:rsidR="00B22327">
        <w:t>rtificate (included in Section 10</w:t>
      </w:r>
      <w:r>
        <w:t>)</w:t>
      </w:r>
      <w:r w:rsidR="00232740">
        <w:t xml:space="preserve"> as part of their QTT Submission</w:t>
      </w:r>
      <w:r>
        <w:t>.</w:t>
      </w:r>
      <w:r w:rsidR="00410657">
        <w:br w:type="page"/>
      </w:r>
    </w:p>
    <w:p w:rsidR="00410657" w:rsidRDefault="00410657" w:rsidP="001C7FC5">
      <w:pPr>
        <w:pStyle w:val="Heading1"/>
      </w:pPr>
      <w:bookmarkStart w:id="30" w:name="_Toc277259986"/>
      <w:bookmarkStart w:id="31" w:name="_Toc283819649"/>
      <w:r>
        <w:lastRenderedPageBreak/>
        <w:t xml:space="preserve">Section 1: </w:t>
      </w:r>
      <w:bookmarkEnd w:id="30"/>
      <w:r w:rsidR="00591934">
        <w:t>Confirmation of PQ</w:t>
      </w:r>
      <w:r w:rsidR="00D600A4">
        <w:t xml:space="preserve"> Submission</w:t>
      </w:r>
      <w:bookmarkEnd w:id="31"/>
    </w:p>
    <w:tbl>
      <w:tblPr>
        <w:tblStyle w:val="TableGrid"/>
        <w:tblW w:w="8897" w:type="dxa"/>
        <w:tblLook w:val="04A0"/>
      </w:tblPr>
      <w:tblGrid>
        <w:gridCol w:w="2943"/>
        <w:gridCol w:w="5954"/>
      </w:tblGrid>
      <w:tr w:rsidR="00354882" w:rsidTr="00854F0F">
        <w:tc>
          <w:tcPr>
            <w:tcW w:w="2943" w:type="dxa"/>
            <w:shd w:val="clear" w:color="auto" w:fill="F2F2F2" w:themeFill="background1" w:themeFillShade="F2"/>
          </w:tcPr>
          <w:p w:rsidR="00354882" w:rsidRDefault="00B8497D" w:rsidP="00AF47E4">
            <w:pPr>
              <w:pStyle w:val="Paragrapgh"/>
              <w:numPr>
                <w:ilvl w:val="0"/>
                <w:numId w:val="0"/>
              </w:numPr>
              <w:spacing w:before="120" w:after="120"/>
            </w:pPr>
            <w:r w:rsidRPr="00AF47E4">
              <w:rPr>
                <w:b/>
              </w:rPr>
              <w:t>[1A]</w:t>
            </w:r>
            <w:r>
              <w:t xml:space="preserve"> </w:t>
            </w:r>
            <w:r w:rsidR="00354882">
              <w:t>Name of Qu</w:t>
            </w:r>
            <w:r>
              <w:t>alifying Bidder or Bidder Group</w:t>
            </w:r>
            <w:r w:rsidR="00CE34C2">
              <w:t>:</w:t>
            </w:r>
          </w:p>
        </w:tc>
        <w:tc>
          <w:tcPr>
            <w:tcW w:w="5954" w:type="dxa"/>
          </w:tcPr>
          <w:p w:rsidR="00354882" w:rsidRDefault="00354882" w:rsidP="00AF47E4">
            <w:pPr>
              <w:pStyle w:val="Paragrapgh"/>
              <w:numPr>
                <w:ilvl w:val="0"/>
                <w:numId w:val="0"/>
              </w:numPr>
              <w:spacing w:before="120" w:after="120"/>
            </w:pPr>
          </w:p>
        </w:tc>
      </w:tr>
    </w:tbl>
    <w:p w:rsidR="00410657" w:rsidRPr="008379B5" w:rsidRDefault="00410657" w:rsidP="00410657">
      <w:pPr>
        <w:pStyle w:val="Paragrapgh"/>
        <w:numPr>
          <w:ilvl w:val="0"/>
          <w:numId w:val="0"/>
        </w:numPr>
        <w:spacing w:before="0" w:after="0"/>
        <w:contextualSpacing/>
        <w:rPr>
          <w:sz w:val="10"/>
          <w:szCs w:val="10"/>
        </w:rPr>
      </w:pPr>
    </w:p>
    <w:tbl>
      <w:tblPr>
        <w:tblStyle w:val="TableGrid"/>
        <w:tblW w:w="8897" w:type="dxa"/>
        <w:tblLook w:val="04A0"/>
      </w:tblPr>
      <w:tblGrid>
        <w:gridCol w:w="4361"/>
        <w:gridCol w:w="4536"/>
      </w:tblGrid>
      <w:tr w:rsidR="00354882" w:rsidTr="00854F0F">
        <w:tc>
          <w:tcPr>
            <w:tcW w:w="8897" w:type="dxa"/>
            <w:gridSpan w:val="2"/>
            <w:shd w:val="clear" w:color="auto" w:fill="F2F2F2" w:themeFill="background1" w:themeFillShade="F2"/>
          </w:tcPr>
          <w:p w:rsidR="00354882" w:rsidRDefault="00B8497D" w:rsidP="00AF47E4">
            <w:pPr>
              <w:pStyle w:val="Paragrapgh"/>
              <w:numPr>
                <w:ilvl w:val="0"/>
                <w:numId w:val="0"/>
              </w:numPr>
              <w:spacing w:before="120" w:after="120"/>
            </w:pPr>
            <w:r w:rsidRPr="00AF47E4">
              <w:rPr>
                <w:b/>
              </w:rPr>
              <w:t>[1B]</w:t>
            </w:r>
            <w:r>
              <w:t xml:space="preserve"> </w:t>
            </w:r>
            <w:r w:rsidR="00354882">
              <w:t>Please confirm whether the information provided in your PQ Submission has changed</w:t>
            </w:r>
            <w:r w:rsidR="00CE34C2">
              <w:t>:</w:t>
            </w:r>
          </w:p>
        </w:tc>
      </w:tr>
      <w:tr w:rsidR="00410657" w:rsidTr="00D70697">
        <w:trPr>
          <w:trHeight w:val="365"/>
        </w:trPr>
        <w:tc>
          <w:tcPr>
            <w:tcW w:w="4361" w:type="dxa"/>
            <w:shd w:val="clear" w:color="auto" w:fill="FFFFFF" w:themeFill="background1"/>
          </w:tcPr>
          <w:p w:rsidR="00410657" w:rsidRDefault="00D600A4" w:rsidP="00AF47E4">
            <w:pPr>
              <w:pStyle w:val="Paragrapgh"/>
              <w:numPr>
                <w:ilvl w:val="0"/>
                <w:numId w:val="0"/>
              </w:numPr>
              <w:spacing w:before="120" w:after="120"/>
            </w:pPr>
            <w:r>
              <w:t>Yes</w:t>
            </w:r>
          </w:p>
        </w:tc>
        <w:tc>
          <w:tcPr>
            <w:tcW w:w="4536" w:type="dxa"/>
          </w:tcPr>
          <w:p w:rsidR="00410657" w:rsidRDefault="00D600A4" w:rsidP="00AF47E4">
            <w:pPr>
              <w:pStyle w:val="Paragrapgh"/>
              <w:numPr>
                <w:ilvl w:val="0"/>
                <w:numId w:val="0"/>
              </w:numPr>
              <w:spacing w:before="120" w:after="120"/>
            </w:pPr>
            <w:r>
              <w:t>No</w:t>
            </w:r>
          </w:p>
        </w:tc>
      </w:tr>
    </w:tbl>
    <w:p w:rsidR="00410657" w:rsidRDefault="00410657" w:rsidP="00410657">
      <w:pPr>
        <w:pStyle w:val="Paragrapgh"/>
        <w:numPr>
          <w:ilvl w:val="0"/>
          <w:numId w:val="0"/>
        </w:numPr>
        <w:spacing w:before="0" w:after="0"/>
        <w:contextualSpacing/>
        <w:rPr>
          <w:sz w:val="10"/>
          <w:szCs w:val="10"/>
        </w:rPr>
      </w:pPr>
    </w:p>
    <w:p w:rsidR="00D70697" w:rsidRDefault="00D70697" w:rsidP="00410657">
      <w:pPr>
        <w:pStyle w:val="Paragrapgh"/>
        <w:numPr>
          <w:ilvl w:val="0"/>
          <w:numId w:val="0"/>
        </w:numPr>
        <w:spacing w:before="0" w:after="0"/>
        <w:contextualSpacing/>
        <w:rPr>
          <w:sz w:val="10"/>
          <w:szCs w:val="10"/>
        </w:rPr>
      </w:pPr>
    </w:p>
    <w:tbl>
      <w:tblPr>
        <w:tblStyle w:val="TableGrid"/>
        <w:tblW w:w="8897" w:type="dxa"/>
        <w:tblLook w:val="04A0"/>
      </w:tblPr>
      <w:tblGrid>
        <w:gridCol w:w="8897"/>
      </w:tblGrid>
      <w:tr w:rsidR="00354882" w:rsidTr="00854F0F">
        <w:tc>
          <w:tcPr>
            <w:tcW w:w="8897" w:type="dxa"/>
            <w:shd w:val="clear" w:color="auto" w:fill="F2F2F2" w:themeFill="background1" w:themeFillShade="F2"/>
          </w:tcPr>
          <w:p w:rsidR="00354882" w:rsidRDefault="00B8497D" w:rsidP="00AF47E4">
            <w:pPr>
              <w:pStyle w:val="Paragrapgh"/>
              <w:numPr>
                <w:ilvl w:val="0"/>
                <w:numId w:val="0"/>
              </w:numPr>
              <w:spacing w:before="120" w:after="120"/>
            </w:pPr>
            <w:r w:rsidRPr="00AF47E4">
              <w:rPr>
                <w:b/>
              </w:rPr>
              <w:t>[1C]</w:t>
            </w:r>
            <w:r>
              <w:t xml:space="preserve"> </w:t>
            </w:r>
            <w:r w:rsidR="00354882">
              <w:t>To the extent where any information has changed, please provide updated responses to the relevant question(s) in the PQ Questionnaire. Updated responses should be provided as a mark-up to the Qualifying Bidder’s original PQ Submission.</w:t>
            </w:r>
          </w:p>
          <w:p w:rsidR="00354882" w:rsidRDefault="00354882" w:rsidP="00AF47E4">
            <w:pPr>
              <w:pStyle w:val="Paragrapgh"/>
              <w:numPr>
                <w:ilvl w:val="0"/>
                <w:numId w:val="0"/>
              </w:numPr>
              <w:spacing w:before="120" w:after="120"/>
            </w:pPr>
            <w:r>
              <w:t>Please also provide below an overview of the information that has changed</w:t>
            </w:r>
            <w:r w:rsidR="00CE34C2">
              <w:t>.</w:t>
            </w:r>
          </w:p>
        </w:tc>
      </w:tr>
      <w:tr w:rsidR="00D70697" w:rsidTr="006957C9">
        <w:tc>
          <w:tcPr>
            <w:tcW w:w="8897" w:type="dxa"/>
          </w:tcPr>
          <w:p w:rsidR="00D70697" w:rsidRDefault="00D70697" w:rsidP="00AF47E4">
            <w:pPr>
              <w:pStyle w:val="Paragrapgh"/>
              <w:numPr>
                <w:ilvl w:val="0"/>
                <w:numId w:val="0"/>
              </w:numPr>
              <w:spacing w:before="120" w:after="120"/>
            </w:pPr>
          </w:p>
          <w:p w:rsidR="00D70697" w:rsidRDefault="00D70697" w:rsidP="00AF47E4">
            <w:pPr>
              <w:pStyle w:val="Paragrapgh"/>
              <w:numPr>
                <w:ilvl w:val="0"/>
                <w:numId w:val="0"/>
              </w:numPr>
              <w:spacing w:before="120" w:after="120"/>
            </w:pPr>
          </w:p>
          <w:p w:rsidR="00D70697" w:rsidRDefault="00D70697" w:rsidP="00AF47E4">
            <w:pPr>
              <w:pStyle w:val="Paragrapgh"/>
              <w:numPr>
                <w:ilvl w:val="0"/>
                <w:numId w:val="0"/>
              </w:numPr>
              <w:spacing w:before="120" w:after="120"/>
            </w:pPr>
          </w:p>
          <w:p w:rsidR="00D70697" w:rsidRDefault="00D70697" w:rsidP="00AF47E4">
            <w:pPr>
              <w:pStyle w:val="Paragrapgh"/>
              <w:numPr>
                <w:ilvl w:val="0"/>
                <w:numId w:val="0"/>
              </w:numPr>
              <w:spacing w:before="120" w:after="120"/>
            </w:pPr>
          </w:p>
          <w:p w:rsidR="00D70697" w:rsidRDefault="00D70697" w:rsidP="00AF47E4">
            <w:pPr>
              <w:pStyle w:val="Paragrapgh"/>
              <w:numPr>
                <w:ilvl w:val="0"/>
                <w:numId w:val="0"/>
              </w:numPr>
              <w:spacing w:before="120" w:after="120"/>
            </w:pPr>
          </w:p>
          <w:p w:rsidR="00D70697" w:rsidRDefault="00D70697" w:rsidP="00AF47E4">
            <w:pPr>
              <w:pStyle w:val="Paragrapgh"/>
              <w:numPr>
                <w:ilvl w:val="0"/>
                <w:numId w:val="0"/>
              </w:numPr>
              <w:spacing w:before="120" w:after="120"/>
            </w:pPr>
          </w:p>
          <w:p w:rsidR="00D70697" w:rsidRDefault="00D70697" w:rsidP="00AF47E4">
            <w:pPr>
              <w:pStyle w:val="Paragrapgh"/>
              <w:numPr>
                <w:ilvl w:val="0"/>
                <w:numId w:val="0"/>
              </w:numPr>
              <w:spacing w:before="120" w:after="120"/>
            </w:pPr>
          </w:p>
          <w:p w:rsidR="00D70697" w:rsidRDefault="00D70697" w:rsidP="00AF47E4">
            <w:pPr>
              <w:pStyle w:val="Paragrapgh"/>
              <w:numPr>
                <w:ilvl w:val="0"/>
                <w:numId w:val="0"/>
              </w:numPr>
              <w:spacing w:before="120" w:after="120"/>
            </w:pPr>
          </w:p>
          <w:p w:rsidR="00D70697" w:rsidRDefault="00D70697" w:rsidP="00AF47E4">
            <w:pPr>
              <w:pStyle w:val="Paragrapgh"/>
              <w:numPr>
                <w:ilvl w:val="0"/>
                <w:numId w:val="0"/>
              </w:numPr>
              <w:spacing w:before="120" w:after="120"/>
            </w:pPr>
          </w:p>
          <w:p w:rsidR="00D70697" w:rsidRDefault="00D70697" w:rsidP="00AF47E4">
            <w:pPr>
              <w:pStyle w:val="Paragrapgh"/>
              <w:numPr>
                <w:ilvl w:val="0"/>
                <w:numId w:val="0"/>
              </w:numPr>
              <w:spacing w:before="120" w:after="120"/>
            </w:pPr>
          </w:p>
          <w:p w:rsidR="00D70697" w:rsidRDefault="00D70697" w:rsidP="00AF47E4">
            <w:pPr>
              <w:pStyle w:val="Paragrapgh"/>
              <w:numPr>
                <w:ilvl w:val="0"/>
                <w:numId w:val="0"/>
              </w:numPr>
              <w:spacing w:before="120" w:after="120"/>
            </w:pPr>
          </w:p>
          <w:p w:rsidR="00D70697" w:rsidRDefault="00D70697" w:rsidP="00AF47E4">
            <w:pPr>
              <w:pStyle w:val="Paragrapgh"/>
              <w:numPr>
                <w:ilvl w:val="0"/>
                <w:numId w:val="0"/>
              </w:numPr>
              <w:spacing w:before="120" w:after="120"/>
            </w:pPr>
          </w:p>
          <w:p w:rsidR="00D70697" w:rsidRDefault="00D70697" w:rsidP="00AF47E4">
            <w:pPr>
              <w:pStyle w:val="Paragrapgh"/>
              <w:numPr>
                <w:ilvl w:val="0"/>
                <w:numId w:val="0"/>
              </w:numPr>
              <w:spacing w:before="120" w:after="120"/>
            </w:pPr>
          </w:p>
          <w:p w:rsidR="00D70697" w:rsidRDefault="00D70697" w:rsidP="00AF47E4">
            <w:pPr>
              <w:pStyle w:val="Paragrapgh"/>
              <w:numPr>
                <w:ilvl w:val="0"/>
                <w:numId w:val="0"/>
              </w:numPr>
              <w:spacing w:before="120" w:after="120"/>
            </w:pPr>
          </w:p>
          <w:p w:rsidR="00D70697" w:rsidRDefault="00D70697" w:rsidP="00AF47E4">
            <w:pPr>
              <w:pStyle w:val="Paragrapgh"/>
              <w:numPr>
                <w:ilvl w:val="0"/>
                <w:numId w:val="0"/>
              </w:numPr>
              <w:spacing w:before="120" w:after="120"/>
            </w:pPr>
          </w:p>
          <w:p w:rsidR="00D70697" w:rsidRDefault="00D70697" w:rsidP="00AF47E4">
            <w:pPr>
              <w:pStyle w:val="Paragrapgh"/>
              <w:numPr>
                <w:ilvl w:val="0"/>
                <w:numId w:val="0"/>
              </w:numPr>
              <w:spacing w:before="120" w:after="120"/>
            </w:pPr>
          </w:p>
        </w:tc>
      </w:tr>
    </w:tbl>
    <w:p w:rsidR="00410657" w:rsidRDefault="00410657" w:rsidP="00410657">
      <w:pPr>
        <w:rPr>
          <w:szCs w:val="20"/>
        </w:rPr>
      </w:pPr>
    </w:p>
    <w:p w:rsidR="00346C2E" w:rsidRDefault="00346C2E">
      <w:pPr>
        <w:rPr>
          <w:rFonts w:cs="Arial"/>
          <w:b/>
          <w:bCs/>
          <w:color w:val="333399"/>
          <w:sz w:val="24"/>
        </w:rPr>
      </w:pPr>
      <w:bookmarkStart w:id="32" w:name="_Toc277259987"/>
      <w:r>
        <w:br w:type="page"/>
      </w:r>
    </w:p>
    <w:p w:rsidR="00410657" w:rsidRDefault="00410657" w:rsidP="001C7FC5">
      <w:pPr>
        <w:pStyle w:val="Heading1"/>
      </w:pPr>
      <w:bookmarkStart w:id="33" w:name="_Toc283819650"/>
      <w:r>
        <w:lastRenderedPageBreak/>
        <w:t xml:space="preserve">Section 2: </w:t>
      </w:r>
      <w:bookmarkEnd w:id="32"/>
      <w:r w:rsidR="00F552D1">
        <w:t>Relevant Qualifying Project</w:t>
      </w:r>
      <w:bookmarkEnd w:id="33"/>
    </w:p>
    <w:tbl>
      <w:tblPr>
        <w:tblStyle w:val="TableGrid"/>
        <w:tblW w:w="8897" w:type="dxa"/>
        <w:tblLook w:val="04A0"/>
      </w:tblPr>
      <w:tblGrid>
        <w:gridCol w:w="8897"/>
      </w:tblGrid>
      <w:tr w:rsidR="00354882" w:rsidTr="00854F0F">
        <w:tc>
          <w:tcPr>
            <w:tcW w:w="8897" w:type="dxa"/>
            <w:shd w:val="clear" w:color="auto" w:fill="F2F2F2" w:themeFill="background1" w:themeFillShade="F2"/>
          </w:tcPr>
          <w:p w:rsidR="00354882" w:rsidRDefault="00B8497D" w:rsidP="00AF47E4">
            <w:pPr>
              <w:pStyle w:val="Paragrapgh"/>
              <w:numPr>
                <w:ilvl w:val="0"/>
                <w:numId w:val="0"/>
              </w:numPr>
              <w:spacing w:before="120" w:after="120"/>
            </w:pPr>
            <w:r w:rsidRPr="00AF47E4">
              <w:rPr>
                <w:b/>
              </w:rPr>
              <w:t>[2A]</w:t>
            </w:r>
            <w:r>
              <w:t xml:space="preserve"> </w:t>
            </w:r>
            <w:r w:rsidR="00354882">
              <w:t>Please st</w:t>
            </w:r>
            <w:r w:rsidR="00AC3689">
              <w:t>ate which Qualifying Project this</w:t>
            </w:r>
            <w:r w:rsidR="00354882">
              <w:t xml:space="preserve"> QTT Submission relates to</w:t>
            </w:r>
            <w:r w:rsidR="00CE34C2">
              <w:t>:</w:t>
            </w:r>
          </w:p>
        </w:tc>
      </w:tr>
      <w:tr w:rsidR="00F552D1" w:rsidTr="00F552D1">
        <w:trPr>
          <w:trHeight w:val="3101"/>
        </w:trPr>
        <w:tc>
          <w:tcPr>
            <w:tcW w:w="8897" w:type="dxa"/>
            <w:shd w:val="clear" w:color="auto" w:fill="FFFFFF" w:themeFill="background1"/>
          </w:tcPr>
          <w:p w:rsidR="00F552D1" w:rsidRDefault="00F552D1" w:rsidP="00AF47E4">
            <w:pPr>
              <w:pStyle w:val="Paragrapgh"/>
              <w:numPr>
                <w:ilvl w:val="0"/>
                <w:numId w:val="0"/>
              </w:numPr>
              <w:spacing w:before="120" w:after="120"/>
            </w:pPr>
          </w:p>
        </w:tc>
      </w:tr>
    </w:tbl>
    <w:p w:rsidR="00410657" w:rsidRDefault="00410657" w:rsidP="00410657">
      <w:pPr>
        <w:pStyle w:val="Text-bulleted"/>
        <w:numPr>
          <w:ilvl w:val="0"/>
          <w:numId w:val="0"/>
        </w:numPr>
        <w:ind w:left="360"/>
        <w:contextualSpacing/>
        <w:rPr>
          <w:sz w:val="10"/>
          <w:szCs w:val="10"/>
        </w:rPr>
      </w:pPr>
    </w:p>
    <w:p w:rsidR="00316D51" w:rsidRDefault="00316D51" w:rsidP="00410657">
      <w:pPr>
        <w:pStyle w:val="Text-bulleted"/>
        <w:numPr>
          <w:ilvl w:val="0"/>
          <w:numId w:val="0"/>
        </w:numPr>
        <w:ind w:left="360"/>
        <w:contextualSpacing/>
        <w:rPr>
          <w:sz w:val="10"/>
          <w:szCs w:val="10"/>
        </w:rPr>
      </w:pPr>
    </w:p>
    <w:p w:rsidR="00B30398" w:rsidRDefault="00B30398" w:rsidP="00316D51">
      <w:pPr>
        <w:pStyle w:val="Text-bulleted"/>
        <w:numPr>
          <w:ilvl w:val="0"/>
          <w:numId w:val="0"/>
        </w:numPr>
        <w:ind w:left="360" w:hanging="360"/>
        <w:contextualSpacing/>
        <w:rPr>
          <w:b/>
          <w:color w:val="333399"/>
          <w:sz w:val="24"/>
        </w:rPr>
      </w:pPr>
    </w:p>
    <w:p w:rsidR="00B30398" w:rsidRDefault="00B30398" w:rsidP="00316D51">
      <w:pPr>
        <w:pStyle w:val="Text-bulleted"/>
        <w:numPr>
          <w:ilvl w:val="0"/>
          <w:numId w:val="0"/>
        </w:numPr>
        <w:ind w:left="360" w:hanging="360"/>
        <w:contextualSpacing/>
        <w:rPr>
          <w:b/>
          <w:color w:val="333399"/>
          <w:sz w:val="24"/>
        </w:rPr>
      </w:pPr>
    </w:p>
    <w:p w:rsidR="00B30398" w:rsidRDefault="00B30398" w:rsidP="00316D51">
      <w:pPr>
        <w:pStyle w:val="Text-bulleted"/>
        <w:numPr>
          <w:ilvl w:val="0"/>
          <w:numId w:val="0"/>
        </w:numPr>
        <w:ind w:left="360" w:hanging="360"/>
        <w:contextualSpacing/>
        <w:rPr>
          <w:b/>
          <w:color w:val="333399"/>
          <w:sz w:val="24"/>
        </w:rPr>
      </w:pPr>
    </w:p>
    <w:p w:rsidR="00B30398" w:rsidRDefault="00B30398" w:rsidP="00316D51">
      <w:pPr>
        <w:pStyle w:val="Text-bulleted"/>
        <w:numPr>
          <w:ilvl w:val="0"/>
          <w:numId w:val="0"/>
        </w:numPr>
        <w:ind w:left="360" w:hanging="360"/>
        <w:contextualSpacing/>
        <w:rPr>
          <w:b/>
          <w:color w:val="333399"/>
          <w:sz w:val="24"/>
        </w:rPr>
      </w:pPr>
    </w:p>
    <w:p w:rsidR="00346C2E" w:rsidRPr="00346C2E" w:rsidRDefault="00346C2E">
      <w:pPr>
        <w:rPr>
          <w:b/>
          <w:color w:val="333399"/>
          <w:sz w:val="24"/>
        </w:rPr>
      </w:pPr>
    </w:p>
    <w:p w:rsidR="00346C2E" w:rsidRDefault="00346C2E">
      <w:pPr>
        <w:rPr>
          <w:rFonts w:cs="CGOmega-Regular"/>
          <w:b/>
          <w:color w:val="333399"/>
          <w:sz w:val="24"/>
        </w:rPr>
      </w:pPr>
      <w:r>
        <w:rPr>
          <w:b/>
          <w:color w:val="333399"/>
          <w:sz w:val="24"/>
        </w:rPr>
        <w:br w:type="page"/>
      </w:r>
    </w:p>
    <w:p w:rsidR="00316D51" w:rsidRPr="00FE4CD8" w:rsidRDefault="00316D51" w:rsidP="006E1D09">
      <w:pPr>
        <w:pStyle w:val="Heading1"/>
      </w:pPr>
      <w:bookmarkStart w:id="34" w:name="_Toc283819651"/>
      <w:r w:rsidRPr="00FE4CD8">
        <w:lastRenderedPageBreak/>
        <w:t>Section 3: Project IRR and Tender Revenue Stream</w:t>
      </w:r>
      <w:bookmarkEnd w:id="34"/>
    </w:p>
    <w:p w:rsidR="004457FE" w:rsidRPr="00B8629D" w:rsidRDefault="008861AB" w:rsidP="004457FE">
      <w:pPr>
        <w:pStyle w:val="Text-bulleted"/>
        <w:numPr>
          <w:ilvl w:val="0"/>
          <w:numId w:val="0"/>
        </w:numPr>
        <w:contextualSpacing/>
        <w:rPr>
          <w:rFonts w:cs="Times New Roman"/>
          <w:b/>
          <w:i/>
        </w:rPr>
      </w:pPr>
      <w:r w:rsidRPr="00B8629D">
        <w:rPr>
          <w:rFonts w:cs="Times New Roman"/>
          <w:b/>
          <w:i/>
        </w:rPr>
        <w:t>N</w:t>
      </w:r>
      <w:r w:rsidR="004457FE" w:rsidRPr="00B8629D">
        <w:rPr>
          <w:rFonts w:cs="Times New Roman"/>
          <w:b/>
          <w:i/>
        </w:rPr>
        <w:t xml:space="preserve">ote that </w:t>
      </w:r>
      <w:r w:rsidRPr="00B8629D">
        <w:rPr>
          <w:rFonts w:cs="Times New Roman"/>
          <w:b/>
          <w:i/>
        </w:rPr>
        <w:t xml:space="preserve">responses in relation to </w:t>
      </w:r>
      <w:r w:rsidR="007F4BDA" w:rsidRPr="00B8629D">
        <w:rPr>
          <w:rFonts w:cs="Times New Roman"/>
          <w:b/>
          <w:i/>
        </w:rPr>
        <w:t xml:space="preserve">this section </w:t>
      </w:r>
      <w:r w:rsidRPr="00B8629D">
        <w:rPr>
          <w:rFonts w:cs="Times New Roman"/>
          <w:b/>
          <w:i/>
        </w:rPr>
        <w:t xml:space="preserve">must be </w:t>
      </w:r>
      <w:r w:rsidR="004457FE" w:rsidRPr="00B8629D">
        <w:rPr>
          <w:rFonts w:cs="Times New Roman"/>
          <w:b/>
          <w:i/>
        </w:rPr>
        <w:t>submitted</w:t>
      </w:r>
      <w:r w:rsidRPr="00B8629D">
        <w:rPr>
          <w:rFonts w:cs="Times New Roman"/>
          <w:b/>
          <w:i/>
        </w:rPr>
        <w:t xml:space="preserve"> in the template</w:t>
      </w:r>
      <w:r w:rsidR="004457FE" w:rsidRPr="00B8629D">
        <w:rPr>
          <w:rFonts w:cs="Times New Roman"/>
          <w:b/>
          <w:i/>
        </w:rPr>
        <w:t xml:space="preserve"> provided by Ofgem, as set out within </w:t>
      </w:r>
      <w:r w:rsidR="004457FE" w:rsidRPr="00695AD5">
        <w:rPr>
          <w:rFonts w:cs="Times New Roman"/>
          <w:b/>
          <w:i/>
        </w:rPr>
        <w:t xml:space="preserve">Appendix </w:t>
      </w:r>
      <w:r w:rsidR="00F67441" w:rsidRPr="00695AD5">
        <w:rPr>
          <w:rFonts w:cs="Times New Roman"/>
          <w:b/>
          <w:i/>
        </w:rPr>
        <w:t>2</w:t>
      </w:r>
      <w:r w:rsidR="004457FE" w:rsidRPr="00695AD5">
        <w:rPr>
          <w:rFonts w:cs="Times New Roman"/>
          <w:b/>
          <w:i/>
        </w:rPr>
        <w:t>.</w:t>
      </w:r>
    </w:p>
    <w:p w:rsidR="00015C62" w:rsidRDefault="00015C62" w:rsidP="004457FE">
      <w:pPr>
        <w:pStyle w:val="Text-bulleted"/>
        <w:numPr>
          <w:ilvl w:val="0"/>
          <w:numId w:val="0"/>
        </w:numPr>
        <w:contextualSpacing/>
        <w:rPr>
          <w:rFonts w:cs="Times New Roman"/>
          <w:i/>
        </w:rPr>
      </w:pPr>
    </w:p>
    <w:p w:rsidR="00015C62" w:rsidRPr="00015C62" w:rsidRDefault="00015C62" w:rsidP="004457FE">
      <w:pPr>
        <w:pStyle w:val="Text-bulleted"/>
        <w:numPr>
          <w:ilvl w:val="0"/>
          <w:numId w:val="0"/>
        </w:numPr>
        <w:contextualSpacing/>
        <w:rPr>
          <w:rFonts w:cs="Times New Roman"/>
          <w:i/>
        </w:rPr>
      </w:pPr>
      <w:r w:rsidRPr="00015C62">
        <w:rPr>
          <w:i/>
        </w:rPr>
        <w:t>The statemen</w:t>
      </w:r>
      <w:r w:rsidR="00456230">
        <w:rPr>
          <w:i/>
        </w:rPr>
        <w:t>ts made in response to Section 3</w:t>
      </w:r>
      <w:r w:rsidRPr="00015C62">
        <w:rPr>
          <w:i/>
        </w:rPr>
        <w:t xml:space="preserve"> are not required to be a binding commitment for the ITT Stage. However, it should be noted that Ofgem is currently minded to treat [3A], the Project IRR proposed at the QTT Stage, as a cap. </w:t>
      </w:r>
      <w:r w:rsidR="00AC3689">
        <w:rPr>
          <w:i/>
        </w:rPr>
        <w:t>Ofgem</w:t>
      </w:r>
      <w:r w:rsidRPr="00F067E5">
        <w:rPr>
          <w:i/>
        </w:rPr>
        <w:t xml:space="preserve"> reserve the right to e</w:t>
      </w:r>
      <w:r w:rsidRPr="00015C62">
        <w:rPr>
          <w:i/>
        </w:rPr>
        <w:t>xclude you if the implied Project IRR you submit at the ITT Stage is above that proposed at the QTT Stage.</w:t>
      </w:r>
    </w:p>
    <w:p w:rsidR="008861AB" w:rsidRPr="00316D51" w:rsidRDefault="008861AB" w:rsidP="00316D51">
      <w:pPr>
        <w:pStyle w:val="Text-bulleted"/>
        <w:numPr>
          <w:ilvl w:val="0"/>
          <w:numId w:val="0"/>
        </w:numPr>
        <w:ind w:left="360" w:hanging="360"/>
        <w:contextualSpacing/>
        <w:rPr>
          <w:b/>
          <w:color w:val="333399"/>
          <w:sz w:val="24"/>
        </w:rPr>
      </w:pPr>
      <w:r>
        <w:rPr>
          <w:b/>
          <w:color w:val="333399"/>
          <w:sz w:val="24"/>
        </w:rPr>
        <w:t xml:space="preserve"> </w:t>
      </w:r>
    </w:p>
    <w:tbl>
      <w:tblPr>
        <w:tblStyle w:val="TableGrid"/>
        <w:tblW w:w="8897" w:type="dxa"/>
        <w:tblLook w:val="04A0"/>
      </w:tblPr>
      <w:tblGrid>
        <w:gridCol w:w="8897"/>
      </w:tblGrid>
      <w:tr w:rsidR="00A863FF" w:rsidTr="00854F0F">
        <w:tc>
          <w:tcPr>
            <w:tcW w:w="8897" w:type="dxa"/>
            <w:shd w:val="clear" w:color="auto" w:fill="F2F2F2" w:themeFill="background1" w:themeFillShade="F2"/>
          </w:tcPr>
          <w:p w:rsidR="00A863FF" w:rsidRDefault="00B8497D" w:rsidP="00AF47E4">
            <w:pPr>
              <w:pStyle w:val="Paragrapgh"/>
              <w:numPr>
                <w:ilvl w:val="0"/>
                <w:numId w:val="0"/>
              </w:numPr>
              <w:spacing w:before="120" w:after="120"/>
            </w:pPr>
            <w:r w:rsidRPr="00855E89">
              <w:rPr>
                <w:b/>
              </w:rPr>
              <w:t>[3A]</w:t>
            </w:r>
            <w:r>
              <w:t xml:space="preserve"> </w:t>
            </w:r>
            <w:r w:rsidR="00A863FF">
              <w:t xml:space="preserve">Please provide the desired Project IRR (to two decimal places) for the relevant Qualifying Project. </w:t>
            </w:r>
          </w:p>
          <w:p w:rsidR="00A863FF" w:rsidRDefault="009F3DB8" w:rsidP="00AF47E4">
            <w:pPr>
              <w:pStyle w:val="Paragrapgh"/>
              <w:numPr>
                <w:ilvl w:val="0"/>
                <w:numId w:val="0"/>
              </w:numPr>
              <w:spacing w:before="120" w:after="120"/>
            </w:pPr>
            <w:r>
              <w:t xml:space="preserve">Project IRR means the internal, </w:t>
            </w:r>
            <w:r w:rsidR="00A863FF">
              <w:t>post-tax, real forecast p</w:t>
            </w:r>
            <w:r w:rsidR="00845506">
              <w:t>roject cash flow rate of return</w:t>
            </w:r>
            <w:r w:rsidR="00A863FF">
              <w:t>.</w:t>
            </w:r>
          </w:p>
        </w:tc>
      </w:tr>
    </w:tbl>
    <w:p w:rsidR="00410657" w:rsidRPr="00DE6A19" w:rsidRDefault="00410657" w:rsidP="00410657">
      <w:pPr>
        <w:pStyle w:val="Text-bulleted"/>
        <w:numPr>
          <w:ilvl w:val="0"/>
          <w:numId w:val="0"/>
        </w:numPr>
        <w:ind w:left="360"/>
        <w:contextualSpacing/>
        <w:rPr>
          <w:sz w:val="10"/>
          <w:szCs w:val="10"/>
        </w:rPr>
      </w:pPr>
    </w:p>
    <w:tbl>
      <w:tblPr>
        <w:tblStyle w:val="TableGrid"/>
        <w:tblW w:w="8897" w:type="dxa"/>
        <w:tblLook w:val="04A0"/>
      </w:tblPr>
      <w:tblGrid>
        <w:gridCol w:w="8897"/>
      </w:tblGrid>
      <w:tr w:rsidR="00A863FF" w:rsidTr="00854F0F">
        <w:tc>
          <w:tcPr>
            <w:tcW w:w="8897" w:type="dxa"/>
            <w:shd w:val="clear" w:color="auto" w:fill="F2F2F2" w:themeFill="background1" w:themeFillShade="F2"/>
          </w:tcPr>
          <w:p w:rsidR="00A863FF" w:rsidRDefault="00B8497D" w:rsidP="00AF47E4">
            <w:pPr>
              <w:pStyle w:val="Paragrapgh"/>
              <w:numPr>
                <w:ilvl w:val="0"/>
                <w:numId w:val="0"/>
              </w:numPr>
              <w:spacing w:before="120" w:after="120"/>
            </w:pPr>
            <w:r w:rsidRPr="00855E89">
              <w:rPr>
                <w:b/>
              </w:rPr>
              <w:t>[3B]</w:t>
            </w:r>
            <w:r>
              <w:t xml:space="preserve"> </w:t>
            </w:r>
            <w:r w:rsidR="00A863FF">
              <w:t xml:space="preserve">Using the Project IRR stated in </w:t>
            </w:r>
            <w:r w:rsidR="00501386">
              <w:t xml:space="preserve">your response to </w:t>
            </w:r>
            <w:r w:rsidR="00A863FF">
              <w:t xml:space="preserve">[3A], provide an indicative annual Tender Revenue Stream. </w:t>
            </w:r>
          </w:p>
          <w:p w:rsidR="00A863FF" w:rsidRDefault="00A863FF" w:rsidP="001F0D6B">
            <w:pPr>
              <w:pStyle w:val="Paragrapgh"/>
              <w:numPr>
                <w:ilvl w:val="0"/>
                <w:numId w:val="0"/>
              </w:numPr>
              <w:spacing w:before="120" w:after="120"/>
            </w:pPr>
            <w:r>
              <w:t xml:space="preserve">This must assume a constant revenue stream in real terms as at the Estimated Transfer Date </w:t>
            </w:r>
            <w:r w:rsidR="00525BC6">
              <w:t xml:space="preserve">(as detailed in </w:t>
            </w:r>
            <w:r w:rsidR="00525BC6" w:rsidRPr="00695AD5">
              <w:t xml:space="preserve">paragraph </w:t>
            </w:r>
            <w:r w:rsidR="001F0D6B" w:rsidRPr="00695AD5">
              <w:t>1.19</w:t>
            </w:r>
            <w:r w:rsidR="00525BC6" w:rsidRPr="00695AD5">
              <w:t xml:space="preserve">) </w:t>
            </w:r>
            <w:r w:rsidRPr="00695AD5">
              <w:t xml:space="preserve">and should be based upon the Default Availability Standard and assuming no deductions. It should be based upon a 20 year term and utilise </w:t>
            </w:r>
            <w:r w:rsidR="00513523" w:rsidRPr="00695AD5">
              <w:t>the Initial Transfer Value</w:t>
            </w:r>
            <w:r w:rsidRPr="00695AD5">
              <w:t xml:space="preserve"> for the relevant Qualifying Project</w:t>
            </w:r>
            <w:r w:rsidR="00513523" w:rsidRPr="00695AD5">
              <w:t xml:space="preserve"> (as detailed in paragraph </w:t>
            </w:r>
            <w:r w:rsidR="001F0D6B" w:rsidRPr="00695AD5">
              <w:t>1.19</w:t>
            </w:r>
            <w:r w:rsidR="00EB51A9" w:rsidRPr="00695AD5">
              <w:t>)</w:t>
            </w:r>
            <w:r w:rsidRPr="00695AD5">
              <w:t>.</w:t>
            </w:r>
          </w:p>
        </w:tc>
      </w:tr>
    </w:tbl>
    <w:p w:rsidR="00410657" w:rsidRPr="00DE6A19" w:rsidRDefault="00410657" w:rsidP="00410657">
      <w:pPr>
        <w:pStyle w:val="Text-bulleted"/>
        <w:numPr>
          <w:ilvl w:val="0"/>
          <w:numId w:val="0"/>
        </w:numPr>
        <w:ind w:left="360"/>
        <w:contextualSpacing/>
        <w:rPr>
          <w:sz w:val="10"/>
          <w:szCs w:val="10"/>
        </w:rPr>
      </w:pPr>
    </w:p>
    <w:p w:rsidR="003920F7" w:rsidRDefault="003920F7">
      <w:r>
        <w:br w:type="page"/>
      </w:r>
    </w:p>
    <w:tbl>
      <w:tblPr>
        <w:tblStyle w:val="TableGrid"/>
        <w:tblW w:w="8897" w:type="dxa"/>
        <w:shd w:val="clear" w:color="auto" w:fill="FFFFFF" w:themeFill="background1"/>
        <w:tblLook w:val="04A0"/>
      </w:tblPr>
      <w:tblGrid>
        <w:gridCol w:w="8897"/>
      </w:tblGrid>
      <w:tr w:rsidR="00A863FF" w:rsidTr="00854F0F">
        <w:tc>
          <w:tcPr>
            <w:tcW w:w="8897" w:type="dxa"/>
            <w:shd w:val="clear" w:color="auto" w:fill="F2F2F2" w:themeFill="background1" w:themeFillShade="F2"/>
          </w:tcPr>
          <w:p w:rsidR="00A863FF" w:rsidRDefault="00B8497D" w:rsidP="00AF47E4">
            <w:pPr>
              <w:pStyle w:val="Paragrapgh"/>
              <w:numPr>
                <w:ilvl w:val="0"/>
                <w:numId w:val="0"/>
              </w:numPr>
              <w:spacing w:before="120" w:after="120"/>
            </w:pPr>
            <w:r w:rsidRPr="00855E89">
              <w:rPr>
                <w:b/>
              </w:rPr>
              <w:lastRenderedPageBreak/>
              <w:t>[3C]</w:t>
            </w:r>
            <w:r>
              <w:t xml:space="preserve"> </w:t>
            </w:r>
            <w:r w:rsidR="00A863FF">
              <w:t xml:space="preserve">Identify the specific assumptions used in deriving the indicative annual Tender Revenue Stream. This must also include a </w:t>
            </w:r>
            <w:r w:rsidR="00A863FF" w:rsidRPr="003A03A8">
              <w:t>brief statement</w:t>
            </w:r>
            <w:r w:rsidR="00A863FF">
              <w:t xml:space="preserve"> explaining the underlying thinking behind each such assumption.  </w:t>
            </w:r>
          </w:p>
          <w:p w:rsidR="00A863FF" w:rsidRDefault="00A863FF" w:rsidP="00AF47E4">
            <w:pPr>
              <w:pStyle w:val="Paragrapgh"/>
              <w:numPr>
                <w:ilvl w:val="0"/>
                <w:numId w:val="0"/>
              </w:numPr>
              <w:spacing w:before="120" w:after="120"/>
            </w:pPr>
            <w:r>
              <w:t>Assumptions may be based on any information provided at the QTT Stage including, but not limit</w:t>
            </w:r>
            <w:r w:rsidR="00015C62">
              <w:t>ed to, the Information Memorandum</w:t>
            </w:r>
            <w:r w:rsidRPr="00F067E5">
              <w:t xml:space="preserve">, </w:t>
            </w:r>
            <w:r w:rsidR="00501386" w:rsidRPr="00F067E5">
              <w:t xml:space="preserve">the </w:t>
            </w:r>
            <w:r w:rsidR="00674A37" w:rsidRPr="00F067E5">
              <w:t>Project</w:t>
            </w:r>
            <w:r w:rsidR="00501386" w:rsidRPr="00F067E5">
              <w:t xml:space="preserve"> Transfer Agreement,</w:t>
            </w:r>
            <w:r w:rsidR="00501386">
              <w:t xml:space="preserve"> </w:t>
            </w:r>
            <w:r>
              <w:t xml:space="preserve">draft </w:t>
            </w:r>
            <w:r w:rsidR="000274D5" w:rsidRPr="000274D5">
              <w:t>Amended Standard Conditions</w:t>
            </w:r>
            <w:r>
              <w:t xml:space="preserve"> applicable to </w:t>
            </w:r>
            <w:r w:rsidRPr="00695AD5">
              <w:t>OFTOs and</w:t>
            </w:r>
            <w:r w:rsidR="00501386" w:rsidRPr="00695AD5">
              <w:t xml:space="preserve"> documents referenced within the ‘Other Documents</w:t>
            </w:r>
            <w:r w:rsidR="006208F3" w:rsidRPr="00695AD5">
              <w:t xml:space="preserve">’ section (paragraph </w:t>
            </w:r>
            <w:r w:rsidR="001F0D6B" w:rsidRPr="00695AD5">
              <w:t>1.25</w:t>
            </w:r>
            <w:r w:rsidR="00501386" w:rsidRPr="00695AD5">
              <w:t>)</w:t>
            </w:r>
            <w:r w:rsidRPr="00695AD5">
              <w:t>.</w:t>
            </w:r>
            <w:r>
              <w:t xml:space="preserve"> It is acknowledged that this may not provide any relevant information for certain cost items. Where you feel that you do not have sufficient information in order to price any element, you should develop an assumption based on your experience of similar projects and outline the basis of those assumptions.</w:t>
            </w:r>
          </w:p>
          <w:p w:rsidR="00A863FF" w:rsidRDefault="00A863FF" w:rsidP="00AF47E4">
            <w:pPr>
              <w:pStyle w:val="Paragrapgh"/>
              <w:numPr>
                <w:ilvl w:val="0"/>
                <w:numId w:val="0"/>
              </w:numPr>
              <w:spacing w:before="120" w:after="120"/>
            </w:pPr>
            <w:r>
              <w:t>The assumptions, expressed in both real terms and as a percentage of total Tender Revenue Stream, must include:</w:t>
            </w:r>
          </w:p>
          <w:p w:rsidR="00A863FF" w:rsidRDefault="00954AA4" w:rsidP="001570E0">
            <w:pPr>
              <w:pStyle w:val="Paragrapgh"/>
              <w:numPr>
                <w:ilvl w:val="0"/>
                <w:numId w:val="13"/>
              </w:numPr>
              <w:spacing w:before="120" w:after="120"/>
              <w:ind w:left="1077" w:hanging="357"/>
            </w:pPr>
            <w:r>
              <w:t>o</w:t>
            </w:r>
            <w:r w:rsidR="00A863FF">
              <w:t>perating and maintenance costs</w:t>
            </w:r>
            <w:r>
              <w:t>;</w:t>
            </w:r>
          </w:p>
          <w:p w:rsidR="00A863FF" w:rsidRDefault="00525BC6" w:rsidP="001570E0">
            <w:pPr>
              <w:pStyle w:val="Paragrapgh"/>
              <w:numPr>
                <w:ilvl w:val="0"/>
                <w:numId w:val="13"/>
              </w:numPr>
              <w:spacing w:before="120" w:after="120"/>
              <w:ind w:left="1077" w:hanging="357"/>
            </w:pPr>
            <w:r>
              <w:t>i</w:t>
            </w:r>
            <w:r w:rsidR="00A863FF">
              <w:t>nsurance</w:t>
            </w:r>
            <w:r>
              <w:t>;</w:t>
            </w:r>
          </w:p>
          <w:p w:rsidR="00A863FF" w:rsidRDefault="00525BC6" w:rsidP="001570E0">
            <w:pPr>
              <w:pStyle w:val="Paragrapgh"/>
              <w:numPr>
                <w:ilvl w:val="0"/>
                <w:numId w:val="13"/>
              </w:numPr>
              <w:spacing w:before="120" w:after="120"/>
              <w:ind w:left="1077" w:hanging="357"/>
            </w:pPr>
            <w:r>
              <w:t>d</w:t>
            </w:r>
            <w:r w:rsidR="00A863FF">
              <w:t>ecommissioning costs</w:t>
            </w:r>
            <w:r>
              <w:t>;</w:t>
            </w:r>
          </w:p>
          <w:p w:rsidR="00A863FF" w:rsidRDefault="00525BC6" w:rsidP="001570E0">
            <w:pPr>
              <w:pStyle w:val="Paragrapgh"/>
              <w:numPr>
                <w:ilvl w:val="0"/>
                <w:numId w:val="13"/>
              </w:numPr>
              <w:spacing w:before="120" w:after="120"/>
              <w:ind w:left="1077" w:hanging="357"/>
            </w:pPr>
            <w:r>
              <w:t>o</w:t>
            </w:r>
            <w:r w:rsidR="00A863FF">
              <w:t xml:space="preserve">perational performance security package for the last five years of the project (in accordance with </w:t>
            </w:r>
            <w:r w:rsidR="000274D5" w:rsidRPr="000274D5">
              <w:t>part B of Amended Standard Condition E12-J4</w:t>
            </w:r>
            <w:r w:rsidR="008C7899">
              <w:t xml:space="preserve"> of the Offshore Transmission Licence</w:t>
            </w:r>
            <w:r w:rsidR="00A863FF">
              <w:t>)</w:t>
            </w:r>
            <w:r>
              <w:t>;</w:t>
            </w:r>
          </w:p>
          <w:p w:rsidR="00A863FF" w:rsidRPr="00F067E5" w:rsidRDefault="00525BC6" w:rsidP="001570E0">
            <w:pPr>
              <w:pStyle w:val="Paragrapgh"/>
              <w:numPr>
                <w:ilvl w:val="0"/>
                <w:numId w:val="13"/>
              </w:numPr>
              <w:spacing w:before="120" w:after="120"/>
              <w:ind w:left="1077" w:hanging="357"/>
            </w:pPr>
            <w:r>
              <w:t>c</w:t>
            </w:r>
            <w:r w:rsidR="00A863FF">
              <w:t xml:space="preserve">orporation </w:t>
            </w:r>
            <w:r w:rsidR="00A863FF" w:rsidRPr="00F067E5">
              <w:t>tax, VAT and stamp duty land tax (SDLT)</w:t>
            </w:r>
            <w:r w:rsidRPr="00F067E5">
              <w:t>;</w:t>
            </w:r>
          </w:p>
          <w:p w:rsidR="00A863FF" w:rsidRDefault="00A863FF" w:rsidP="001570E0">
            <w:pPr>
              <w:pStyle w:val="Paragrapgh"/>
              <w:numPr>
                <w:ilvl w:val="0"/>
                <w:numId w:val="13"/>
              </w:numPr>
              <w:spacing w:before="120" w:after="120"/>
              <w:ind w:left="1077" w:hanging="357"/>
            </w:pPr>
            <w:r>
              <w:t>Special Purpose Vehicle (SPV) and/or management costs</w:t>
            </w:r>
            <w:r w:rsidR="00525BC6">
              <w:t>;</w:t>
            </w:r>
          </w:p>
          <w:p w:rsidR="00A863FF" w:rsidRDefault="00525BC6" w:rsidP="001570E0">
            <w:pPr>
              <w:pStyle w:val="Paragrapgh"/>
              <w:numPr>
                <w:ilvl w:val="0"/>
                <w:numId w:val="13"/>
              </w:numPr>
              <w:spacing w:before="120" w:after="120"/>
              <w:ind w:left="1077" w:hanging="357"/>
            </w:pPr>
            <w:r>
              <w:t>b</w:t>
            </w:r>
            <w:r w:rsidR="00A863FF">
              <w:t>id cost recoveries and/or development fees</w:t>
            </w:r>
            <w:r>
              <w:t>;</w:t>
            </w:r>
          </w:p>
          <w:p w:rsidR="00A863FF" w:rsidRDefault="00525BC6" w:rsidP="001570E0">
            <w:pPr>
              <w:pStyle w:val="Paragrapgh"/>
              <w:numPr>
                <w:ilvl w:val="0"/>
                <w:numId w:val="13"/>
              </w:numPr>
              <w:spacing w:before="120" w:after="120"/>
              <w:ind w:left="1077" w:hanging="357"/>
            </w:pPr>
            <w:r>
              <w:t>o</w:t>
            </w:r>
            <w:r w:rsidR="00A863FF">
              <w:t>ther income items, including any potential unregulated revenue and termina</w:t>
            </w:r>
            <w:r w:rsidR="009C67B0">
              <w:t>l values (to be expressed as a ‘negative cost’</w:t>
            </w:r>
            <w:r w:rsidR="00A863FF">
              <w:t>)</w:t>
            </w:r>
            <w:r>
              <w:t>;</w:t>
            </w:r>
          </w:p>
          <w:p w:rsidR="00A863FF" w:rsidRDefault="00525BC6" w:rsidP="001570E0">
            <w:pPr>
              <w:pStyle w:val="Paragrapgh"/>
              <w:numPr>
                <w:ilvl w:val="0"/>
                <w:numId w:val="13"/>
              </w:numPr>
              <w:spacing w:before="120" w:after="120"/>
              <w:ind w:left="1077" w:hanging="357"/>
            </w:pPr>
            <w:r>
              <w:t>c</w:t>
            </w:r>
            <w:r w:rsidR="00A863FF">
              <w:t>ost of Equity Finance, Corporate Finance and Debt Finance service costs including all interest payments and fees (to reflect the Financing Strate</w:t>
            </w:r>
            <w:r w:rsidR="00845506">
              <w:t>gy set out in your response to S</w:t>
            </w:r>
            <w:r w:rsidR="00A863FF">
              <w:t>ection 4)</w:t>
            </w:r>
            <w:r>
              <w:t>; and</w:t>
            </w:r>
          </w:p>
          <w:p w:rsidR="00A863FF" w:rsidRDefault="00525BC6" w:rsidP="001570E0">
            <w:pPr>
              <w:pStyle w:val="Paragrapgh"/>
              <w:numPr>
                <w:ilvl w:val="0"/>
                <w:numId w:val="13"/>
              </w:numPr>
              <w:spacing w:before="120" w:after="120"/>
              <w:ind w:left="1077" w:hanging="357"/>
            </w:pPr>
            <w:r>
              <w:t>a</w:t>
            </w:r>
            <w:r w:rsidR="00A863FF">
              <w:t>ny other relevant foreseen costs.</w:t>
            </w:r>
          </w:p>
        </w:tc>
      </w:tr>
    </w:tbl>
    <w:p w:rsidR="00346C2E" w:rsidRDefault="00346C2E">
      <w:pPr>
        <w:rPr>
          <w:rFonts w:cs="CGOmega-Regular"/>
          <w:sz w:val="10"/>
          <w:szCs w:val="10"/>
        </w:rPr>
      </w:pPr>
      <w:bookmarkStart w:id="35" w:name="_Toc277259988"/>
    </w:p>
    <w:p w:rsidR="00307EF6" w:rsidRDefault="00307EF6">
      <w:pPr>
        <w:rPr>
          <w:rFonts w:cs="Arial"/>
          <w:b/>
          <w:bCs/>
          <w:color w:val="333399"/>
          <w:sz w:val="24"/>
        </w:rPr>
      </w:pPr>
      <w:r>
        <w:br w:type="page"/>
      </w:r>
    </w:p>
    <w:p w:rsidR="00410657" w:rsidRDefault="0093019F" w:rsidP="001C7FC5">
      <w:pPr>
        <w:pStyle w:val="Heading1"/>
      </w:pPr>
      <w:bookmarkStart w:id="36" w:name="_Toc283819652"/>
      <w:r>
        <w:lastRenderedPageBreak/>
        <w:t>Section 4</w:t>
      </w:r>
      <w:r w:rsidR="00410657">
        <w:t xml:space="preserve">: </w:t>
      </w:r>
      <w:bookmarkEnd w:id="35"/>
      <w:r>
        <w:t>Financing Strategy</w:t>
      </w:r>
      <w:bookmarkEnd w:id="36"/>
    </w:p>
    <w:p w:rsidR="004457FE" w:rsidRPr="004457FE" w:rsidRDefault="004457FE" w:rsidP="004457FE">
      <w:pPr>
        <w:rPr>
          <w:i/>
        </w:rPr>
      </w:pPr>
      <w:r w:rsidRPr="004457FE">
        <w:rPr>
          <w:i/>
        </w:rPr>
        <w:t xml:space="preserve">Set out your proposed financing strategy in support of your Project IRR and Tender Revenue Stream (as provided in Section 3). This financing strategy must reflect the proposed </w:t>
      </w:r>
      <w:r w:rsidR="00161EA1">
        <w:rPr>
          <w:i/>
        </w:rPr>
        <w:t>management</w:t>
      </w:r>
      <w:r w:rsidRPr="004457FE">
        <w:rPr>
          <w:i/>
        </w:rPr>
        <w:t xml:space="preserve"> and operation</w:t>
      </w:r>
      <w:r w:rsidR="00161EA1">
        <w:rPr>
          <w:i/>
        </w:rPr>
        <w:t>al</w:t>
      </w:r>
      <w:r w:rsidRPr="004457FE">
        <w:rPr>
          <w:i/>
        </w:rPr>
        <w:t xml:space="preserve"> approach in respect of the relevant Qualifying Project.</w:t>
      </w:r>
    </w:p>
    <w:p w:rsidR="004457FE" w:rsidRPr="004457FE" w:rsidRDefault="004457FE" w:rsidP="004457FE">
      <w:pPr>
        <w:rPr>
          <w:i/>
        </w:rPr>
      </w:pPr>
    </w:p>
    <w:p w:rsidR="00410657" w:rsidRDefault="004457FE" w:rsidP="004466CC">
      <w:pPr>
        <w:spacing w:after="360"/>
        <w:rPr>
          <w:i/>
        </w:rPr>
      </w:pPr>
      <w:r w:rsidRPr="004457FE">
        <w:rPr>
          <w:i/>
        </w:rPr>
        <w:t xml:space="preserve">The response to this section should be a </w:t>
      </w:r>
      <w:r w:rsidRPr="0034405B">
        <w:rPr>
          <w:b/>
          <w:i/>
        </w:rPr>
        <w:t>maximum of six pages</w:t>
      </w:r>
      <w:r w:rsidRPr="004457FE">
        <w:rPr>
          <w:i/>
        </w:rPr>
        <w:t xml:space="preserve"> overall (excluding any annexes).</w:t>
      </w:r>
    </w:p>
    <w:p w:rsidR="00015C62" w:rsidRPr="00015C62" w:rsidRDefault="00015C62" w:rsidP="004466CC">
      <w:pPr>
        <w:spacing w:after="360"/>
        <w:rPr>
          <w:i/>
          <w:sz w:val="10"/>
          <w:szCs w:val="10"/>
        </w:rPr>
      </w:pPr>
      <w:r w:rsidRPr="00015C62">
        <w:rPr>
          <w:b/>
          <w:i/>
        </w:rPr>
        <w:t>All Qualifying Bidders must answer the questions in [4,Part 1]</w:t>
      </w:r>
    </w:p>
    <w:tbl>
      <w:tblPr>
        <w:tblStyle w:val="TableGrid"/>
        <w:tblW w:w="8897" w:type="dxa"/>
        <w:tblLook w:val="04A0"/>
      </w:tblPr>
      <w:tblGrid>
        <w:gridCol w:w="8897"/>
      </w:tblGrid>
      <w:tr w:rsidR="006971C7" w:rsidRPr="006971C7" w:rsidTr="0079186E">
        <w:tc>
          <w:tcPr>
            <w:tcW w:w="8897" w:type="dxa"/>
            <w:tcBorders>
              <w:bottom w:val="single" w:sz="4" w:space="0" w:color="000000" w:themeColor="text1"/>
            </w:tcBorders>
            <w:shd w:val="clear" w:color="auto" w:fill="F2F2F2" w:themeFill="background1" w:themeFillShade="F2"/>
          </w:tcPr>
          <w:p w:rsidR="006971C7" w:rsidRPr="006971C7" w:rsidRDefault="00B8497D" w:rsidP="00AF47E4">
            <w:pPr>
              <w:pStyle w:val="Paragrapgh"/>
              <w:numPr>
                <w:ilvl w:val="0"/>
                <w:numId w:val="0"/>
              </w:numPr>
              <w:spacing w:before="120" w:after="120"/>
              <w:rPr>
                <w:b/>
              </w:rPr>
            </w:pPr>
            <w:r>
              <w:rPr>
                <w:b/>
              </w:rPr>
              <w:t>[4,</w:t>
            </w:r>
            <w:r w:rsidR="006971C7">
              <w:rPr>
                <w:b/>
              </w:rPr>
              <w:t>Part 1</w:t>
            </w:r>
            <w:r>
              <w:rPr>
                <w:b/>
              </w:rPr>
              <w:t>]</w:t>
            </w:r>
            <w:r w:rsidR="00605596">
              <w:rPr>
                <w:b/>
              </w:rPr>
              <w:t xml:space="preserve"> </w:t>
            </w:r>
            <w:r w:rsidR="00A155E3">
              <w:rPr>
                <w:b/>
              </w:rPr>
              <w:t>General</w:t>
            </w:r>
          </w:p>
        </w:tc>
      </w:tr>
      <w:tr w:rsidR="00015C62" w:rsidTr="00161EA1">
        <w:trPr>
          <w:trHeight w:val="5678"/>
        </w:trPr>
        <w:tc>
          <w:tcPr>
            <w:tcW w:w="8897" w:type="dxa"/>
            <w:tcBorders>
              <w:bottom w:val="single" w:sz="4" w:space="0" w:color="000000" w:themeColor="text1"/>
            </w:tcBorders>
            <w:shd w:val="clear" w:color="auto" w:fill="F2F2F2" w:themeFill="background1" w:themeFillShade="F2"/>
          </w:tcPr>
          <w:p w:rsidR="00015C62" w:rsidRDefault="00015C62" w:rsidP="00AF47E4">
            <w:pPr>
              <w:pStyle w:val="Paragrapgh"/>
              <w:numPr>
                <w:ilvl w:val="0"/>
                <w:numId w:val="0"/>
              </w:numPr>
              <w:spacing w:before="120" w:after="120"/>
            </w:pPr>
            <w:r w:rsidRPr="00855E89">
              <w:rPr>
                <w:b/>
              </w:rPr>
              <w:t>[4,Part 1,A]</w:t>
            </w:r>
            <w:r>
              <w:t xml:space="preserve"> Please provide details of the proposed funding structure and approach, including:</w:t>
            </w:r>
          </w:p>
          <w:p w:rsidR="00015C62" w:rsidRDefault="00015C62" w:rsidP="001570E0">
            <w:pPr>
              <w:pStyle w:val="Paragrapgh"/>
              <w:numPr>
                <w:ilvl w:val="0"/>
                <w:numId w:val="14"/>
              </w:numPr>
              <w:spacing w:before="120" w:after="120"/>
              <w:ind w:left="714" w:hanging="357"/>
            </w:pPr>
            <w:r>
              <w:t xml:space="preserve">how funding will be sourced (including quantum and sources for each </w:t>
            </w:r>
            <w:r w:rsidR="009C67B0">
              <w:t xml:space="preserve">of </w:t>
            </w:r>
            <w:r>
              <w:t xml:space="preserve">Equity, </w:t>
            </w:r>
            <w:r w:rsidR="00161EA1">
              <w:t>Debt, and/or Corporate Finance);</w:t>
            </w:r>
          </w:p>
          <w:p w:rsidR="00015C62" w:rsidRDefault="00015C62" w:rsidP="001570E0">
            <w:pPr>
              <w:pStyle w:val="Paragrapgh"/>
              <w:numPr>
                <w:ilvl w:val="0"/>
                <w:numId w:val="14"/>
              </w:numPr>
              <w:spacing w:before="120" w:after="120"/>
              <w:ind w:left="714" w:hanging="357"/>
            </w:pPr>
            <w:r>
              <w:t xml:space="preserve">likely organisations to be targeted for each of Equity, Debt, and/or Corporate Finance, and </w:t>
            </w:r>
            <w:r w:rsidR="00161EA1">
              <w:t>the reasons for their selection; and</w:t>
            </w:r>
          </w:p>
          <w:p w:rsidR="00015C62" w:rsidRDefault="009F3DB8" w:rsidP="001570E0">
            <w:pPr>
              <w:pStyle w:val="Paragrapgh"/>
              <w:numPr>
                <w:ilvl w:val="0"/>
                <w:numId w:val="14"/>
              </w:numPr>
              <w:spacing w:before="120" w:after="120"/>
              <w:ind w:left="714" w:hanging="357"/>
            </w:pPr>
            <w:r>
              <w:t>a</w:t>
            </w:r>
            <w:r w:rsidR="00015C62">
              <w:t xml:space="preserve">n outline of your proposed due diligence plan, </w:t>
            </w:r>
            <w:r w:rsidR="00015C62" w:rsidRPr="00F067E5">
              <w:t>including a timetable and a list</w:t>
            </w:r>
            <w:r w:rsidR="00015C62">
              <w:t xml:space="preserve"> of due diligence items you expect to review at the ITT Stage.</w:t>
            </w:r>
          </w:p>
          <w:p w:rsidR="00015C62" w:rsidRDefault="00015C62" w:rsidP="00015C62">
            <w:pPr>
              <w:pStyle w:val="Paragrapgh"/>
              <w:numPr>
                <w:ilvl w:val="0"/>
                <w:numId w:val="0"/>
              </w:numPr>
              <w:spacing w:before="240" w:after="120"/>
            </w:pPr>
            <w:r w:rsidRPr="00855E89">
              <w:rPr>
                <w:b/>
              </w:rPr>
              <w:t>[4,Part</w:t>
            </w:r>
            <w:r w:rsidR="00A205AE">
              <w:rPr>
                <w:b/>
              </w:rPr>
              <w:t xml:space="preserve"> </w:t>
            </w:r>
            <w:r w:rsidRPr="00855E89">
              <w:rPr>
                <w:b/>
              </w:rPr>
              <w:t>1,B]</w:t>
            </w:r>
            <w:r>
              <w:t xml:space="preserve"> Please detail:</w:t>
            </w:r>
          </w:p>
          <w:p w:rsidR="00015C62" w:rsidRPr="00F067E5" w:rsidRDefault="00015C62" w:rsidP="001570E0">
            <w:pPr>
              <w:pStyle w:val="Paragrapgh"/>
              <w:numPr>
                <w:ilvl w:val="0"/>
                <w:numId w:val="15"/>
              </w:numPr>
              <w:spacing w:before="120" w:after="120"/>
            </w:pPr>
            <w:r>
              <w:t xml:space="preserve">the extent of discussions, support, and approvals achieved for </w:t>
            </w:r>
            <w:r w:rsidRPr="00F067E5">
              <w:t>financing proposals including Equity, Debt, or Corporate Finance</w:t>
            </w:r>
            <w:r>
              <w:t xml:space="preserve">. </w:t>
            </w:r>
            <w:r w:rsidRPr="00F067E5">
              <w:t>You should include letters of support from paren</w:t>
            </w:r>
            <w:r w:rsidR="00161EA1" w:rsidRPr="00F067E5">
              <w:t>t company/group, and/or funders; and</w:t>
            </w:r>
          </w:p>
          <w:p w:rsidR="00015C62" w:rsidRPr="00855E89" w:rsidRDefault="00015C62" w:rsidP="001570E0">
            <w:pPr>
              <w:pStyle w:val="BodyText"/>
              <w:numPr>
                <w:ilvl w:val="0"/>
                <w:numId w:val="15"/>
              </w:numPr>
              <w:tabs>
                <w:tab w:val="clear" w:pos="709"/>
              </w:tabs>
              <w:spacing w:before="120" w:after="120"/>
              <w:jc w:val="left"/>
              <w:rPr>
                <w:rFonts w:ascii="Verdana" w:hAnsi="Verdana"/>
                <w:sz w:val="20"/>
              </w:rPr>
            </w:pPr>
            <w:r w:rsidRPr="006954D8">
              <w:rPr>
                <w:rFonts w:ascii="Verdana" w:hAnsi="Verdana"/>
                <w:sz w:val="20"/>
              </w:rPr>
              <w:t xml:space="preserve">support and approvals that are still required from parent company/group and/or funders for financing proposals including, where applicable, from any providers of Equity, Debt or Corporate Finance. </w:t>
            </w:r>
          </w:p>
          <w:p w:rsidR="00015C62" w:rsidRDefault="00015C62" w:rsidP="00866C32">
            <w:pPr>
              <w:pStyle w:val="Paragrapgh"/>
              <w:numPr>
                <w:ilvl w:val="0"/>
                <w:numId w:val="0"/>
              </w:numPr>
              <w:spacing w:before="240" w:after="120"/>
            </w:pPr>
            <w:r w:rsidRPr="00855E89">
              <w:rPr>
                <w:b/>
              </w:rPr>
              <w:t>[4,Part</w:t>
            </w:r>
            <w:r w:rsidR="00A205AE">
              <w:rPr>
                <w:b/>
              </w:rPr>
              <w:t xml:space="preserve"> </w:t>
            </w:r>
            <w:r w:rsidRPr="00855E89">
              <w:rPr>
                <w:b/>
              </w:rPr>
              <w:t>1,C]</w:t>
            </w:r>
            <w:r>
              <w:t xml:space="preserve"> </w:t>
            </w:r>
            <w:r w:rsidR="003D70C0">
              <w:t>Please p</w:t>
            </w:r>
            <w:r>
              <w:t>rovide an outline of your proposals, as appropriate, in relation to interest rate and/or inflation rate hedging arrangements following asset transfer.</w:t>
            </w:r>
          </w:p>
        </w:tc>
      </w:tr>
      <w:tr w:rsidR="00B8629D" w:rsidTr="00866C32">
        <w:trPr>
          <w:trHeight w:val="1981"/>
        </w:trPr>
        <w:tc>
          <w:tcPr>
            <w:tcW w:w="8897" w:type="dxa"/>
            <w:shd w:val="clear" w:color="auto" w:fill="FFFFFF" w:themeFill="background1"/>
          </w:tcPr>
          <w:p w:rsidR="00B8629D" w:rsidRPr="00855E89" w:rsidRDefault="00B8629D" w:rsidP="00AF47E4">
            <w:pPr>
              <w:pStyle w:val="Paragrapgh"/>
              <w:numPr>
                <w:ilvl w:val="0"/>
                <w:numId w:val="0"/>
              </w:numPr>
              <w:spacing w:before="120" w:after="120"/>
              <w:rPr>
                <w:b/>
              </w:rPr>
            </w:pPr>
          </w:p>
        </w:tc>
      </w:tr>
    </w:tbl>
    <w:p w:rsidR="00E9090E" w:rsidRPr="00015C62" w:rsidRDefault="00E9090E" w:rsidP="00015C62">
      <w:pPr>
        <w:pStyle w:val="Paragrapgh"/>
        <w:keepNext/>
        <w:numPr>
          <w:ilvl w:val="0"/>
          <w:numId w:val="0"/>
        </w:numPr>
        <w:spacing w:before="240" w:after="240"/>
        <w:rPr>
          <w:b/>
          <w:i/>
        </w:rPr>
      </w:pPr>
      <w:r w:rsidRPr="00015C62">
        <w:rPr>
          <w:b/>
          <w:i/>
        </w:rPr>
        <w:lastRenderedPageBreak/>
        <w:t xml:space="preserve">Depending on your finance structure, </w:t>
      </w:r>
      <w:r w:rsidR="009C67B0">
        <w:rPr>
          <w:b/>
          <w:i/>
        </w:rPr>
        <w:t>you</w:t>
      </w:r>
      <w:r w:rsidRPr="00015C62">
        <w:rPr>
          <w:b/>
          <w:i/>
        </w:rPr>
        <w:t xml:space="preserve"> must answer </w:t>
      </w:r>
      <w:r w:rsidR="009552AD" w:rsidRPr="00015C62">
        <w:rPr>
          <w:b/>
          <w:i/>
        </w:rPr>
        <w:t>[4,</w:t>
      </w:r>
      <w:r w:rsidRPr="00015C62">
        <w:rPr>
          <w:b/>
          <w:i/>
        </w:rPr>
        <w:t>Part 2</w:t>
      </w:r>
      <w:r w:rsidR="009552AD" w:rsidRPr="00015C62">
        <w:rPr>
          <w:b/>
          <w:i/>
        </w:rPr>
        <w:t>]</w:t>
      </w:r>
      <w:r w:rsidRPr="00015C62">
        <w:rPr>
          <w:b/>
          <w:i/>
        </w:rPr>
        <w:t xml:space="preserve"> and/or </w:t>
      </w:r>
      <w:r w:rsidR="009552AD" w:rsidRPr="00015C62">
        <w:rPr>
          <w:b/>
          <w:i/>
        </w:rPr>
        <w:t>[4,</w:t>
      </w:r>
      <w:r w:rsidRPr="00015C62">
        <w:rPr>
          <w:b/>
          <w:i/>
        </w:rPr>
        <w:t>Part 3</w:t>
      </w:r>
      <w:r w:rsidR="009552AD" w:rsidRPr="00015C62">
        <w:rPr>
          <w:b/>
          <w:i/>
        </w:rPr>
        <w:t>]</w:t>
      </w:r>
      <w:r w:rsidRPr="00015C62">
        <w:rPr>
          <w:b/>
          <w:i/>
        </w:rPr>
        <w:t xml:space="preserve"> as</w:t>
      </w:r>
      <w:r w:rsidR="00015C62">
        <w:rPr>
          <w:b/>
          <w:i/>
        </w:rPr>
        <w:t xml:space="preserve"> appropriate</w:t>
      </w:r>
    </w:p>
    <w:tbl>
      <w:tblPr>
        <w:tblStyle w:val="TableGrid"/>
        <w:tblW w:w="8897" w:type="dxa"/>
        <w:tblLook w:val="04A0"/>
      </w:tblPr>
      <w:tblGrid>
        <w:gridCol w:w="8897"/>
      </w:tblGrid>
      <w:tr w:rsidR="00605596" w:rsidTr="00605596">
        <w:tc>
          <w:tcPr>
            <w:tcW w:w="8897" w:type="dxa"/>
            <w:shd w:val="clear" w:color="auto" w:fill="F2F2F2" w:themeFill="background1" w:themeFillShade="F2"/>
          </w:tcPr>
          <w:p w:rsidR="00605596" w:rsidRPr="009552AD" w:rsidRDefault="00B8497D" w:rsidP="00015C62">
            <w:pPr>
              <w:pStyle w:val="Text-bulleted"/>
              <w:keepNext/>
              <w:numPr>
                <w:ilvl w:val="0"/>
                <w:numId w:val="0"/>
              </w:numPr>
              <w:spacing w:before="120" w:after="120"/>
              <w:rPr>
                <w:b/>
              </w:rPr>
            </w:pPr>
            <w:r>
              <w:rPr>
                <w:b/>
              </w:rPr>
              <w:t>[4,</w:t>
            </w:r>
            <w:r w:rsidR="00605596">
              <w:rPr>
                <w:b/>
              </w:rPr>
              <w:t>Part 2</w:t>
            </w:r>
            <w:r>
              <w:rPr>
                <w:b/>
              </w:rPr>
              <w:t>]</w:t>
            </w:r>
            <w:r w:rsidR="00605596">
              <w:rPr>
                <w:b/>
              </w:rPr>
              <w:t xml:space="preserve"> </w:t>
            </w:r>
            <w:r w:rsidR="00B22327">
              <w:rPr>
                <w:b/>
              </w:rPr>
              <w:t xml:space="preserve">Debt </w:t>
            </w:r>
            <w:r w:rsidR="00A155E3">
              <w:rPr>
                <w:b/>
              </w:rPr>
              <w:t>Finance</w:t>
            </w:r>
          </w:p>
        </w:tc>
      </w:tr>
      <w:tr w:rsidR="00E9090E" w:rsidTr="00AA66BC">
        <w:trPr>
          <w:trHeight w:val="2258"/>
        </w:trPr>
        <w:tc>
          <w:tcPr>
            <w:tcW w:w="8897" w:type="dxa"/>
            <w:tcBorders>
              <w:bottom w:val="single" w:sz="4" w:space="0" w:color="000000" w:themeColor="text1"/>
            </w:tcBorders>
            <w:shd w:val="clear" w:color="auto" w:fill="F2F2F2" w:themeFill="background1" w:themeFillShade="F2"/>
          </w:tcPr>
          <w:p w:rsidR="00E9090E" w:rsidRPr="00FC7719" w:rsidRDefault="00E9090E" w:rsidP="00015C62">
            <w:pPr>
              <w:pStyle w:val="Text-bulleted"/>
              <w:keepNext/>
              <w:numPr>
                <w:ilvl w:val="0"/>
                <w:numId w:val="0"/>
              </w:numPr>
              <w:spacing w:before="120" w:after="120"/>
            </w:pPr>
            <w:r>
              <w:t xml:space="preserve">Where Debt Finance is proposed, please set out the </w:t>
            </w:r>
            <w:r w:rsidR="00771E3E">
              <w:t>indicative financing structure, i</w:t>
            </w:r>
            <w:r>
              <w:t>ncluding details and assumptions for the following:</w:t>
            </w:r>
          </w:p>
          <w:p w:rsidR="00E9090E" w:rsidRPr="00FC7719" w:rsidRDefault="00E9090E" w:rsidP="001570E0">
            <w:pPr>
              <w:pStyle w:val="Text-bulleted"/>
              <w:keepNext/>
              <w:numPr>
                <w:ilvl w:val="0"/>
                <w:numId w:val="16"/>
              </w:numPr>
              <w:spacing w:before="120" w:after="120"/>
              <w:ind w:left="714" w:hanging="357"/>
            </w:pPr>
            <w:r>
              <w:t>the preferred nature of the funding plus any alternative proposals</w:t>
            </w:r>
            <w:r w:rsidR="00161EA1">
              <w:t>;</w:t>
            </w:r>
          </w:p>
          <w:p w:rsidR="00E9090E" w:rsidRDefault="00E9090E" w:rsidP="001570E0">
            <w:pPr>
              <w:pStyle w:val="Text-bulleted"/>
              <w:keepNext/>
              <w:numPr>
                <w:ilvl w:val="0"/>
                <w:numId w:val="16"/>
              </w:numPr>
              <w:spacing w:before="120" w:after="120"/>
              <w:ind w:left="714" w:hanging="357"/>
            </w:pPr>
            <w:r>
              <w:t>margins</w:t>
            </w:r>
            <w:r w:rsidR="00161EA1">
              <w:t>;</w:t>
            </w:r>
          </w:p>
          <w:p w:rsidR="00E9090E" w:rsidRDefault="00E9090E" w:rsidP="001570E0">
            <w:pPr>
              <w:pStyle w:val="Text-bulleted"/>
              <w:keepNext/>
              <w:numPr>
                <w:ilvl w:val="0"/>
                <w:numId w:val="16"/>
              </w:numPr>
              <w:spacing w:before="120" w:after="120"/>
              <w:ind w:left="714" w:hanging="357"/>
            </w:pPr>
            <w:r>
              <w:t>fees (including any pre-payment terms where applicable)</w:t>
            </w:r>
            <w:r w:rsidR="00161EA1">
              <w:t>;</w:t>
            </w:r>
          </w:p>
          <w:p w:rsidR="00E9090E" w:rsidRDefault="00BC4B43" w:rsidP="001570E0">
            <w:pPr>
              <w:pStyle w:val="Text-bulleted"/>
              <w:keepNext/>
              <w:numPr>
                <w:ilvl w:val="0"/>
                <w:numId w:val="16"/>
              </w:numPr>
              <w:spacing w:before="120" w:after="120"/>
              <w:ind w:left="714" w:hanging="357"/>
            </w:pPr>
            <w:r>
              <w:t>g</w:t>
            </w:r>
            <w:r w:rsidR="00E9090E">
              <w:t>earing limitations</w:t>
            </w:r>
            <w:r w:rsidR="00161EA1">
              <w:t>;</w:t>
            </w:r>
          </w:p>
          <w:p w:rsidR="00E9090E" w:rsidRDefault="00E9090E" w:rsidP="001570E0">
            <w:pPr>
              <w:pStyle w:val="Text-bulleted"/>
              <w:keepNext/>
              <w:numPr>
                <w:ilvl w:val="0"/>
                <w:numId w:val="16"/>
              </w:numPr>
              <w:spacing w:before="120" w:after="120"/>
              <w:ind w:left="714" w:hanging="357"/>
            </w:pPr>
            <w:r>
              <w:t>term of debt</w:t>
            </w:r>
            <w:r w:rsidR="00161EA1">
              <w:t>;</w:t>
            </w:r>
          </w:p>
          <w:p w:rsidR="00E9090E" w:rsidRDefault="00E9090E" w:rsidP="001570E0">
            <w:pPr>
              <w:pStyle w:val="Text-bulleted"/>
              <w:keepNext/>
              <w:numPr>
                <w:ilvl w:val="0"/>
                <w:numId w:val="16"/>
              </w:numPr>
              <w:spacing w:before="120" w:after="120"/>
              <w:ind w:left="714" w:hanging="357"/>
            </w:pPr>
            <w:r>
              <w:t>appropriate cover ratios and calculation method</w:t>
            </w:r>
            <w:r w:rsidR="00161EA1">
              <w:t>; and</w:t>
            </w:r>
          </w:p>
          <w:p w:rsidR="00E9090E" w:rsidRPr="00FC7719" w:rsidRDefault="00E9090E" w:rsidP="001570E0">
            <w:pPr>
              <w:pStyle w:val="Text-bulleted"/>
              <w:keepNext/>
              <w:numPr>
                <w:ilvl w:val="0"/>
                <w:numId w:val="16"/>
              </w:numPr>
              <w:spacing w:before="120" w:after="120"/>
              <w:ind w:left="714" w:hanging="357"/>
            </w:pPr>
            <w:r>
              <w:t>any likely reserving requirements</w:t>
            </w:r>
            <w:r w:rsidR="00A205AE">
              <w:t>.</w:t>
            </w:r>
          </w:p>
        </w:tc>
      </w:tr>
    </w:tbl>
    <w:p w:rsidR="00410657" w:rsidRDefault="00410657" w:rsidP="00410657">
      <w:pPr>
        <w:pStyle w:val="Paragrapgh"/>
        <w:numPr>
          <w:ilvl w:val="0"/>
          <w:numId w:val="0"/>
        </w:numPr>
        <w:spacing w:before="0" w:after="0"/>
        <w:contextualSpacing/>
        <w:rPr>
          <w:sz w:val="10"/>
          <w:szCs w:val="10"/>
        </w:rPr>
      </w:pPr>
    </w:p>
    <w:tbl>
      <w:tblPr>
        <w:tblStyle w:val="TableGrid"/>
        <w:tblW w:w="0" w:type="auto"/>
        <w:shd w:val="clear" w:color="auto" w:fill="FFFFFF" w:themeFill="background1"/>
        <w:tblLook w:val="04A0"/>
      </w:tblPr>
      <w:tblGrid>
        <w:gridCol w:w="8862"/>
      </w:tblGrid>
      <w:tr w:rsidR="00B751B4" w:rsidTr="000811C2">
        <w:tc>
          <w:tcPr>
            <w:tcW w:w="8862" w:type="dxa"/>
            <w:shd w:val="clear" w:color="auto" w:fill="F2F2F2" w:themeFill="background1" w:themeFillShade="F2"/>
          </w:tcPr>
          <w:p w:rsidR="00B751B4" w:rsidRPr="00B751B4" w:rsidRDefault="009552AD" w:rsidP="00D1466E">
            <w:pPr>
              <w:pStyle w:val="Text-bulleted"/>
              <w:keepNext/>
              <w:numPr>
                <w:ilvl w:val="0"/>
                <w:numId w:val="0"/>
              </w:numPr>
              <w:spacing w:before="120" w:after="120"/>
              <w:rPr>
                <w:b/>
                <w:szCs w:val="20"/>
              </w:rPr>
            </w:pPr>
            <w:r>
              <w:rPr>
                <w:b/>
                <w:szCs w:val="20"/>
              </w:rPr>
              <w:t>[4,</w:t>
            </w:r>
            <w:r w:rsidR="00B751B4">
              <w:rPr>
                <w:b/>
                <w:szCs w:val="20"/>
              </w:rPr>
              <w:t>Part 3</w:t>
            </w:r>
            <w:r>
              <w:rPr>
                <w:b/>
                <w:szCs w:val="20"/>
              </w:rPr>
              <w:t>]</w:t>
            </w:r>
            <w:r w:rsidR="00B751B4">
              <w:rPr>
                <w:b/>
                <w:szCs w:val="20"/>
              </w:rPr>
              <w:t xml:space="preserve"> Equity and Corporate Finance</w:t>
            </w:r>
          </w:p>
        </w:tc>
      </w:tr>
      <w:tr w:rsidR="00015C62" w:rsidTr="00015C62">
        <w:trPr>
          <w:trHeight w:val="5027"/>
        </w:trPr>
        <w:tc>
          <w:tcPr>
            <w:tcW w:w="8862" w:type="dxa"/>
            <w:shd w:val="clear" w:color="auto" w:fill="F2F2F2" w:themeFill="background1" w:themeFillShade="F2"/>
          </w:tcPr>
          <w:p w:rsidR="00015C62" w:rsidRPr="00B751B4" w:rsidRDefault="00015C62" w:rsidP="00B8629D">
            <w:pPr>
              <w:pStyle w:val="Text-bulleted"/>
              <w:keepNext/>
              <w:numPr>
                <w:ilvl w:val="0"/>
                <w:numId w:val="0"/>
              </w:numPr>
              <w:spacing w:before="120" w:after="120"/>
              <w:rPr>
                <w:szCs w:val="20"/>
              </w:rPr>
            </w:pPr>
            <w:r w:rsidRPr="00855E89">
              <w:rPr>
                <w:b/>
                <w:szCs w:val="20"/>
              </w:rPr>
              <w:t>[4,Part</w:t>
            </w:r>
            <w:r w:rsidR="00A205AE">
              <w:rPr>
                <w:b/>
                <w:szCs w:val="20"/>
              </w:rPr>
              <w:t xml:space="preserve"> </w:t>
            </w:r>
            <w:r w:rsidRPr="00855E89">
              <w:rPr>
                <w:b/>
                <w:szCs w:val="20"/>
              </w:rPr>
              <w:t>3,A]</w:t>
            </w:r>
            <w:r>
              <w:rPr>
                <w:szCs w:val="20"/>
              </w:rPr>
              <w:t xml:space="preserve"> Where Equity Finance, Corporate Finance or other sources of finance are proposed, please provide indicative terms, including, where applicable:</w:t>
            </w:r>
          </w:p>
          <w:p w:rsidR="00015C62" w:rsidRPr="00B751B4" w:rsidRDefault="00161EA1" w:rsidP="001570E0">
            <w:pPr>
              <w:pStyle w:val="Text-bulleted"/>
              <w:keepNext/>
              <w:numPr>
                <w:ilvl w:val="0"/>
                <w:numId w:val="17"/>
              </w:numPr>
              <w:spacing w:before="120" w:after="120"/>
              <w:ind w:left="714" w:hanging="357"/>
              <w:rPr>
                <w:szCs w:val="20"/>
              </w:rPr>
            </w:pPr>
            <w:r>
              <w:rPr>
                <w:szCs w:val="20"/>
              </w:rPr>
              <w:t>t</w:t>
            </w:r>
            <w:r w:rsidR="00015C62">
              <w:rPr>
                <w:szCs w:val="20"/>
              </w:rPr>
              <w:t>he cost of such finance</w:t>
            </w:r>
            <w:r>
              <w:rPr>
                <w:szCs w:val="20"/>
              </w:rPr>
              <w:t>;</w:t>
            </w:r>
          </w:p>
          <w:p w:rsidR="00015C62" w:rsidRPr="00B751B4" w:rsidRDefault="00161EA1" w:rsidP="001570E0">
            <w:pPr>
              <w:pStyle w:val="Text-bulleted"/>
              <w:keepNext/>
              <w:numPr>
                <w:ilvl w:val="0"/>
                <w:numId w:val="17"/>
              </w:numPr>
              <w:spacing w:before="120" w:after="120"/>
              <w:ind w:left="714" w:hanging="357"/>
              <w:rPr>
                <w:szCs w:val="20"/>
              </w:rPr>
            </w:pPr>
            <w:r>
              <w:rPr>
                <w:szCs w:val="20"/>
              </w:rPr>
              <w:t>d</w:t>
            </w:r>
            <w:r w:rsidR="00015C62">
              <w:rPr>
                <w:szCs w:val="20"/>
              </w:rPr>
              <w:t>etails of arrangement and other fees</w:t>
            </w:r>
            <w:r>
              <w:rPr>
                <w:szCs w:val="20"/>
              </w:rPr>
              <w:t>; and</w:t>
            </w:r>
          </w:p>
          <w:p w:rsidR="00015C62" w:rsidRPr="00B751B4" w:rsidRDefault="00161EA1" w:rsidP="001570E0">
            <w:pPr>
              <w:pStyle w:val="Text-bulleted"/>
              <w:keepNext/>
              <w:numPr>
                <w:ilvl w:val="0"/>
                <w:numId w:val="17"/>
              </w:numPr>
              <w:spacing w:before="120" w:after="120"/>
              <w:ind w:left="714" w:hanging="357"/>
              <w:rPr>
                <w:szCs w:val="20"/>
              </w:rPr>
            </w:pPr>
            <w:r>
              <w:rPr>
                <w:szCs w:val="20"/>
              </w:rPr>
              <w:t>a</w:t>
            </w:r>
            <w:r w:rsidR="00015C62">
              <w:rPr>
                <w:szCs w:val="20"/>
              </w:rPr>
              <w:t>vailability and any associated constraints</w:t>
            </w:r>
            <w:r>
              <w:rPr>
                <w:szCs w:val="20"/>
              </w:rPr>
              <w:t>.</w:t>
            </w:r>
          </w:p>
          <w:p w:rsidR="00015C62" w:rsidRDefault="00015C62" w:rsidP="00B8629D">
            <w:pPr>
              <w:pStyle w:val="Text-bulleted"/>
              <w:keepNext/>
              <w:numPr>
                <w:ilvl w:val="0"/>
                <w:numId w:val="0"/>
              </w:numPr>
              <w:spacing w:before="240" w:after="120"/>
              <w:rPr>
                <w:szCs w:val="20"/>
              </w:rPr>
            </w:pPr>
            <w:r w:rsidRPr="00855E89">
              <w:rPr>
                <w:b/>
                <w:szCs w:val="20"/>
              </w:rPr>
              <w:t>[4,Part</w:t>
            </w:r>
            <w:r w:rsidR="00A205AE">
              <w:rPr>
                <w:b/>
                <w:szCs w:val="20"/>
              </w:rPr>
              <w:t xml:space="preserve"> </w:t>
            </w:r>
            <w:r w:rsidRPr="00855E89">
              <w:rPr>
                <w:b/>
                <w:szCs w:val="20"/>
              </w:rPr>
              <w:t>3,B]</w:t>
            </w:r>
            <w:r>
              <w:rPr>
                <w:szCs w:val="20"/>
              </w:rPr>
              <w:t xml:space="preserve"> Where Equity Finance or other sources of finance are to be provided through a fund, please provide the following details: </w:t>
            </w:r>
          </w:p>
          <w:p w:rsidR="00015C62" w:rsidRDefault="00015C62" w:rsidP="00C5061D">
            <w:pPr>
              <w:pStyle w:val="Text-bulleted"/>
              <w:keepNext/>
              <w:numPr>
                <w:ilvl w:val="0"/>
                <w:numId w:val="18"/>
              </w:numPr>
              <w:spacing w:before="120" w:after="120"/>
              <w:ind w:left="709" w:hanging="425"/>
              <w:rPr>
                <w:szCs w:val="20"/>
              </w:rPr>
            </w:pPr>
            <w:r>
              <w:rPr>
                <w:szCs w:val="20"/>
              </w:rPr>
              <w:t>the current status of the fund, including the ability of the fund to invest the required equity from existing committed investable capital</w:t>
            </w:r>
          </w:p>
          <w:p w:rsidR="00015C62" w:rsidRPr="00015C62" w:rsidRDefault="00015C62" w:rsidP="00D1466E">
            <w:pPr>
              <w:pStyle w:val="Text-bulleted"/>
              <w:keepNext/>
              <w:numPr>
                <w:ilvl w:val="0"/>
                <w:numId w:val="0"/>
              </w:numPr>
              <w:spacing w:before="120" w:after="120"/>
              <w:ind w:left="360" w:hanging="360"/>
              <w:rPr>
                <w:i/>
                <w:szCs w:val="20"/>
              </w:rPr>
            </w:pPr>
            <w:r w:rsidRPr="00015C62">
              <w:rPr>
                <w:i/>
                <w:szCs w:val="20"/>
                <w:u w:val="single"/>
              </w:rPr>
              <w:t>or</w:t>
            </w:r>
            <w:r w:rsidR="00C5061D">
              <w:rPr>
                <w:i/>
                <w:szCs w:val="20"/>
                <w:u w:val="single"/>
              </w:rPr>
              <w:t>,</w:t>
            </w:r>
            <w:r w:rsidRPr="00015C62">
              <w:rPr>
                <w:i/>
                <w:szCs w:val="20"/>
              </w:rPr>
              <w:t xml:space="preserve"> where the equity capital is yet to be raised: </w:t>
            </w:r>
          </w:p>
          <w:p w:rsidR="00015C62" w:rsidRDefault="00015C62" w:rsidP="00C5061D">
            <w:pPr>
              <w:pStyle w:val="Text-bulleted"/>
              <w:keepNext/>
              <w:numPr>
                <w:ilvl w:val="0"/>
                <w:numId w:val="18"/>
              </w:numPr>
              <w:spacing w:before="120" w:after="120"/>
              <w:ind w:left="709" w:hanging="425"/>
              <w:rPr>
                <w:szCs w:val="20"/>
              </w:rPr>
            </w:pPr>
            <w:r>
              <w:rPr>
                <w:szCs w:val="20"/>
              </w:rPr>
              <w:t>the status of the fund raising and expected timing.</w:t>
            </w:r>
          </w:p>
          <w:p w:rsidR="00015C62" w:rsidRPr="00B751B4" w:rsidRDefault="00015C62" w:rsidP="00D1466E">
            <w:pPr>
              <w:pStyle w:val="Text-bulleted"/>
              <w:keepNext/>
              <w:spacing w:before="240" w:after="120"/>
              <w:ind w:left="0" w:hanging="357"/>
              <w:rPr>
                <w:szCs w:val="20"/>
              </w:rPr>
            </w:pPr>
            <w:r w:rsidRPr="00855E89">
              <w:rPr>
                <w:b/>
                <w:szCs w:val="20"/>
              </w:rPr>
              <w:t>[4,Part</w:t>
            </w:r>
            <w:r w:rsidR="00A205AE">
              <w:rPr>
                <w:b/>
                <w:szCs w:val="20"/>
              </w:rPr>
              <w:t xml:space="preserve"> </w:t>
            </w:r>
            <w:r w:rsidRPr="00855E89">
              <w:rPr>
                <w:b/>
                <w:szCs w:val="20"/>
              </w:rPr>
              <w:t>3,C]</w:t>
            </w:r>
            <w:r>
              <w:rPr>
                <w:szCs w:val="20"/>
              </w:rPr>
              <w:t xml:space="preserve"> Where Corporate Finance is to be used, please provide the pr</w:t>
            </w:r>
            <w:r w:rsidRPr="00152E99">
              <w:rPr>
                <w:szCs w:val="20"/>
                <w:shd w:val="clear" w:color="auto" w:fill="F2F2F2" w:themeFill="background1" w:themeFillShade="F2"/>
              </w:rPr>
              <w:t>oposed breakdown between pinpoint equity and other financial inst</w:t>
            </w:r>
            <w:r>
              <w:rPr>
                <w:szCs w:val="20"/>
                <w:shd w:val="clear" w:color="auto" w:fill="F2F2F2" w:themeFill="background1" w:themeFillShade="F2"/>
              </w:rPr>
              <w:t>ruments such as shareholder loans</w:t>
            </w:r>
            <w:r w:rsidRPr="00152E99">
              <w:rPr>
                <w:szCs w:val="20"/>
                <w:shd w:val="clear" w:color="auto" w:fill="F2F2F2" w:themeFill="background1" w:themeFillShade="F2"/>
              </w:rPr>
              <w:t xml:space="preserve">. Please include </w:t>
            </w:r>
            <w:r>
              <w:rPr>
                <w:szCs w:val="20"/>
                <w:shd w:val="clear" w:color="auto" w:fill="F2F2F2" w:themeFill="background1" w:themeFillShade="F2"/>
              </w:rPr>
              <w:t xml:space="preserve">details of </w:t>
            </w:r>
            <w:r w:rsidRPr="00152E99">
              <w:rPr>
                <w:szCs w:val="20"/>
                <w:shd w:val="clear" w:color="auto" w:fill="F2F2F2" w:themeFill="background1" w:themeFillShade="F2"/>
              </w:rPr>
              <w:t xml:space="preserve">your ability to fund from </w:t>
            </w:r>
            <w:r>
              <w:rPr>
                <w:szCs w:val="20"/>
              </w:rPr>
              <w:t>current corporate cash reserves, or where corporate capital (equity or debt) is yet to be raised</w:t>
            </w:r>
            <w:r w:rsidR="0060317F">
              <w:rPr>
                <w:szCs w:val="20"/>
              </w:rPr>
              <w:t>,</w:t>
            </w:r>
            <w:r>
              <w:rPr>
                <w:szCs w:val="20"/>
              </w:rPr>
              <w:t xml:space="preserve"> status of the capital raising and the expected timing.</w:t>
            </w:r>
          </w:p>
        </w:tc>
      </w:tr>
    </w:tbl>
    <w:p w:rsidR="00C5061D" w:rsidRDefault="00C5061D"/>
    <w:p w:rsidR="00C5061D" w:rsidRDefault="00C5061D">
      <w:r>
        <w:br w:type="page"/>
      </w:r>
    </w:p>
    <w:tbl>
      <w:tblPr>
        <w:tblStyle w:val="TableGrid"/>
        <w:tblW w:w="0" w:type="auto"/>
        <w:shd w:val="clear" w:color="auto" w:fill="FFFFFF" w:themeFill="background1"/>
        <w:tblLook w:val="04A0"/>
      </w:tblPr>
      <w:tblGrid>
        <w:gridCol w:w="1714"/>
        <w:gridCol w:w="7148"/>
      </w:tblGrid>
      <w:tr w:rsidR="00077BCF" w:rsidTr="00CE34C2">
        <w:trPr>
          <w:trHeight w:val="675"/>
        </w:trPr>
        <w:tc>
          <w:tcPr>
            <w:tcW w:w="8862" w:type="dxa"/>
            <w:gridSpan w:val="2"/>
            <w:tcBorders>
              <w:bottom w:val="single" w:sz="4" w:space="0" w:color="000000" w:themeColor="text1"/>
            </w:tcBorders>
            <w:shd w:val="clear" w:color="auto" w:fill="F2F2F2" w:themeFill="background1" w:themeFillShade="F2"/>
            <w:vAlign w:val="center"/>
          </w:tcPr>
          <w:p w:rsidR="00B8629D" w:rsidRPr="00077BCF" w:rsidRDefault="00077BCF" w:rsidP="00CE34C2">
            <w:pPr>
              <w:pStyle w:val="Text-bulleted"/>
              <w:keepNext/>
              <w:numPr>
                <w:ilvl w:val="0"/>
                <w:numId w:val="0"/>
              </w:numPr>
              <w:rPr>
                <w:szCs w:val="20"/>
              </w:rPr>
            </w:pPr>
            <w:r>
              <w:rPr>
                <w:szCs w:val="20"/>
              </w:rPr>
              <w:lastRenderedPageBreak/>
              <w:t>Please indicate which item you have responded to</w:t>
            </w:r>
            <w:r w:rsidR="00C5061D">
              <w:rPr>
                <w:szCs w:val="20"/>
              </w:rPr>
              <w:t xml:space="preserve">, [4,Part 2] </w:t>
            </w:r>
            <w:r w:rsidR="002916CF">
              <w:rPr>
                <w:szCs w:val="20"/>
              </w:rPr>
              <w:t>and/</w:t>
            </w:r>
            <w:r w:rsidR="00C5061D">
              <w:rPr>
                <w:szCs w:val="20"/>
              </w:rPr>
              <w:t>or [4,Part 3],</w:t>
            </w:r>
            <w:r>
              <w:rPr>
                <w:szCs w:val="20"/>
              </w:rPr>
              <w:t xml:space="preserve"> and list details of supporting documentation you have provided</w:t>
            </w:r>
            <w:r w:rsidR="00CE34C2">
              <w:rPr>
                <w:szCs w:val="20"/>
              </w:rPr>
              <w:t>.</w:t>
            </w:r>
          </w:p>
        </w:tc>
      </w:tr>
      <w:tr w:rsidR="00077BCF" w:rsidTr="00D35EA9">
        <w:trPr>
          <w:trHeight w:val="579"/>
        </w:trPr>
        <w:tc>
          <w:tcPr>
            <w:tcW w:w="1714" w:type="dxa"/>
            <w:shd w:val="clear" w:color="auto" w:fill="auto"/>
          </w:tcPr>
          <w:p w:rsidR="00077BCF" w:rsidRDefault="00077BCF" w:rsidP="00D35EA9">
            <w:pPr>
              <w:pStyle w:val="Text-bulleted"/>
              <w:numPr>
                <w:ilvl w:val="0"/>
                <w:numId w:val="0"/>
              </w:numPr>
              <w:spacing w:before="120" w:after="120"/>
              <w:rPr>
                <w:szCs w:val="20"/>
              </w:rPr>
            </w:pPr>
            <w:r>
              <w:rPr>
                <w:szCs w:val="20"/>
              </w:rPr>
              <w:t>Question answered.</w:t>
            </w:r>
          </w:p>
          <w:p w:rsidR="00077BCF" w:rsidRPr="00077BCF" w:rsidRDefault="00077BCF" w:rsidP="00D35EA9">
            <w:pPr>
              <w:pStyle w:val="Text-bulleted"/>
              <w:numPr>
                <w:ilvl w:val="0"/>
                <w:numId w:val="0"/>
              </w:numPr>
              <w:spacing w:before="120" w:after="120"/>
              <w:rPr>
                <w:szCs w:val="20"/>
              </w:rPr>
            </w:pPr>
            <w:r>
              <w:rPr>
                <w:szCs w:val="20"/>
              </w:rPr>
              <w:t>Please insert into square bracket:</w:t>
            </w:r>
          </w:p>
        </w:tc>
        <w:tc>
          <w:tcPr>
            <w:tcW w:w="7148" w:type="dxa"/>
            <w:shd w:val="clear" w:color="auto" w:fill="auto"/>
          </w:tcPr>
          <w:p w:rsidR="00077BCF" w:rsidRPr="00077BCF" w:rsidRDefault="00077BCF" w:rsidP="00D35EA9">
            <w:pPr>
              <w:pStyle w:val="Text-bulleted"/>
              <w:numPr>
                <w:ilvl w:val="0"/>
                <w:numId w:val="0"/>
              </w:numPr>
              <w:spacing w:before="120" w:after="120"/>
              <w:ind w:left="360" w:hanging="360"/>
              <w:rPr>
                <w:szCs w:val="20"/>
              </w:rPr>
            </w:pPr>
            <w:r>
              <w:rPr>
                <w:szCs w:val="20"/>
              </w:rPr>
              <w:t>[]</w:t>
            </w:r>
          </w:p>
        </w:tc>
      </w:tr>
      <w:tr w:rsidR="00077BCF" w:rsidTr="00D35EA9">
        <w:trPr>
          <w:trHeight w:val="372"/>
        </w:trPr>
        <w:tc>
          <w:tcPr>
            <w:tcW w:w="1714" w:type="dxa"/>
            <w:shd w:val="clear" w:color="auto" w:fill="auto"/>
          </w:tcPr>
          <w:p w:rsidR="00077BCF" w:rsidRPr="00077BCF" w:rsidRDefault="00077BCF" w:rsidP="00D35EA9">
            <w:pPr>
              <w:pStyle w:val="Text-bulleted"/>
              <w:numPr>
                <w:ilvl w:val="0"/>
                <w:numId w:val="0"/>
              </w:numPr>
              <w:spacing w:before="120" w:after="120"/>
              <w:ind w:left="360" w:hanging="360"/>
              <w:rPr>
                <w:szCs w:val="20"/>
              </w:rPr>
            </w:pPr>
            <w:r w:rsidRPr="00077BCF">
              <w:rPr>
                <w:szCs w:val="20"/>
              </w:rPr>
              <w:t>Response:</w:t>
            </w:r>
          </w:p>
        </w:tc>
        <w:tc>
          <w:tcPr>
            <w:tcW w:w="7148" w:type="dxa"/>
            <w:shd w:val="clear" w:color="auto" w:fill="auto"/>
          </w:tcPr>
          <w:p w:rsidR="00077BCF" w:rsidRDefault="00077BCF" w:rsidP="00D35EA9">
            <w:pPr>
              <w:pStyle w:val="Text-bulleted"/>
              <w:numPr>
                <w:ilvl w:val="0"/>
                <w:numId w:val="0"/>
              </w:numPr>
              <w:spacing w:before="120" w:after="120"/>
              <w:ind w:left="360" w:hanging="360"/>
              <w:rPr>
                <w:b/>
                <w:szCs w:val="20"/>
              </w:rPr>
            </w:pPr>
          </w:p>
          <w:p w:rsidR="00CE34C2" w:rsidRDefault="00CE34C2" w:rsidP="00D35EA9">
            <w:pPr>
              <w:pStyle w:val="Text-bulleted"/>
              <w:numPr>
                <w:ilvl w:val="0"/>
                <w:numId w:val="0"/>
              </w:numPr>
              <w:spacing w:before="120" w:after="120"/>
              <w:ind w:left="360" w:hanging="360"/>
              <w:rPr>
                <w:b/>
                <w:szCs w:val="20"/>
              </w:rPr>
            </w:pPr>
          </w:p>
          <w:p w:rsidR="00CE34C2" w:rsidRDefault="00CE34C2" w:rsidP="00D35EA9">
            <w:pPr>
              <w:pStyle w:val="Text-bulleted"/>
              <w:numPr>
                <w:ilvl w:val="0"/>
                <w:numId w:val="0"/>
              </w:numPr>
              <w:spacing w:before="120" w:after="120"/>
              <w:ind w:left="360" w:hanging="360"/>
              <w:rPr>
                <w:b/>
                <w:szCs w:val="20"/>
              </w:rPr>
            </w:pPr>
          </w:p>
          <w:p w:rsidR="00CE34C2" w:rsidRDefault="00CE34C2" w:rsidP="00D35EA9">
            <w:pPr>
              <w:pStyle w:val="Text-bulleted"/>
              <w:numPr>
                <w:ilvl w:val="0"/>
                <w:numId w:val="0"/>
              </w:numPr>
              <w:spacing w:before="120" w:after="120"/>
              <w:ind w:left="360" w:hanging="360"/>
              <w:rPr>
                <w:b/>
                <w:szCs w:val="20"/>
              </w:rPr>
            </w:pPr>
          </w:p>
          <w:p w:rsidR="00CE34C2" w:rsidRDefault="00CE34C2" w:rsidP="00D35EA9">
            <w:pPr>
              <w:pStyle w:val="Text-bulleted"/>
              <w:numPr>
                <w:ilvl w:val="0"/>
                <w:numId w:val="0"/>
              </w:numPr>
              <w:spacing w:before="120" w:after="120"/>
              <w:ind w:left="360" w:hanging="360"/>
              <w:rPr>
                <w:b/>
                <w:szCs w:val="20"/>
              </w:rPr>
            </w:pPr>
          </w:p>
          <w:p w:rsidR="00CE34C2" w:rsidRDefault="00CE34C2" w:rsidP="00D35EA9">
            <w:pPr>
              <w:pStyle w:val="Text-bulleted"/>
              <w:numPr>
                <w:ilvl w:val="0"/>
                <w:numId w:val="0"/>
              </w:numPr>
              <w:spacing w:before="120" w:after="120"/>
              <w:ind w:left="360" w:hanging="360"/>
              <w:rPr>
                <w:b/>
                <w:szCs w:val="20"/>
              </w:rPr>
            </w:pPr>
          </w:p>
          <w:p w:rsidR="00CE34C2" w:rsidRDefault="00CE34C2" w:rsidP="00D35EA9">
            <w:pPr>
              <w:pStyle w:val="Text-bulleted"/>
              <w:numPr>
                <w:ilvl w:val="0"/>
                <w:numId w:val="0"/>
              </w:numPr>
              <w:spacing w:before="120" w:after="120"/>
              <w:ind w:left="360" w:hanging="360"/>
              <w:rPr>
                <w:b/>
                <w:szCs w:val="20"/>
              </w:rPr>
            </w:pPr>
          </w:p>
          <w:p w:rsidR="00CE34C2" w:rsidRDefault="00CE34C2" w:rsidP="00D35EA9">
            <w:pPr>
              <w:pStyle w:val="Text-bulleted"/>
              <w:numPr>
                <w:ilvl w:val="0"/>
                <w:numId w:val="0"/>
              </w:numPr>
              <w:spacing w:before="120" w:after="120"/>
              <w:ind w:left="360" w:hanging="360"/>
              <w:rPr>
                <w:b/>
                <w:szCs w:val="20"/>
              </w:rPr>
            </w:pPr>
          </w:p>
          <w:p w:rsidR="00C5061D" w:rsidRDefault="00C5061D" w:rsidP="00D35EA9">
            <w:pPr>
              <w:pStyle w:val="Text-bulleted"/>
              <w:numPr>
                <w:ilvl w:val="0"/>
                <w:numId w:val="0"/>
              </w:numPr>
              <w:spacing w:before="120" w:after="120"/>
              <w:ind w:left="360" w:hanging="360"/>
              <w:rPr>
                <w:b/>
                <w:szCs w:val="20"/>
              </w:rPr>
            </w:pPr>
          </w:p>
          <w:p w:rsidR="00C5061D" w:rsidRDefault="00C5061D" w:rsidP="00D35EA9">
            <w:pPr>
              <w:pStyle w:val="Text-bulleted"/>
              <w:numPr>
                <w:ilvl w:val="0"/>
                <w:numId w:val="0"/>
              </w:numPr>
              <w:spacing w:before="120" w:after="120"/>
              <w:ind w:left="360" w:hanging="360"/>
              <w:rPr>
                <w:b/>
                <w:szCs w:val="20"/>
              </w:rPr>
            </w:pPr>
          </w:p>
          <w:p w:rsidR="00C5061D" w:rsidRDefault="00C5061D" w:rsidP="00D35EA9">
            <w:pPr>
              <w:pStyle w:val="Text-bulleted"/>
              <w:numPr>
                <w:ilvl w:val="0"/>
                <w:numId w:val="0"/>
              </w:numPr>
              <w:spacing w:before="120" w:after="120"/>
              <w:ind w:left="360" w:hanging="360"/>
              <w:rPr>
                <w:b/>
                <w:szCs w:val="20"/>
              </w:rPr>
            </w:pPr>
          </w:p>
          <w:p w:rsidR="00C5061D" w:rsidRDefault="00C5061D" w:rsidP="00D35EA9">
            <w:pPr>
              <w:pStyle w:val="Text-bulleted"/>
              <w:numPr>
                <w:ilvl w:val="0"/>
                <w:numId w:val="0"/>
              </w:numPr>
              <w:spacing w:before="120" w:after="120"/>
              <w:ind w:left="360" w:hanging="360"/>
              <w:rPr>
                <w:b/>
                <w:szCs w:val="20"/>
              </w:rPr>
            </w:pPr>
          </w:p>
          <w:p w:rsidR="00C5061D" w:rsidRDefault="00C5061D" w:rsidP="00D35EA9">
            <w:pPr>
              <w:pStyle w:val="Text-bulleted"/>
              <w:numPr>
                <w:ilvl w:val="0"/>
                <w:numId w:val="0"/>
              </w:numPr>
              <w:spacing w:before="120" w:after="120"/>
              <w:ind w:left="360" w:hanging="360"/>
              <w:rPr>
                <w:b/>
                <w:szCs w:val="20"/>
              </w:rPr>
            </w:pPr>
          </w:p>
          <w:p w:rsidR="00C5061D" w:rsidRDefault="00C5061D" w:rsidP="00D35EA9">
            <w:pPr>
              <w:pStyle w:val="Text-bulleted"/>
              <w:numPr>
                <w:ilvl w:val="0"/>
                <w:numId w:val="0"/>
              </w:numPr>
              <w:spacing w:before="120" w:after="120"/>
              <w:ind w:left="360" w:hanging="360"/>
              <w:rPr>
                <w:b/>
                <w:szCs w:val="20"/>
              </w:rPr>
            </w:pPr>
          </w:p>
          <w:p w:rsidR="00C5061D" w:rsidRDefault="00C5061D" w:rsidP="00D35EA9">
            <w:pPr>
              <w:pStyle w:val="Text-bulleted"/>
              <w:numPr>
                <w:ilvl w:val="0"/>
                <w:numId w:val="0"/>
              </w:numPr>
              <w:spacing w:before="120" w:after="120"/>
              <w:ind w:left="360" w:hanging="360"/>
              <w:rPr>
                <w:b/>
                <w:szCs w:val="20"/>
              </w:rPr>
            </w:pPr>
          </w:p>
          <w:p w:rsidR="00CE34C2" w:rsidRPr="00855E89" w:rsidRDefault="00CE34C2" w:rsidP="00D35EA9">
            <w:pPr>
              <w:pStyle w:val="Text-bulleted"/>
              <w:numPr>
                <w:ilvl w:val="0"/>
                <w:numId w:val="0"/>
              </w:numPr>
              <w:spacing w:before="120" w:after="120"/>
              <w:ind w:left="360" w:hanging="360"/>
              <w:rPr>
                <w:b/>
                <w:szCs w:val="20"/>
              </w:rPr>
            </w:pPr>
          </w:p>
        </w:tc>
      </w:tr>
    </w:tbl>
    <w:p w:rsidR="00410657" w:rsidRPr="00F94B90" w:rsidRDefault="00410657" w:rsidP="00410657">
      <w:pPr>
        <w:pStyle w:val="Text-bulleted"/>
        <w:numPr>
          <w:ilvl w:val="0"/>
          <w:numId w:val="0"/>
        </w:numPr>
        <w:contextualSpacing/>
        <w:rPr>
          <w:sz w:val="10"/>
          <w:szCs w:val="10"/>
        </w:rPr>
      </w:pPr>
    </w:p>
    <w:p w:rsidR="00346C2E" w:rsidRDefault="00346C2E">
      <w:pPr>
        <w:rPr>
          <w:rFonts w:cs="Arial"/>
          <w:b/>
          <w:bCs/>
          <w:color w:val="333399"/>
          <w:sz w:val="24"/>
        </w:rPr>
      </w:pPr>
      <w:bookmarkStart w:id="37" w:name="_Toc277259990"/>
      <w:r>
        <w:br w:type="page"/>
      </w:r>
    </w:p>
    <w:p w:rsidR="00410657" w:rsidRDefault="00152E99" w:rsidP="001C7FC5">
      <w:pPr>
        <w:pStyle w:val="Heading1"/>
      </w:pPr>
      <w:bookmarkStart w:id="38" w:name="_Toc283819653"/>
      <w:r>
        <w:lastRenderedPageBreak/>
        <w:t>Section 5</w:t>
      </w:r>
      <w:r w:rsidR="00410657">
        <w:t xml:space="preserve">: </w:t>
      </w:r>
      <w:bookmarkEnd w:id="37"/>
      <w:r w:rsidR="00192468">
        <w:t>Financial and Commercial Risk Management</w:t>
      </w:r>
      <w:bookmarkEnd w:id="38"/>
    </w:p>
    <w:tbl>
      <w:tblPr>
        <w:tblStyle w:val="TableGrid"/>
        <w:tblW w:w="8897" w:type="dxa"/>
        <w:tblLook w:val="04A0"/>
      </w:tblPr>
      <w:tblGrid>
        <w:gridCol w:w="8897"/>
      </w:tblGrid>
      <w:tr w:rsidR="00C7744A" w:rsidTr="00454D96">
        <w:tc>
          <w:tcPr>
            <w:tcW w:w="8897" w:type="dxa"/>
            <w:tcBorders>
              <w:bottom w:val="single" w:sz="4" w:space="0" w:color="000000" w:themeColor="text1"/>
            </w:tcBorders>
            <w:shd w:val="clear" w:color="auto" w:fill="F2F2F2" w:themeFill="background1" w:themeFillShade="F2"/>
          </w:tcPr>
          <w:p w:rsidR="00C7744A" w:rsidRPr="000811C2" w:rsidRDefault="009552AD" w:rsidP="00AF47E4">
            <w:pPr>
              <w:pStyle w:val="Paragrapgh"/>
              <w:numPr>
                <w:ilvl w:val="0"/>
                <w:numId w:val="0"/>
              </w:numPr>
              <w:spacing w:before="120" w:after="120"/>
              <w:rPr>
                <w:b/>
              </w:rPr>
            </w:pPr>
            <w:r>
              <w:rPr>
                <w:b/>
              </w:rPr>
              <w:t>[5,</w:t>
            </w:r>
            <w:r w:rsidR="00C7744A" w:rsidRPr="000811C2">
              <w:rPr>
                <w:b/>
              </w:rPr>
              <w:t>Part 1</w:t>
            </w:r>
            <w:r>
              <w:rPr>
                <w:b/>
              </w:rPr>
              <w:t>]</w:t>
            </w:r>
          </w:p>
          <w:p w:rsidR="00C7744A" w:rsidRDefault="00E46FCF" w:rsidP="00AF47E4">
            <w:pPr>
              <w:pStyle w:val="Text-bulleted"/>
              <w:numPr>
                <w:ilvl w:val="0"/>
                <w:numId w:val="0"/>
              </w:numPr>
              <w:spacing w:before="120" w:after="120"/>
              <w:ind w:left="357" w:hanging="357"/>
            </w:pPr>
            <w:r>
              <w:t>Please</w:t>
            </w:r>
            <w:r w:rsidR="00C7744A">
              <w:t xml:space="preserve"> provide the following, in a </w:t>
            </w:r>
            <w:r w:rsidR="00C7744A" w:rsidRPr="00F067E5">
              <w:rPr>
                <w:b/>
              </w:rPr>
              <w:t>maximum of four pages</w:t>
            </w:r>
            <w:r w:rsidR="00985F6D">
              <w:rPr>
                <w:b/>
              </w:rPr>
              <w:t xml:space="preserve"> in total</w:t>
            </w:r>
            <w:r w:rsidR="00C7744A">
              <w:t>:</w:t>
            </w:r>
          </w:p>
        </w:tc>
      </w:tr>
      <w:tr w:rsidR="00855E89" w:rsidTr="00AA66BC">
        <w:trPr>
          <w:trHeight w:val="1464"/>
        </w:trPr>
        <w:tc>
          <w:tcPr>
            <w:tcW w:w="8897" w:type="dxa"/>
            <w:tcBorders>
              <w:bottom w:val="single" w:sz="4" w:space="0" w:color="000000" w:themeColor="text1"/>
            </w:tcBorders>
            <w:shd w:val="clear" w:color="auto" w:fill="F2F2F2" w:themeFill="background1" w:themeFillShade="F2"/>
          </w:tcPr>
          <w:p w:rsidR="00855E89" w:rsidRPr="00F067E5" w:rsidRDefault="00855E89" w:rsidP="00AF47E4">
            <w:pPr>
              <w:pStyle w:val="Paragrapgh"/>
              <w:numPr>
                <w:ilvl w:val="0"/>
                <w:numId w:val="0"/>
              </w:numPr>
              <w:spacing w:before="120" w:after="120"/>
            </w:pPr>
            <w:r w:rsidRPr="00855E89">
              <w:rPr>
                <w:b/>
              </w:rPr>
              <w:t>[5,Part</w:t>
            </w:r>
            <w:r w:rsidR="00A205AE">
              <w:rPr>
                <w:b/>
              </w:rPr>
              <w:t xml:space="preserve"> </w:t>
            </w:r>
            <w:r w:rsidRPr="00855E89">
              <w:rPr>
                <w:b/>
              </w:rPr>
              <w:t>1,A]</w:t>
            </w:r>
            <w:r w:rsidR="00161EA1">
              <w:t xml:space="preserve"> d</w:t>
            </w:r>
            <w:r>
              <w:t xml:space="preserve">etails of your understanding of the key risks that could have a financial and/or commercial impact upon the relevant Qualifying Project, and how you would </w:t>
            </w:r>
            <w:r w:rsidRPr="00F067E5">
              <w:t>approach dealing with those impacts</w:t>
            </w:r>
            <w:r w:rsidR="00161EA1" w:rsidRPr="00F067E5">
              <w:t>; and</w:t>
            </w:r>
          </w:p>
          <w:p w:rsidR="00855E89" w:rsidRDefault="00855E89" w:rsidP="0060317F">
            <w:pPr>
              <w:pStyle w:val="Paragrapgh"/>
              <w:numPr>
                <w:ilvl w:val="0"/>
                <w:numId w:val="0"/>
              </w:numPr>
              <w:spacing w:before="240" w:after="120"/>
            </w:pPr>
            <w:r w:rsidRPr="00F067E5">
              <w:rPr>
                <w:b/>
              </w:rPr>
              <w:t>[5,Part 1,B]</w:t>
            </w:r>
            <w:r w:rsidRPr="00F067E5">
              <w:t xml:space="preserve"> </w:t>
            </w:r>
            <w:r w:rsidR="00161EA1" w:rsidRPr="00F067E5">
              <w:t>a</w:t>
            </w:r>
            <w:r w:rsidRPr="00F067E5">
              <w:t xml:space="preserve"> description of your proposed approach to insurance</w:t>
            </w:r>
            <w:r w:rsidR="00161EA1" w:rsidRPr="00F067E5">
              <w:t>.</w:t>
            </w:r>
          </w:p>
        </w:tc>
      </w:tr>
      <w:tr w:rsidR="00AA66BC" w:rsidTr="00AA66BC">
        <w:trPr>
          <w:trHeight w:val="961"/>
        </w:trPr>
        <w:tc>
          <w:tcPr>
            <w:tcW w:w="8897" w:type="dxa"/>
            <w:shd w:val="clear" w:color="auto" w:fill="auto"/>
          </w:tcPr>
          <w:p w:rsidR="00AA66BC" w:rsidRDefault="00AA66BC" w:rsidP="00AF47E4">
            <w:pPr>
              <w:pStyle w:val="Paragrapgh"/>
              <w:numPr>
                <w:ilvl w:val="0"/>
                <w:numId w:val="0"/>
              </w:numPr>
              <w:spacing w:before="120" w:after="120"/>
              <w:rPr>
                <w:b/>
              </w:rPr>
            </w:pPr>
          </w:p>
          <w:p w:rsidR="00807738" w:rsidRDefault="00807738" w:rsidP="00AF47E4">
            <w:pPr>
              <w:pStyle w:val="Paragrapgh"/>
              <w:numPr>
                <w:ilvl w:val="0"/>
                <w:numId w:val="0"/>
              </w:numPr>
              <w:spacing w:before="120" w:after="120"/>
              <w:rPr>
                <w:b/>
              </w:rPr>
            </w:pPr>
          </w:p>
          <w:p w:rsidR="00807738" w:rsidRDefault="00807738" w:rsidP="00AF47E4">
            <w:pPr>
              <w:pStyle w:val="Paragrapgh"/>
              <w:numPr>
                <w:ilvl w:val="0"/>
                <w:numId w:val="0"/>
              </w:numPr>
              <w:spacing w:before="120" w:after="120"/>
              <w:rPr>
                <w:b/>
              </w:rPr>
            </w:pPr>
          </w:p>
          <w:p w:rsidR="00807738" w:rsidRDefault="00807738" w:rsidP="00AF47E4">
            <w:pPr>
              <w:pStyle w:val="Paragrapgh"/>
              <w:numPr>
                <w:ilvl w:val="0"/>
                <w:numId w:val="0"/>
              </w:numPr>
              <w:spacing w:before="120" w:after="120"/>
              <w:rPr>
                <w:b/>
              </w:rPr>
            </w:pPr>
          </w:p>
          <w:p w:rsidR="00807738" w:rsidRPr="00855E89" w:rsidRDefault="00807738" w:rsidP="00AF47E4">
            <w:pPr>
              <w:pStyle w:val="Paragrapgh"/>
              <w:numPr>
                <w:ilvl w:val="0"/>
                <w:numId w:val="0"/>
              </w:numPr>
              <w:spacing w:before="120" w:after="120"/>
              <w:rPr>
                <w:b/>
              </w:rPr>
            </w:pPr>
          </w:p>
        </w:tc>
      </w:tr>
    </w:tbl>
    <w:p w:rsidR="00410657" w:rsidRPr="006E7C1E" w:rsidRDefault="00410657" w:rsidP="00410657">
      <w:pPr>
        <w:pStyle w:val="Paragrapgh"/>
        <w:numPr>
          <w:ilvl w:val="0"/>
          <w:numId w:val="0"/>
        </w:numPr>
        <w:spacing w:before="0" w:after="0"/>
        <w:contextualSpacing/>
        <w:rPr>
          <w:sz w:val="10"/>
          <w:szCs w:val="10"/>
        </w:rPr>
      </w:pPr>
    </w:p>
    <w:tbl>
      <w:tblPr>
        <w:tblStyle w:val="TableGrid"/>
        <w:tblW w:w="8897" w:type="dxa"/>
        <w:tblLook w:val="04A0"/>
      </w:tblPr>
      <w:tblGrid>
        <w:gridCol w:w="8897"/>
      </w:tblGrid>
      <w:tr w:rsidR="00D83C15" w:rsidTr="00454D96">
        <w:tc>
          <w:tcPr>
            <w:tcW w:w="8897" w:type="dxa"/>
            <w:tcBorders>
              <w:bottom w:val="single" w:sz="4" w:space="0" w:color="000000" w:themeColor="text1"/>
            </w:tcBorders>
            <w:shd w:val="clear" w:color="auto" w:fill="F2F2F2" w:themeFill="background1" w:themeFillShade="F2"/>
          </w:tcPr>
          <w:p w:rsidR="00D83C15" w:rsidRPr="000811C2" w:rsidRDefault="009552AD" w:rsidP="00AF47E4">
            <w:pPr>
              <w:pStyle w:val="Paragrapgh"/>
              <w:numPr>
                <w:ilvl w:val="0"/>
                <w:numId w:val="0"/>
              </w:numPr>
              <w:spacing w:before="120" w:after="120"/>
              <w:rPr>
                <w:b/>
              </w:rPr>
            </w:pPr>
            <w:r>
              <w:rPr>
                <w:b/>
              </w:rPr>
              <w:t>[5,</w:t>
            </w:r>
            <w:r w:rsidR="00D83C15" w:rsidRPr="000811C2">
              <w:rPr>
                <w:b/>
              </w:rPr>
              <w:t>Part 2</w:t>
            </w:r>
            <w:r>
              <w:rPr>
                <w:b/>
              </w:rPr>
              <w:t>]</w:t>
            </w:r>
          </w:p>
          <w:p w:rsidR="00D83C15" w:rsidRDefault="00985F6D" w:rsidP="00AF47E4">
            <w:pPr>
              <w:pStyle w:val="Text-bulleted"/>
              <w:numPr>
                <w:ilvl w:val="0"/>
                <w:numId w:val="0"/>
              </w:numPr>
              <w:spacing w:before="120" w:after="120"/>
            </w:pPr>
            <w:r>
              <w:t>Please</w:t>
            </w:r>
            <w:r w:rsidR="00D83C15">
              <w:t xml:space="preserve"> provide the following, in a </w:t>
            </w:r>
            <w:r w:rsidR="00D83C15" w:rsidRPr="00E46FCF">
              <w:rPr>
                <w:b/>
              </w:rPr>
              <w:t>maximum of four pages</w:t>
            </w:r>
            <w:r>
              <w:rPr>
                <w:b/>
              </w:rPr>
              <w:t xml:space="preserve"> in total</w:t>
            </w:r>
            <w:r w:rsidR="00D83C15">
              <w:t>:</w:t>
            </w:r>
          </w:p>
        </w:tc>
      </w:tr>
      <w:tr w:rsidR="00855E89" w:rsidTr="00AA66BC">
        <w:trPr>
          <w:trHeight w:val="4106"/>
        </w:trPr>
        <w:tc>
          <w:tcPr>
            <w:tcW w:w="8897" w:type="dxa"/>
            <w:tcBorders>
              <w:bottom w:val="single" w:sz="4" w:space="0" w:color="000000" w:themeColor="text1"/>
            </w:tcBorders>
            <w:shd w:val="clear" w:color="auto" w:fill="F2F2F2" w:themeFill="background1" w:themeFillShade="F2"/>
          </w:tcPr>
          <w:p w:rsidR="00855E89" w:rsidRDefault="00855E89" w:rsidP="00AF47E4">
            <w:pPr>
              <w:pStyle w:val="Paragrapgh"/>
              <w:numPr>
                <w:ilvl w:val="0"/>
                <w:numId w:val="0"/>
              </w:numPr>
              <w:spacing w:before="120" w:after="120"/>
            </w:pPr>
            <w:r w:rsidRPr="00855E89">
              <w:rPr>
                <w:b/>
              </w:rPr>
              <w:t>[5,Part</w:t>
            </w:r>
            <w:r w:rsidR="00A205AE">
              <w:rPr>
                <w:b/>
              </w:rPr>
              <w:t xml:space="preserve"> </w:t>
            </w:r>
            <w:r w:rsidRPr="00855E89">
              <w:rPr>
                <w:b/>
              </w:rPr>
              <w:t>2,A]</w:t>
            </w:r>
            <w:r w:rsidR="00161EA1">
              <w:t xml:space="preserve"> d</w:t>
            </w:r>
            <w:r>
              <w:t xml:space="preserve">etails of your approach to </w:t>
            </w:r>
            <w:r w:rsidR="00161EA1">
              <w:t>funding potential delays to asset transfer</w:t>
            </w:r>
            <w:r>
              <w:t>, and potential liquidity constraints, citing examples of past experience, including descriptions, where possible</w:t>
            </w:r>
            <w:r w:rsidR="00161EA1">
              <w:t>;</w:t>
            </w:r>
            <w:r>
              <w:t xml:space="preserve">  </w:t>
            </w:r>
          </w:p>
          <w:p w:rsidR="00855E89" w:rsidRDefault="00855E89" w:rsidP="0060317F">
            <w:pPr>
              <w:pStyle w:val="Paragrapgh"/>
              <w:numPr>
                <w:ilvl w:val="0"/>
                <w:numId w:val="0"/>
              </w:numPr>
              <w:spacing w:before="240" w:after="120"/>
            </w:pPr>
            <w:r w:rsidRPr="00855E89">
              <w:rPr>
                <w:b/>
              </w:rPr>
              <w:t>[5,Part 2,B]</w:t>
            </w:r>
            <w:r w:rsidR="00161EA1">
              <w:t xml:space="preserve"> a</w:t>
            </w:r>
            <w:r>
              <w:t xml:space="preserve"> description of how you propose to manage the likely need for additional funding based on Ofgem’s determination of the Final Transfer Value </w:t>
            </w:r>
            <w:r w:rsidR="0060317F">
              <w:t xml:space="preserve">of the Qualifying Project </w:t>
            </w:r>
            <w:r>
              <w:t>post asset transfer</w:t>
            </w:r>
            <w:r w:rsidR="00161EA1">
              <w:t>;</w:t>
            </w:r>
          </w:p>
          <w:p w:rsidR="00855E89" w:rsidRDefault="00855E89" w:rsidP="0060317F">
            <w:pPr>
              <w:pStyle w:val="Paragrapgh"/>
              <w:numPr>
                <w:ilvl w:val="0"/>
                <w:numId w:val="0"/>
              </w:numPr>
              <w:spacing w:before="240" w:after="120"/>
            </w:pPr>
            <w:r w:rsidRPr="00855E89">
              <w:rPr>
                <w:b/>
              </w:rPr>
              <w:t>[5,Part</w:t>
            </w:r>
            <w:r w:rsidR="00A205AE">
              <w:rPr>
                <w:b/>
              </w:rPr>
              <w:t xml:space="preserve"> </w:t>
            </w:r>
            <w:r w:rsidRPr="00855E89">
              <w:rPr>
                <w:b/>
              </w:rPr>
              <w:t>2,C]</w:t>
            </w:r>
            <w:r>
              <w:t xml:space="preserve"> </w:t>
            </w:r>
            <w:r w:rsidR="00161EA1">
              <w:t>a</w:t>
            </w:r>
            <w:r>
              <w:t xml:space="preserve"> description of your approach to satisfying Standard Licence Condition E17 of the Offshore Transmission Licence (Obligations in Relation to Offers for Connection, etc.) that an OFTO fund incremental investments at any point over the period of the licence, </w:t>
            </w:r>
            <w:r w:rsidR="007A2A75">
              <w:t>at a value of up to 20% of the F</w:t>
            </w:r>
            <w:r>
              <w:t>inal Transfer Value of the Qualifying Project</w:t>
            </w:r>
            <w:r w:rsidR="00161EA1">
              <w:t>; and</w:t>
            </w:r>
          </w:p>
          <w:p w:rsidR="00855E89" w:rsidRDefault="00855E89" w:rsidP="0060317F">
            <w:pPr>
              <w:pStyle w:val="Paragrapgh"/>
              <w:numPr>
                <w:ilvl w:val="0"/>
                <w:numId w:val="0"/>
              </w:numPr>
              <w:spacing w:before="240" w:after="120"/>
            </w:pPr>
            <w:r w:rsidRPr="00855E89">
              <w:rPr>
                <w:b/>
              </w:rPr>
              <w:t xml:space="preserve">[5,Part 2,D] </w:t>
            </w:r>
            <w:r w:rsidR="00161EA1">
              <w:t>a</w:t>
            </w:r>
            <w:r>
              <w:t xml:space="preserve"> description of your approach to satisfying Standard Licence Condition E7 of the Offshore Transmission Licence (Restriction on Activity and Financial Ring Fencing)</w:t>
            </w:r>
            <w:r w:rsidR="00161EA1">
              <w:t>.</w:t>
            </w:r>
          </w:p>
        </w:tc>
      </w:tr>
      <w:tr w:rsidR="00AA66BC" w:rsidTr="00AA66BC">
        <w:trPr>
          <w:trHeight w:val="847"/>
        </w:trPr>
        <w:tc>
          <w:tcPr>
            <w:tcW w:w="8897" w:type="dxa"/>
            <w:shd w:val="clear" w:color="auto" w:fill="auto"/>
          </w:tcPr>
          <w:p w:rsidR="00AA66BC" w:rsidRDefault="00AA66BC" w:rsidP="00AF47E4">
            <w:pPr>
              <w:pStyle w:val="Paragrapgh"/>
              <w:numPr>
                <w:ilvl w:val="0"/>
                <w:numId w:val="0"/>
              </w:numPr>
              <w:spacing w:before="120" w:after="120"/>
              <w:rPr>
                <w:b/>
              </w:rPr>
            </w:pPr>
          </w:p>
          <w:p w:rsidR="00807738" w:rsidRDefault="00807738" w:rsidP="00AF47E4">
            <w:pPr>
              <w:pStyle w:val="Paragrapgh"/>
              <w:numPr>
                <w:ilvl w:val="0"/>
                <w:numId w:val="0"/>
              </w:numPr>
              <w:spacing w:before="120" w:after="120"/>
              <w:rPr>
                <w:b/>
              </w:rPr>
            </w:pPr>
          </w:p>
          <w:p w:rsidR="00807738" w:rsidRDefault="00807738" w:rsidP="00AF47E4">
            <w:pPr>
              <w:pStyle w:val="Paragrapgh"/>
              <w:numPr>
                <w:ilvl w:val="0"/>
                <w:numId w:val="0"/>
              </w:numPr>
              <w:spacing w:before="120" w:after="120"/>
              <w:rPr>
                <w:b/>
              </w:rPr>
            </w:pPr>
          </w:p>
          <w:p w:rsidR="00807738" w:rsidRDefault="00807738" w:rsidP="00AF47E4">
            <w:pPr>
              <w:pStyle w:val="Paragrapgh"/>
              <w:numPr>
                <w:ilvl w:val="0"/>
                <w:numId w:val="0"/>
              </w:numPr>
              <w:spacing w:before="120" w:after="120"/>
              <w:rPr>
                <w:b/>
              </w:rPr>
            </w:pPr>
          </w:p>
          <w:p w:rsidR="0083232C" w:rsidRPr="00855E89" w:rsidRDefault="0083232C" w:rsidP="00AF47E4">
            <w:pPr>
              <w:pStyle w:val="Paragrapgh"/>
              <w:numPr>
                <w:ilvl w:val="0"/>
                <w:numId w:val="0"/>
              </w:numPr>
              <w:spacing w:before="120" w:after="120"/>
              <w:rPr>
                <w:b/>
              </w:rPr>
            </w:pPr>
          </w:p>
        </w:tc>
      </w:tr>
    </w:tbl>
    <w:p w:rsidR="00807738" w:rsidRDefault="00807738">
      <w:pPr>
        <w:rPr>
          <w:rFonts w:cs="Arial"/>
          <w:b/>
          <w:bCs/>
          <w:color w:val="333399"/>
          <w:sz w:val="24"/>
        </w:rPr>
      </w:pPr>
      <w:bookmarkStart w:id="39" w:name="_Toc277259991"/>
      <w:r>
        <w:br w:type="page"/>
      </w:r>
    </w:p>
    <w:p w:rsidR="00410657" w:rsidRDefault="003B5FA7" w:rsidP="001C7FC5">
      <w:pPr>
        <w:pStyle w:val="Heading1"/>
      </w:pPr>
      <w:bookmarkStart w:id="40" w:name="_Toc283819654"/>
      <w:r>
        <w:lastRenderedPageBreak/>
        <w:t>Section 6</w:t>
      </w:r>
      <w:r w:rsidR="00410657">
        <w:t xml:space="preserve">: </w:t>
      </w:r>
      <w:bookmarkEnd w:id="39"/>
      <w:r>
        <w:t>Shareholding/</w:t>
      </w:r>
      <w:r w:rsidR="003A306C">
        <w:t xml:space="preserve">Bidder Group </w:t>
      </w:r>
      <w:r>
        <w:t>Structure</w:t>
      </w:r>
      <w:bookmarkEnd w:id="40"/>
    </w:p>
    <w:tbl>
      <w:tblPr>
        <w:tblStyle w:val="TableGrid"/>
        <w:tblW w:w="8897" w:type="dxa"/>
        <w:tblLook w:val="04A0"/>
      </w:tblPr>
      <w:tblGrid>
        <w:gridCol w:w="8897"/>
      </w:tblGrid>
      <w:tr w:rsidR="00FA3B46" w:rsidTr="00FA3B46">
        <w:tc>
          <w:tcPr>
            <w:tcW w:w="8897" w:type="dxa"/>
            <w:shd w:val="clear" w:color="auto" w:fill="F2F2F2" w:themeFill="background1" w:themeFillShade="F2"/>
          </w:tcPr>
          <w:p w:rsidR="00FA3B46" w:rsidRDefault="00FF01FF" w:rsidP="00AF47E4">
            <w:pPr>
              <w:pStyle w:val="Text-bulleted"/>
              <w:numPr>
                <w:ilvl w:val="0"/>
                <w:numId w:val="0"/>
              </w:numPr>
              <w:spacing w:before="120" w:after="120"/>
            </w:pPr>
            <w:r>
              <w:t>Please p</w:t>
            </w:r>
            <w:r w:rsidR="00FA3B46">
              <w:t xml:space="preserve">rovide the following, in a </w:t>
            </w:r>
            <w:r w:rsidR="00FA3B46" w:rsidRPr="00FF01FF">
              <w:rPr>
                <w:b/>
              </w:rPr>
              <w:t>maximum of three pages</w:t>
            </w:r>
            <w:r w:rsidRPr="00FF01FF">
              <w:rPr>
                <w:b/>
              </w:rPr>
              <w:t xml:space="preserve"> in total</w:t>
            </w:r>
            <w:r w:rsidR="00FA3B46">
              <w:t>:</w:t>
            </w:r>
          </w:p>
        </w:tc>
      </w:tr>
      <w:tr w:rsidR="00855E89" w:rsidTr="00AA66BC">
        <w:trPr>
          <w:trHeight w:val="2380"/>
        </w:trPr>
        <w:tc>
          <w:tcPr>
            <w:tcW w:w="8897" w:type="dxa"/>
            <w:tcBorders>
              <w:bottom w:val="single" w:sz="4" w:space="0" w:color="000000" w:themeColor="text1"/>
            </w:tcBorders>
            <w:shd w:val="clear" w:color="auto" w:fill="F2F2F2" w:themeFill="background1" w:themeFillShade="F2"/>
          </w:tcPr>
          <w:p w:rsidR="00855E89" w:rsidRDefault="00855E89" w:rsidP="00AF47E4">
            <w:pPr>
              <w:pStyle w:val="Paragrapgh"/>
              <w:numPr>
                <w:ilvl w:val="0"/>
                <w:numId w:val="0"/>
              </w:numPr>
              <w:spacing w:before="120" w:after="120"/>
            </w:pPr>
            <w:r w:rsidRPr="00855E89">
              <w:rPr>
                <w:b/>
              </w:rPr>
              <w:t>[6A]</w:t>
            </w:r>
            <w:r w:rsidR="00161EA1">
              <w:t xml:space="preserve"> d</w:t>
            </w:r>
            <w:r>
              <w:t xml:space="preserve">etails of the proposed shareholding/Bidder Group organisational structure, making clear the identity of the entity that will hold the Offshore Transmission Licence for the relevant Qualifying Project and the roles, decision-making </w:t>
            </w:r>
            <w:r w:rsidRPr="00F067E5">
              <w:t>responsibilities, delegated authority, and</w:t>
            </w:r>
            <w:r>
              <w:t xml:space="preserve"> relationship which each Bidder Group member will have within and/or with the OFTO</w:t>
            </w:r>
            <w:r w:rsidR="00161EA1">
              <w:t>; and</w:t>
            </w:r>
          </w:p>
          <w:p w:rsidR="00855E89" w:rsidRDefault="00855E89" w:rsidP="0060317F">
            <w:pPr>
              <w:pStyle w:val="Paragrapgh"/>
              <w:numPr>
                <w:ilvl w:val="0"/>
                <w:numId w:val="0"/>
              </w:numPr>
              <w:spacing w:before="240" w:after="120"/>
            </w:pPr>
            <w:r w:rsidRPr="00855E89">
              <w:rPr>
                <w:b/>
              </w:rPr>
              <w:t>[6B]</w:t>
            </w:r>
            <w:r w:rsidR="00161EA1">
              <w:t xml:space="preserve"> i</w:t>
            </w:r>
            <w:r>
              <w:t>n the case of a Bidder Group, the proposed ownership arrangements, the proposed ownership proportions, and how you propose to share liability between Bidder Group members</w:t>
            </w:r>
            <w:r w:rsidR="00161EA1">
              <w:t>.</w:t>
            </w:r>
          </w:p>
        </w:tc>
      </w:tr>
      <w:tr w:rsidR="00AA66BC" w:rsidTr="00AA66BC">
        <w:trPr>
          <w:trHeight w:val="2380"/>
        </w:trPr>
        <w:tc>
          <w:tcPr>
            <w:tcW w:w="8897" w:type="dxa"/>
            <w:shd w:val="clear" w:color="auto" w:fill="auto"/>
          </w:tcPr>
          <w:p w:rsidR="00AA66BC" w:rsidRPr="00855E89" w:rsidRDefault="00AA66BC" w:rsidP="00AF47E4">
            <w:pPr>
              <w:pStyle w:val="Paragrapgh"/>
              <w:numPr>
                <w:ilvl w:val="0"/>
                <w:numId w:val="0"/>
              </w:numPr>
              <w:spacing w:before="120" w:after="120"/>
              <w:rPr>
                <w:b/>
              </w:rPr>
            </w:pPr>
          </w:p>
        </w:tc>
      </w:tr>
    </w:tbl>
    <w:p w:rsidR="00410657" w:rsidRPr="0060317F" w:rsidRDefault="00FF01FF" w:rsidP="00C532ED">
      <w:pPr>
        <w:spacing w:before="360" w:after="360"/>
        <w:rPr>
          <w:i/>
        </w:rPr>
      </w:pPr>
      <w:r w:rsidRPr="0060317F">
        <w:rPr>
          <w:i/>
        </w:rPr>
        <w:t xml:space="preserve">Where there are agreements/documents that you wish to submit as part of your QTT Submission to substantiate your responses to </w:t>
      </w:r>
      <w:r w:rsidR="00307EF6" w:rsidRPr="0060317F">
        <w:rPr>
          <w:i/>
        </w:rPr>
        <w:t>[</w:t>
      </w:r>
      <w:r w:rsidRPr="0060317F">
        <w:rPr>
          <w:i/>
        </w:rPr>
        <w:t>6A</w:t>
      </w:r>
      <w:r w:rsidR="00307EF6" w:rsidRPr="0060317F">
        <w:rPr>
          <w:i/>
        </w:rPr>
        <w:t>]</w:t>
      </w:r>
      <w:r w:rsidRPr="0060317F">
        <w:rPr>
          <w:i/>
        </w:rPr>
        <w:t xml:space="preserve"> and </w:t>
      </w:r>
      <w:r w:rsidR="00307EF6" w:rsidRPr="0060317F">
        <w:rPr>
          <w:i/>
        </w:rPr>
        <w:t>[</w:t>
      </w:r>
      <w:r w:rsidRPr="0060317F">
        <w:rPr>
          <w:i/>
        </w:rPr>
        <w:t>6B</w:t>
      </w:r>
      <w:r w:rsidR="00307EF6" w:rsidRPr="0060317F">
        <w:rPr>
          <w:i/>
        </w:rPr>
        <w:t>]</w:t>
      </w:r>
      <w:r w:rsidRPr="0060317F">
        <w:rPr>
          <w:i/>
        </w:rPr>
        <w:t>, please provide these as separate annexes.</w:t>
      </w:r>
    </w:p>
    <w:p w:rsidR="00FF01FF" w:rsidRDefault="00FF01FF" w:rsidP="00410657">
      <w:pPr>
        <w:contextualSpacing/>
        <w:rPr>
          <w:szCs w:val="20"/>
        </w:rPr>
      </w:pPr>
    </w:p>
    <w:p w:rsidR="00C745DB" w:rsidRDefault="00C745DB" w:rsidP="00410657">
      <w:pPr>
        <w:contextualSpacing/>
        <w:rPr>
          <w:szCs w:val="20"/>
        </w:rPr>
      </w:pPr>
    </w:p>
    <w:p w:rsidR="00C745DB" w:rsidRDefault="00C745DB" w:rsidP="00410657">
      <w:pPr>
        <w:contextualSpacing/>
        <w:rPr>
          <w:szCs w:val="20"/>
        </w:rPr>
      </w:pPr>
    </w:p>
    <w:p w:rsidR="00C745DB" w:rsidRDefault="00C745DB" w:rsidP="00410657">
      <w:pPr>
        <w:contextualSpacing/>
        <w:rPr>
          <w:szCs w:val="20"/>
        </w:rPr>
      </w:pPr>
    </w:p>
    <w:p w:rsidR="00C745DB" w:rsidRDefault="00C745DB" w:rsidP="00410657">
      <w:pPr>
        <w:contextualSpacing/>
        <w:rPr>
          <w:szCs w:val="20"/>
        </w:rPr>
      </w:pPr>
    </w:p>
    <w:p w:rsidR="00C745DB" w:rsidRDefault="00C745DB" w:rsidP="00410657">
      <w:pPr>
        <w:contextualSpacing/>
        <w:rPr>
          <w:szCs w:val="20"/>
        </w:rPr>
      </w:pPr>
    </w:p>
    <w:p w:rsidR="00C745DB" w:rsidRDefault="00C745DB" w:rsidP="00410657">
      <w:pPr>
        <w:contextualSpacing/>
        <w:rPr>
          <w:szCs w:val="20"/>
        </w:rPr>
      </w:pPr>
    </w:p>
    <w:p w:rsidR="00C745DB" w:rsidRDefault="00C745DB" w:rsidP="00410657">
      <w:pPr>
        <w:contextualSpacing/>
        <w:rPr>
          <w:szCs w:val="20"/>
        </w:rPr>
      </w:pPr>
    </w:p>
    <w:p w:rsidR="00C745DB" w:rsidRDefault="00C745DB" w:rsidP="00410657">
      <w:pPr>
        <w:contextualSpacing/>
        <w:rPr>
          <w:szCs w:val="20"/>
        </w:rPr>
      </w:pPr>
    </w:p>
    <w:p w:rsidR="00C745DB" w:rsidRDefault="00C745DB" w:rsidP="00410657">
      <w:pPr>
        <w:contextualSpacing/>
        <w:rPr>
          <w:szCs w:val="20"/>
        </w:rPr>
      </w:pPr>
    </w:p>
    <w:p w:rsidR="00C745DB" w:rsidRDefault="00C745DB" w:rsidP="00410657">
      <w:pPr>
        <w:contextualSpacing/>
        <w:rPr>
          <w:szCs w:val="20"/>
        </w:rPr>
      </w:pPr>
    </w:p>
    <w:p w:rsidR="00C745DB" w:rsidRDefault="00C745DB" w:rsidP="00410657">
      <w:pPr>
        <w:contextualSpacing/>
        <w:rPr>
          <w:szCs w:val="20"/>
        </w:rPr>
      </w:pPr>
    </w:p>
    <w:p w:rsidR="00C745DB" w:rsidRDefault="00C745DB" w:rsidP="00410657">
      <w:pPr>
        <w:contextualSpacing/>
        <w:rPr>
          <w:szCs w:val="20"/>
        </w:rPr>
      </w:pPr>
    </w:p>
    <w:p w:rsidR="00C745DB" w:rsidRDefault="00C745DB" w:rsidP="00410657">
      <w:pPr>
        <w:contextualSpacing/>
        <w:rPr>
          <w:szCs w:val="20"/>
        </w:rPr>
      </w:pPr>
    </w:p>
    <w:p w:rsidR="00C745DB" w:rsidRDefault="00C745DB" w:rsidP="00410657">
      <w:pPr>
        <w:contextualSpacing/>
        <w:rPr>
          <w:szCs w:val="20"/>
        </w:rPr>
      </w:pPr>
    </w:p>
    <w:p w:rsidR="00346C2E" w:rsidRDefault="00346C2E">
      <w:pPr>
        <w:rPr>
          <w:rFonts w:cs="Arial"/>
          <w:b/>
          <w:bCs/>
          <w:color w:val="333399"/>
          <w:sz w:val="24"/>
        </w:rPr>
      </w:pPr>
      <w:r>
        <w:br w:type="page"/>
      </w:r>
    </w:p>
    <w:p w:rsidR="00430846" w:rsidRPr="001C7FC5" w:rsidRDefault="00430846" w:rsidP="00430846">
      <w:pPr>
        <w:pStyle w:val="Heading1"/>
      </w:pPr>
      <w:bookmarkStart w:id="41" w:name="_Toc283819655"/>
      <w:r>
        <w:lastRenderedPageBreak/>
        <w:t>Section 7</w:t>
      </w:r>
      <w:r w:rsidRPr="001C7FC5">
        <w:t>: Proposed Takeover Plan</w:t>
      </w:r>
      <w:bookmarkEnd w:id="41"/>
    </w:p>
    <w:tbl>
      <w:tblPr>
        <w:tblStyle w:val="TableGrid"/>
        <w:tblW w:w="8897" w:type="dxa"/>
        <w:tblLook w:val="04A0"/>
      </w:tblPr>
      <w:tblGrid>
        <w:gridCol w:w="8897"/>
      </w:tblGrid>
      <w:tr w:rsidR="00430846" w:rsidTr="00430846">
        <w:tc>
          <w:tcPr>
            <w:tcW w:w="8897" w:type="dxa"/>
            <w:shd w:val="clear" w:color="auto" w:fill="F2F2F2" w:themeFill="background1" w:themeFillShade="F2"/>
          </w:tcPr>
          <w:p w:rsidR="00430846" w:rsidRDefault="00430846" w:rsidP="00430846">
            <w:pPr>
              <w:pStyle w:val="Text-bulleted"/>
              <w:numPr>
                <w:ilvl w:val="0"/>
                <w:numId w:val="0"/>
              </w:numPr>
              <w:spacing w:before="120" w:after="120"/>
            </w:pPr>
            <w:r>
              <w:t xml:space="preserve">Please provide your proposed takeover and operational plan for the relevant Qualifying </w:t>
            </w:r>
            <w:r w:rsidRPr="00F067E5">
              <w:t>Project, including management control arrangements</w:t>
            </w:r>
            <w:r>
              <w:t xml:space="preserve">. The plan should be </w:t>
            </w:r>
            <w:r>
              <w:rPr>
                <w:b/>
              </w:rPr>
              <w:t>no more than 10</w:t>
            </w:r>
            <w:r w:rsidRPr="00906BB1">
              <w:rPr>
                <w:b/>
              </w:rPr>
              <w:t xml:space="preserve"> pages</w:t>
            </w:r>
            <w:r>
              <w:rPr>
                <w:b/>
              </w:rPr>
              <w:t xml:space="preserve"> in total</w:t>
            </w:r>
            <w:r>
              <w:t xml:space="preserve">. </w:t>
            </w:r>
          </w:p>
          <w:p w:rsidR="00430846" w:rsidRDefault="00430846" w:rsidP="00430846">
            <w:pPr>
              <w:pStyle w:val="Text-bulleted"/>
              <w:numPr>
                <w:ilvl w:val="0"/>
                <w:numId w:val="0"/>
              </w:numPr>
              <w:spacing w:before="120" w:after="120"/>
            </w:pPr>
            <w:r>
              <w:t xml:space="preserve">Wherever possible, you should explain how your past experience informs your proposed approach, how this relates to the relevant Qualifying Project, and how this may enable new methodologies, technologies, or ways of working to be introduced into the Great Britain electricity transmission sector. </w:t>
            </w:r>
          </w:p>
          <w:p w:rsidR="00430846" w:rsidRDefault="00430846" w:rsidP="00430846">
            <w:pPr>
              <w:pStyle w:val="Text-bulleted"/>
              <w:numPr>
                <w:ilvl w:val="0"/>
                <w:numId w:val="0"/>
              </w:numPr>
              <w:spacing w:before="120" w:after="120"/>
            </w:pPr>
            <w:r>
              <w:t>This plan must include:</w:t>
            </w:r>
          </w:p>
        </w:tc>
      </w:tr>
      <w:tr w:rsidR="00430846" w:rsidTr="00430846">
        <w:trPr>
          <w:trHeight w:val="2422"/>
        </w:trPr>
        <w:tc>
          <w:tcPr>
            <w:tcW w:w="8897" w:type="dxa"/>
            <w:tcBorders>
              <w:bottom w:val="single" w:sz="4" w:space="0" w:color="000000" w:themeColor="text1"/>
            </w:tcBorders>
            <w:shd w:val="clear" w:color="auto" w:fill="F2F2F2" w:themeFill="background1" w:themeFillShade="F2"/>
          </w:tcPr>
          <w:p w:rsidR="00430846" w:rsidRDefault="00430846" w:rsidP="00430846">
            <w:pPr>
              <w:pStyle w:val="Text-bulleted"/>
              <w:numPr>
                <w:ilvl w:val="0"/>
                <w:numId w:val="0"/>
              </w:numPr>
              <w:spacing w:before="120" w:after="120"/>
            </w:pPr>
            <w:r w:rsidRPr="009552AD">
              <w:rPr>
                <w:b/>
              </w:rPr>
              <w:t>[</w:t>
            </w:r>
            <w:r>
              <w:rPr>
                <w:b/>
              </w:rPr>
              <w:t>7</w:t>
            </w:r>
            <w:r w:rsidRPr="009552AD">
              <w:rPr>
                <w:b/>
              </w:rPr>
              <w:t>A]</w:t>
            </w:r>
            <w:r>
              <w:t xml:space="preserve"> an outline takeover plan covering acquisition of the OFTO business and/or assets of the relevant Qualifying Project, including proposed resourcing and appropriate references to past experiences of mergers and acquisitions and/or start-up businesses in the infrastructure sector; and</w:t>
            </w:r>
          </w:p>
          <w:p w:rsidR="00430846" w:rsidRDefault="00430846" w:rsidP="00430846">
            <w:pPr>
              <w:pStyle w:val="Text-bulleted"/>
              <w:numPr>
                <w:ilvl w:val="0"/>
                <w:numId w:val="0"/>
              </w:numPr>
              <w:spacing w:before="240" w:after="120"/>
            </w:pPr>
            <w:r>
              <w:rPr>
                <w:b/>
              </w:rPr>
              <w:t>[7</w:t>
            </w:r>
            <w:r w:rsidRPr="009552AD">
              <w:rPr>
                <w:b/>
              </w:rPr>
              <w:t>B]</w:t>
            </w:r>
            <w:r>
              <w:t xml:space="preserve"> your proposed operational plan for the first three months following asset transfer in respect of the relevant Qualifying Project and how any potential interaction with the Developer may influence its operational planning</w:t>
            </w:r>
            <w:r w:rsidR="00A205AE">
              <w:t>.</w:t>
            </w:r>
          </w:p>
        </w:tc>
      </w:tr>
      <w:tr w:rsidR="00430846" w:rsidTr="00430846">
        <w:trPr>
          <w:trHeight w:val="3286"/>
        </w:trPr>
        <w:tc>
          <w:tcPr>
            <w:tcW w:w="8897" w:type="dxa"/>
            <w:shd w:val="clear" w:color="auto" w:fill="auto"/>
          </w:tcPr>
          <w:p w:rsidR="00430846" w:rsidRDefault="00430846" w:rsidP="00430846">
            <w:pPr>
              <w:pStyle w:val="Text-bulleted"/>
              <w:numPr>
                <w:ilvl w:val="0"/>
                <w:numId w:val="0"/>
              </w:numPr>
              <w:spacing w:before="120" w:after="120"/>
              <w:rPr>
                <w:b/>
              </w:rPr>
            </w:pPr>
          </w:p>
          <w:p w:rsidR="00430846" w:rsidRDefault="00430846" w:rsidP="00430846">
            <w:pPr>
              <w:pStyle w:val="Text-bulleted"/>
              <w:numPr>
                <w:ilvl w:val="0"/>
                <w:numId w:val="0"/>
              </w:numPr>
              <w:spacing w:before="120" w:after="120"/>
              <w:rPr>
                <w:b/>
              </w:rPr>
            </w:pPr>
          </w:p>
          <w:p w:rsidR="00430846" w:rsidRDefault="00430846" w:rsidP="00430846">
            <w:pPr>
              <w:pStyle w:val="Text-bulleted"/>
              <w:numPr>
                <w:ilvl w:val="0"/>
                <w:numId w:val="0"/>
              </w:numPr>
              <w:spacing w:before="120" w:after="120"/>
              <w:rPr>
                <w:b/>
              </w:rPr>
            </w:pPr>
          </w:p>
          <w:p w:rsidR="00430846" w:rsidRDefault="00430846" w:rsidP="00430846">
            <w:pPr>
              <w:pStyle w:val="Text-bulleted"/>
              <w:numPr>
                <w:ilvl w:val="0"/>
                <w:numId w:val="0"/>
              </w:numPr>
              <w:spacing w:before="120" w:after="120"/>
              <w:rPr>
                <w:b/>
              </w:rPr>
            </w:pPr>
          </w:p>
          <w:p w:rsidR="00430846" w:rsidRDefault="00430846" w:rsidP="00430846">
            <w:pPr>
              <w:pStyle w:val="Text-bulleted"/>
              <w:numPr>
                <w:ilvl w:val="0"/>
                <w:numId w:val="0"/>
              </w:numPr>
              <w:spacing w:before="120" w:after="120"/>
              <w:rPr>
                <w:b/>
              </w:rPr>
            </w:pPr>
          </w:p>
          <w:p w:rsidR="00430846" w:rsidRDefault="00430846" w:rsidP="00430846">
            <w:pPr>
              <w:pStyle w:val="Text-bulleted"/>
              <w:numPr>
                <w:ilvl w:val="0"/>
                <w:numId w:val="0"/>
              </w:numPr>
              <w:spacing w:before="120" w:after="120"/>
              <w:rPr>
                <w:b/>
              </w:rPr>
            </w:pPr>
          </w:p>
          <w:p w:rsidR="00430846" w:rsidRDefault="00430846" w:rsidP="00430846">
            <w:pPr>
              <w:pStyle w:val="Text-bulleted"/>
              <w:numPr>
                <w:ilvl w:val="0"/>
                <w:numId w:val="0"/>
              </w:numPr>
              <w:spacing w:before="120" w:after="120"/>
              <w:rPr>
                <w:b/>
              </w:rPr>
            </w:pPr>
          </w:p>
          <w:p w:rsidR="00430846" w:rsidRDefault="00430846" w:rsidP="00430846">
            <w:pPr>
              <w:pStyle w:val="Text-bulleted"/>
              <w:numPr>
                <w:ilvl w:val="0"/>
                <w:numId w:val="0"/>
              </w:numPr>
              <w:spacing w:before="120" w:after="120"/>
              <w:rPr>
                <w:b/>
              </w:rPr>
            </w:pPr>
          </w:p>
          <w:p w:rsidR="00430846" w:rsidRDefault="00430846" w:rsidP="00430846">
            <w:pPr>
              <w:pStyle w:val="Text-bulleted"/>
              <w:numPr>
                <w:ilvl w:val="0"/>
                <w:numId w:val="0"/>
              </w:numPr>
              <w:spacing w:before="120" w:after="120"/>
              <w:rPr>
                <w:b/>
              </w:rPr>
            </w:pPr>
          </w:p>
          <w:p w:rsidR="00430846" w:rsidRDefault="00430846" w:rsidP="00430846">
            <w:pPr>
              <w:pStyle w:val="Text-bulleted"/>
              <w:numPr>
                <w:ilvl w:val="0"/>
                <w:numId w:val="0"/>
              </w:numPr>
              <w:spacing w:before="120" w:after="120"/>
              <w:rPr>
                <w:b/>
              </w:rPr>
            </w:pPr>
          </w:p>
          <w:p w:rsidR="00430846" w:rsidRDefault="00430846" w:rsidP="00430846">
            <w:pPr>
              <w:pStyle w:val="Text-bulleted"/>
              <w:numPr>
                <w:ilvl w:val="0"/>
                <w:numId w:val="0"/>
              </w:numPr>
              <w:spacing w:before="120" w:after="120"/>
              <w:rPr>
                <w:b/>
              </w:rPr>
            </w:pPr>
          </w:p>
          <w:p w:rsidR="00430846" w:rsidRDefault="00430846" w:rsidP="00430846">
            <w:pPr>
              <w:pStyle w:val="Text-bulleted"/>
              <w:numPr>
                <w:ilvl w:val="0"/>
                <w:numId w:val="0"/>
              </w:numPr>
              <w:spacing w:before="120" w:after="120"/>
              <w:rPr>
                <w:b/>
              </w:rPr>
            </w:pPr>
          </w:p>
          <w:p w:rsidR="00430846" w:rsidRDefault="00430846" w:rsidP="00430846">
            <w:pPr>
              <w:pStyle w:val="Text-bulleted"/>
              <w:numPr>
                <w:ilvl w:val="0"/>
                <w:numId w:val="0"/>
              </w:numPr>
              <w:spacing w:before="120" w:after="120"/>
              <w:rPr>
                <w:b/>
              </w:rPr>
            </w:pPr>
          </w:p>
          <w:p w:rsidR="00430846" w:rsidRPr="009552AD" w:rsidRDefault="00430846" w:rsidP="00430846">
            <w:pPr>
              <w:pStyle w:val="Text-bulleted"/>
              <w:numPr>
                <w:ilvl w:val="0"/>
                <w:numId w:val="0"/>
              </w:numPr>
              <w:spacing w:before="120" w:after="120"/>
              <w:rPr>
                <w:b/>
              </w:rPr>
            </w:pPr>
          </w:p>
        </w:tc>
      </w:tr>
    </w:tbl>
    <w:p w:rsidR="00430846" w:rsidRDefault="00430846" w:rsidP="001C7FC5">
      <w:pPr>
        <w:pStyle w:val="Heading1"/>
      </w:pPr>
    </w:p>
    <w:p w:rsidR="00430846" w:rsidRDefault="00430846" w:rsidP="00430846">
      <w:pPr>
        <w:rPr>
          <w:rFonts w:cs="Arial"/>
          <w:color w:val="333399"/>
          <w:sz w:val="24"/>
        </w:rPr>
      </w:pPr>
      <w:r>
        <w:br w:type="page"/>
      </w:r>
    </w:p>
    <w:p w:rsidR="00454D96" w:rsidRDefault="00430846" w:rsidP="001C7FC5">
      <w:pPr>
        <w:pStyle w:val="Heading1"/>
      </w:pPr>
      <w:bookmarkStart w:id="42" w:name="_Toc283819656"/>
      <w:r>
        <w:lastRenderedPageBreak/>
        <w:t>Section 8</w:t>
      </w:r>
      <w:r w:rsidR="00FF3B3B">
        <w:t xml:space="preserve">: Management </w:t>
      </w:r>
      <w:r w:rsidR="00EF53AF">
        <w:t xml:space="preserve">and Operational </w:t>
      </w:r>
      <w:r w:rsidR="00FF3B3B">
        <w:t>Capability Statement</w:t>
      </w:r>
      <w:bookmarkEnd w:id="42"/>
    </w:p>
    <w:tbl>
      <w:tblPr>
        <w:tblStyle w:val="TableGrid"/>
        <w:tblW w:w="8897" w:type="dxa"/>
        <w:tblLook w:val="04A0"/>
      </w:tblPr>
      <w:tblGrid>
        <w:gridCol w:w="8897"/>
      </w:tblGrid>
      <w:tr w:rsidR="00454D96" w:rsidTr="00454D96">
        <w:tc>
          <w:tcPr>
            <w:tcW w:w="8897" w:type="dxa"/>
            <w:shd w:val="clear" w:color="auto" w:fill="F2F2F2" w:themeFill="background1" w:themeFillShade="F2"/>
          </w:tcPr>
          <w:p w:rsidR="00454D96" w:rsidRDefault="00DF11EA" w:rsidP="00AF47E4">
            <w:pPr>
              <w:pStyle w:val="Text-bulleted"/>
              <w:numPr>
                <w:ilvl w:val="0"/>
                <w:numId w:val="0"/>
              </w:numPr>
              <w:spacing w:before="120" w:after="120"/>
            </w:pPr>
            <w:r>
              <w:t>Please</w:t>
            </w:r>
            <w:r w:rsidR="00454D96">
              <w:t xml:space="preserve"> provide a management capability statement</w:t>
            </w:r>
            <w:r>
              <w:t>,</w:t>
            </w:r>
            <w:r w:rsidR="00454D96">
              <w:t xml:space="preserve"> whi</w:t>
            </w:r>
            <w:r w:rsidR="00A0352F">
              <w:t xml:space="preserve">ch should be </w:t>
            </w:r>
            <w:r w:rsidR="00807738">
              <w:rPr>
                <w:b/>
              </w:rPr>
              <w:t>no more than 25</w:t>
            </w:r>
            <w:r w:rsidR="00A0352F" w:rsidRPr="00DF11EA">
              <w:rPr>
                <w:b/>
              </w:rPr>
              <w:t xml:space="preserve"> pag</w:t>
            </w:r>
            <w:r w:rsidR="00454D96" w:rsidRPr="00DF11EA">
              <w:rPr>
                <w:b/>
              </w:rPr>
              <w:t>es</w:t>
            </w:r>
            <w:r>
              <w:rPr>
                <w:b/>
              </w:rPr>
              <w:t xml:space="preserve"> in total</w:t>
            </w:r>
            <w:r w:rsidR="0060317F">
              <w:t xml:space="preserve"> </w:t>
            </w:r>
            <w:r>
              <w:t>outlining</w:t>
            </w:r>
            <w:r w:rsidR="00454D96">
              <w:t xml:space="preserve"> how you propose to approach the management requirements described</w:t>
            </w:r>
            <w:r>
              <w:t xml:space="preserve"> in </w:t>
            </w:r>
            <w:r w:rsidR="00307EF6">
              <w:t>[</w:t>
            </w:r>
            <w:r w:rsidR="00430846">
              <w:t>8</w:t>
            </w:r>
            <w:r>
              <w:t>A</w:t>
            </w:r>
            <w:r w:rsidR="00307EF6">
              <w:t>]</w:t>
            </w:r>
            <w:r>
              <w:t xml:space="preserve"> to </w:t>
            </w:r>
            <w:r w:rsidR="00307EF6">
              <w:t>[</w:t>
            </w:r>
            <w:r w:rsidR="00430846">
              <w:t>8I</w:t>
            </w:r>
            <w:r w:rsidR="00307EF6">
              <w:t xml:space="preserve">] </w:t>
            </w:r>
            <w:r w:rsidR="00454D96">
              <w:t>below.</w:t>
            </w:r>
          </w:p>
          <w:p w:rsidR="00E614FB" w:rsidRDefault="00454D96" w:rsidP="00AF47E4">
            <w:pPr>
              <w:pStyle w:val="Text-bulleted"/>
              <w:numPr>
                <w:ilvl w:val="0"/>
                <w:numId w:val="0"/>
              </w:numPr>
              <w:spacing w:before="120" w:after="120"/>
            </w:pPr>
            <w:r>
              <w:t>In providing these proposals, you should explain how your past experience informs your proposed approach, noting where this may enable new methodologies, technologies, or ways of working to be introduced into the G</w:t>
            </w:r>
            <w:r w:rsidR="001922FA">
              <w:t xml:space="preserve">reat </w:t>
            </w:r>
            <w:r>
              <w:t>B</w:t>
            </w:r>
            <w:r w:rsidR="001922FA">
              <w:t>ritain</w:t>
            </w:r>
            <w:r>
              <w:t xml:space="preserve"> electricity transmission</w:t>
            </w:r>
            <w:r w:rsidR="00E614FB">
              <w:t xml:space="preserve"> sector.</w:t>
            </w:r>
          </w:p>
          <w:p w:rsidR="006C2A7A" w:rsidRDefault="00E614FB" w:rsidP="00AF47E4">
            <w:pPr>
              <w:pStyle w:val="Text-bulleted"/>
              <w:numPr>
                <w:ilvl w:val="0"/>
                <w:numId w:val="0"/>
              </w:numPr>
              <w:spacing w:before="120" w:after="120"/>
            </w:pPr>
            <w:r>
              <w:t>You</w:t>
            </w:r>
            <w:r w:rsidR="003442E2">
              <w:t>r response should</w:t>
            </w:r>
            <w:r>
              <w:t xml:space="preserve"> outline the following:</w:t>
            </w:r>
          </w:p>
        </w:tc>
      </w:tr>
      <w:tr w:rsidR="00C745DB" w:rsidTr="00AA66BC">
        <w:trPr>
          <w:trHeight w:val="266"/>
        </w:trPr>
        <w:tc>
          <w:tcPr>
            <w:tcW w:w="8897" w:type="dxa"/>
            <w:tcBorders>
              <w:bottom w:val="single" w:sz="4" w:space="0" w:color="000000" w:themeColor="text1"/>
            </w:tcBorders>
            <w:shd w:val="clear" w:color="auto" w:fill="F2F2F2" w:themeFill="background1" w:themeFillShade="F2"/>
          </w:tcPr>
          <w:p w:rsidR="000F2406" w:rsidRDefault="00430846" w:rsidP="00AF47E4">
            <w:pPr>
              <w:pStyle w:val="Paragrapgh"/>
              <w:numPr>
                <w:ilvl w:val="0"/>
                <w:numId w:val="0"/>
              </w:numPr>
              <w:spacing w:before="120" w:after="120"/>
            </w:pPr>
            <w:r>
              <w:rPr>
                <w:b/>
              </w:rPr>
              <w:t>[8</w:t>
            </w:r>
            <w:r w:rsidR="009552AD" w:rsidRPr="009552AD">
              <w:rPr>
                <w:b/>
              </w:rPr>
              <w:t>A]</w:t>
            </w:r>
            <w:r w:rsidR="009552AD">
              <w:t xml:space="preserve"> </w:t>
            </w:r>
            <w:r w:rsidR="00161EA1">
              <w:t>y</w:t>
            </w:r>
            <w:r w:rsidR="00C745DB">
              <w:t>our general approach to managing and operating essential services or regulated infrastructure assets of similar size and complexity in accordance with the required operational performance standards</w:t>
            </w:r>
            <w:r w:rsidR="00161EA1">
              <w:t>;</w:t>
            </w:r>
          </w:p>
          <w:p w:rsidR="00430846" w:rsidRDefault="00430846" w:rsidP="00430846">
            <w:pPr>
              <w:pStyle w:val="Paragrapgh"/>
              <w:numPr>
                <w:ilvl w:val="0"/>
                <w:numId w:val="0"/>
              </w:numPr>
              <w:spacing w:before="240" w:after="120"/>
            </w:pPr>
            <w:r>
              <w:rPr>
                <w:b/>
              </w:rPr>
              <w:t>[8B</w:t>
            </w:r>
            <w:r w:rsidRPr="009552AD">
              <w:rPr>
                <w:b/>
              </w:rPr>
              <w:t>]</w:t>
            </w:r>
            <w:r w:rsidR="006325EE">
              <w:t xml:space="preserve"> demonstration</w:t>
            </w:r>
            <w:r>
              <w:t xml:space="preserve"> of your understanding of how the operational plan outlined in [7B] will develop over the first five years of operati</w:t>
            </w:r>
            <w:r w:rsidR="006325EE">
              <w:t>on and maintenance including</w:t>
            </w:r>
            <w:r>
              <w:t xml:space="preserve"> with respect to handling routine maintenance, life cycle management, liaising with generators on outage management and crisis management;</w:t>
            </w:r>
          </w:p>
          <w:p w:rsidR="00C745DB" w:rsidRDefault="00430846" w:rsidP="0060317F">
            <w:pPr>
              <w:pStyle w:val="Paragrapgh"/>
              <w:numPr>
                <w:ilvl w:val="0"/>
                <w:numId w:val="0"/>
              </w:numPr>
              <w:spacing w:before="240" w:after="120"/>
            </w:pPr>
            <w:r>
              <w:rPr>
                <w:b/>
              </w:rPr>
              <w:t>[8C</w:t>
            </w:r>
            <w:r w:rsidR="009552AD" w:rsidRPr="009552AD">
              <w:rPr>
                <w:b/>
              </w:rPr>
              <w:t>]</w:t>
            </w:r>
            <w:r w:rsidR="009552AD">
              <w:t xml:space="preserve"> </w:t>
            </w:r>
            <w:r w:rsidR="00161EA1">
              <w:t>d</w:t>
            </w:r>
            <w:r w:rsidR="00C745DB">
              <w:t>etails of your proposed approach to the delivery of the services for the relevant Qualifying Project in accordance with the required operational performance standards, including the following:</w:t>
            </w:r>
          </w:p>
          <w:p w:rsidR="00C745DB" w:rsidRDefault="00161EA1" w:rsidP="001570E0">
            <w:pPr>
              <w:pStyle w:val="Paragrapgh"/>
              <w:numPr>
                <w:ilvl w:val="0"/>
                <w:numId w:val="19"/>
              </w:numPr>
              <w:spacing w:before="120" w:after="120"/>
              <w:ind w:left="714" w:hanging="357"/>
            </w:pPr>
            <w:r>
              <w:t>o</w:t>
            </w:r>
            <w:r w:rsidR="00C745DB">
              <w:t xml:space="preserve">peration and maintenance of the </w:t>
            </w:r>
            <w:r w:rsidR="00807738">
              <w:t>Transmission A</w:t>
            </w:r>
            <w:r w:rsidR="00C745DB">
              <w:t xml:space="preserve">ssets </w:t>
            </w:r>
            <w:r w:rsidR="00807738">
              <w:t>for</w:t>
            </w:r>
            <w:r w:rsidR="00C745DB">
              <w:t xml:space="preserve"> this Qualifying Project, including</w:t>
            </w:r>
            <w:r w:rsidR="00506125">
              <w:t xml:space="preserve"> for example</w:t>
            </w:r>
            <w:r w:rsidR="00C745DB">
              <w:t xml:space="preserve"> the approach to</w:t>
            </w:r>
            <w:r w:rsidR="00506125">
              <w:t>:</w:t>
            </w:r>
            <w:r w:rsidR="00C745DB">
              <w:t xml:space="preserve"> avoiding and rectifying service failures</w:t>
            </w:r>
            <w:r w:rsidR="00506125">
              <w:t>; managing spares; and managing cable inspection and surveys</w:t>
            </w:r>
            <w:r>
              <w:t>;</w:t>
            </w:r>
          </w:p>
          <w:p w:rsidR="00C745DB" w:rsidRDefault="00161EA1" w:rsidP="001570E0">
            <w:pPr>
              <w:pStyle w:val="Paragrapgh"/>
              <w:numPr>
                <w:ilvl w:val="0"/>
                <w:numId w:val="19"/>
              </w:numPr>
              <w:spacing w:before="120" w:after="120"/>
              <w:ind w:left="714" w:hanging="357"/>
            </w:pPr>
            <w:r>
              <w:t>o</w:t>
            </w:r>
            <w:r w:rsidR="00C745DB">
              <w:t xml:space="preserve">btaining and managing the necessary resources and/or contracts to deliver the transmission services for this Qualifying Project, including roles and responsibilities of any </w:t>
            </w:r>
            <w:r w:rsidR="00C74B78">
              <w:t>Bidder Group</w:t>
            </w:r>
            <w:r w:rsidR="00C745DB">
              <w:t xml:space="preserve"> members and sub</w:t>
            </w:r>
            <w:r w:rsidR="00C74B78">
              <w:t xml:space="preserve"> </w:t>
            </w:r>
            <w:r w:rsidR="00C745DB">
              <w:t>contractors</w:t>
            </w:r>
            <w:r>
              <w:t>;</w:t>
            </w:r>
          </w:p>
          <w:p w:rsidR="00C745DB" w:rsidRDefault="00161EA1" w:rsidP="001570E0">
            <w:pPr>
              <w:pStyle w:val="Paragrapgh"/>
              <w:numPr>
                <w:ilvl w:val="0"/>
                <w:numId w:val="19"/>
              </w:numPr>
              <w:spacing w:before="120" w:after="120"/>
              <w:ind w:left="714" w:hanging="357"/>
            </w:pPr>
            <w:r>
              <w:t>m</w:t>
            </w:r>
            <w:r w:rsidR="00C745DB">
              <w:t>anagement of key business and operational risks for this Qualifying Project</w:t>
            </w:r>
            <w:r>
              <w:t>;</w:t>
            </w:r>
          </w:p>
          <w:p w:rsidR="00C745DB" w:rsidRDefault="00430846" w:rsidP="0060317F">
            <w:pPr>
              <w:pStyle w:val="Paragrapgh"/>
              <w:numPr>
                <w:ilvl w:val="0"/>
                <w:numId w:val="0"/>
              </w:numPr>
              <w:spacing w:before="240" w:after="120"/>
            </w:pPr>
            <w:r>
              <w:rPr>
                <w:b/>
              </w:rPr>
              <w:t>[8D</w:t>
            </w:r>
            <w:r w:rsidR="009552AD" w:rsidRPr="009552AD">
              <w:rPr>
                <w:b/>
              </w:rPr>
              <w:t>]</w:t>
            </w:r>
            <w:r w:rsidR="009552AD">
              <w:t xml:space="preserve"> </w:t>
            </w:r>
            <w:r w:rsidR="00161EA1">
              <w:t>a</w:t>
            </w:r>
            <w:r w:rsidR="00C745DB">
              <w:t xml:space="preserve"> description of your proposed approach to managing managerial and operational interfaces with key stakeholders and third parties for this Qualifying Project</w:t>
            </w:r>
            <w:r w:rsidR="00161EA1">
              <w:t>;</w:t>
            </w:r>
          </w:p>
          <w:p w:rsidR="00C745DB" w:rsidRDefault="00430846" w:rsidP="0060317F">
            <w:pPr>
              <w:pStyle w:val="Paragrapgh"/>
              <w:numPr>
                <w:ilvl w:val="0"/>
                <w:numId w:val="0"/>
              </w:numPr>
              <w:spacing w:before="240" w:after="120"/>
            </w:pPr>
            <w:r>
              <w:rPr>
                <w:b/>
              </w:rPr>
              <w:t>[8E</w:t>
            </w:r>
            <w:r w:rsidR="009552AD" w:rsidRPr="009552AD">
              <w:rPr>
                <w:b/>
              </w:rPr>
              <w:t>]</w:t>
            </w:r>
            <w:r w:rsidR="009552AD">
              <w:t xml:space="preserve"> </w:t>
            </w:r>
            <w:r w:rsidR="00161EA1">
              <w:t>a</w:t>
            </w:r>
            <w:r w:rsidR="00C745DB">
              <w:t xml:space="preserve"> description of your proposed approach to ensuring compliance with the electricity industry regulatory framework applicable to an OFTO</w:t>
            </w:r>
            <w:r w:rsidR="00C74B78">
              <w:t>, including</w:t>
            </w:r>
            <w:r w:rsidR="00C745DB">
              <w:t xml:space="preserve"> the conditions of the Offshore Transmission Licence</w:t>
            </w:r>
            <w:r w:rsidR="001008F8">
              <w:t xml:space="preserve"> </w:t>
            </w:r>
            <w:r w:rsidR="001008F8" w:rsidRPr="003A3004">
              <w:t>(</w:t>
            </w:r>
            <w:r w:rsidR="003A3004" w:rsidRPr="00DD68ED">
              <w:rPr>
                <w:i/>
              </w:rPr>
              <w:t xml:space="preserve">Qualifying Bidders should refer to documents referenced in the </w:t>
            </w:r>
            <w:r w:rsidR="004B3FE7" w:rsidRPr="00DD68ED">
              <w:rPr>
                <w:i/>
              </w:rPr>
              <w:t xml:space="preserve">‘Other Documents’ section in </w:t>
            </w:r>
            <w:r w:rsidR="004B3FE7" w:rsidRPr="00695AD5">
              <w:rPr>
                <w:i/>
              </w:rPr>
              <w:t xml:space="preserve">paragraph </w:t>
            </w:r>
            <w:r w:rsidR="001F0D6B" w:rsidRPr="00695AD5">
              <w:rPr>
                <w:i/>
              </w:rPr>
              <w:t>1.25</w:t>
            </w:r>
            <w:r w:rsidR="001008F8" w:rsidRPr="00695AD5">
              <w:rPr>
                <w:i/>
              </w:rPr>
              <w:t xml:space="preserve"> </w:t>
            </w:r>
            <w:r w:rsidR="003A3004" w:rsidRPr="00695AD5">
              <w:rPr>
                <w:i/>
              </w:rPr>
              <w:t>in</w:t>
            </w:r>
            <w:r w:rsidR="003A3004" w:rsidRPr="00DD68ED">
              <w:rPr>
                <w:i/>
              </w:rPr>
              <w:t xml:space="preserve"> considering their responses to this question</w:t>
            </w:r>
            <w:r w:rsidR="001008F8" w:rsidRPr="00DD68ED">
              <w:rPr>
                <w:i/>
              </w:rPr>
              <w:t>)</w:t>
            </w:r>
            <w:r w:rsidR="00161EA1">
              <w:t>;</w:t>
            </w:r>
          </w:p>
          <w:p w:rsidR="00C745DB" w:rsidRDefault="00430846" w:rsidP="0060317F">
            <w:pPr>
              <w:pStyle w:val="Paragrapgh"/>
              <w:numPr>
                <w:ilvl w:val="0"/>
                <w:numId w:val="0"/>
              </w:numPr>
              <w:spacing w:before="240" w:after="120"/>
            </w:pPr>
            <w:r>
              <w:rPr>
                <w:b/>
              </w:rPr>
              <w:t>[8F</w:t>
            </w:r>
            <w:r w:rsidR="009552AD" w:rsidRPr="009552AD">
              <w:rPr>
                <w:b/>
              </w:rPr>
              <w:t>]</w:t>
            </w:r>
            <w:r w:rsidR="009552AD">
              <w:t xml:space="preserve"> </w:t>
            </w:r>
            <w:r w:rsidR="00161EA1">
              <w:t>a</w:t>
            </w:r>
            <w:r w:rsidR="00C745DB">
              <w:t xml:space="preserve"> description of your proposed approach to ensuring compliance with other applicable regulatory or statutory requirements, including:</w:t>
            </w:r>
          </w:p>
          <w:p w:rsidR="00C745DB" w:rsidRDefault="00161EA1" w:rsidP="001570E0">
            <w:pPr>
              <w:pStyle w:val="Paragrapgh"/>
              <w:numPr>
                <w:ilvl w:val="0"/>
                <w:numId w:val="20"/>
              </w:numPr>
              <w:spacing w:before="120" w:after="120"/>
              <w:ind w:left="714" w:hanging="357"/>
            </w:pPr>
            <w:r>
              <w:t>e</w:t>
            </w:r>
            <w:r w:rsidR="00C745DB">
              <w:t>nsuring that all activities are delivered in accordance with all applicable health and safety legislation, and that key health and safety risks are clearly identified and managed, addressing</w:t>
            </w:r>
            <w:r w:rsidR="003A306C">
              <w:t>:</w:t>
            </w:r>
          </w:p>
          <w:p w:rsidR="00C745DB" w:rsidRDefault="003A306C" w:rsidP="00AF47E4">
            <w:pPr>
              <w:pStyle w:val="Paragrapgh"/>
              <w:numPr>
                <w:ilvl w:val="0"/>
                <w:numId w:val="10"/>
              </w:numPr>
              <w:spacing w:before="120" w:after="120"/>
              <w:ind w:left="1434" w:hanging="357"/>
            </w:pPr>
            <w:r>
              <w:t>t</w:t>
            </w:r>
            <w:r w:rsidR="00C745DB">
              <w:t xml:space="preserve">he health and safety of your relevant employees, subcontractors’ </w:t>
            </w:r>
            <w:r w:rsidR="00C745DB">
              <w:lastRenderedPageBreak/>
              <w:t>employees and members of the public</w:t>
            </w:r>
            <w:r w:rsidR="00161EA1">
              <w:t>; and</w:t>
            </w:r>
          </w:p>
          <w:p w:rsidR="00C745DB" w:rsidRDefault="003A306C" w:rsidP="00AF47E4">
            <w:pPr>
              <w:pStyle w:val="Paragrapgh"/>
              <w:numPr>
                <w:ilvl w:val="0"/>
                <w:numId w:val="10"/>
              </w:numPr>
              <w:spacing w:before="120" w:after="120"/>
              <w:ind w:left="1434" w:hanging="357"/>
            </w:pPr>
            <w:r>
              <w:t>t</w:t>
            </w:r>
            <w:r w:rsidR="00C745DB">
              <w:t>he safety of the installations of the relevant Qualifying Project during operation, maintenance, and decommissioning</w:t>
            </w:r>
            <w:r w:rsidR="00161EA1">
              <w:t>;</w:t>
            </w:r>
          </w:p>
          <w:p w:rsidR="00C745DB" w:rsidRDefault="00161EA1" w:rsidP="001570E0">
            <w:pPr>
              <w:pStyle w:val="Paragrapgh"/>
              <w:numPr>
                <w:ilvl w:val="0"/>
                <w:numId w:val="20"/>
              </w:numPr>
              <w:spacing w:before="120" w:after="120"/>
              <w:ind w:left="714" w:hanging="357"/>
            </w:pPr>
            <w:r>
              <w:t>e</w:t>
            </w:r>
            <w:r w:rsidR="00C745DB">
              <w:t>nsuring that all activities are delivered in accordance with all applicable environmental and planning legislation</w:t>
            </w:r>
            <w:r>
              <w:t>;</w:t>
            </w:r>
          </w:p>
          <w:p w:rsidR="00430846" w:rsidRDefault="00430846" w:rsidP="00A51C46">
            <w:pPr>
              <w:pStyle w:val="Paragrapgh"/>
              <w:numPr>
                <w:ilvl w:val="0"/>
                <w:numId w:val="0"/>
              </w:numPr>
              <w:spacing w:before="240" w:after="120"/>
              <w:rPr>
                <w:b/>
              </w:rPr>
            </w:pPr>
            <w:r w:rsidRPr="00036FDB">
              <w:rPr>
                <w:b/>
              </w:rPr>
              <w:t>[</w:t>
            </w:r>
            <w:r>
              <w:rPr>
                <w:b/>
              </w:rPr>
              <w:t>8G</w:t>
            </w:r>
            <w:r w:rsidRPr="00036FDB">
              <w:rPr>
                <w:b/>
              </w:rPr>
              <w:t>]</w:t>
            </w:r>
            <w:r>
              <w:t xml:space="preserve"> a description of your planned response to a prolonged fai</w:t>
            </w:r>
            <w:r w:rsidR="00DD68ED">
              <w:t>lure of the Transmission Assets;</w:t>
            </w:r>
          </w:p>
          <w:p w:rsidR="00C745DB" w:rsidRDefault="00430846" w:rsidP="00A51C46">
            <w:pPr>
              <w:pStyle w:val="Paragrapgh"/>
              <w:numPr>
                <w:ilvl w:val="0"/>
                <w:numId w:val="0"/>
              </w:numPr>
              <w:spacing w:before="240" w:after="120"/>
            </w:pPr>
            <w:r>
              <w:rPr>
                <w:b/>
              </w:rPr>
              <w:t>[8H</w:t>
            </w:r>
            <w:r w:rsidR="009552AD" w:rsidRPr="009552AD">
              <w:rPr>
                <w:b/>
              </w:rPr>
              <w:t>]</w:t>
            </w:r>
            <w:r w:rsidR="009552AD">
              <w:t xml:space="preserve"> </w:t>
            </w:r>
            <w:r w:rsidR="00161EA1">
              <w:t>d</w:t>
            </w:r>
            <w:r w:rsidR="00C745DB">
              <w:t>etails of your approach to decommissioning</w:t>
            </w:r>
            <w:r w:rsidR="001008F8">
              <w:t xml:space="preserve"> (</w:t>
            </w:r>
            <w:hyperlink r:id="rId26" w:history="1">
              <w:r w:rsidR="00C80E5A" w:rsidRPr="00C80E5A">
                <w:rPr>
                  <w:rStyle w:val="Hyperlink"/>
                  <w:i/>
                  <w:sz w:val="20"/>
                </w:rPr>
                <w:t>guidance notes on decommissioning</w:t>
              </w:r>
            </w:hyperlink>
            <w:r w:rsidR="00C80E5A" w:rsidRPr="00C80E5A">
              <w:rPr>
                <w:rStyle w:val="FootnoteReference"/>
                <w:i/>
              </w:rPr>
              <w:footnoteReference w:id="17"/>
            </w:r>
            <w:r w:rsidR="00C80E5A" w:rsidRPr="00C80E5A">
              <w:rPr>
                <w:i/>
              </w:rPr>
              <w:t xml:space="preserve"> are available on DECC‘s website</w:t>
            </w:r>
            <w:r w:rsidR="001008F8">
              <w:t>)</w:t>
            </w:r>
            <w:r w:rsidR="00161EA1">
              <w:t>; and</w:t>
            </w:r>
            <w:r w:rsidR="001008F8">
              <w:t xml:space="preserve"> </w:t>
            </w:r>
          </w:p>
          <w:p w:rsidR="0060317F" w:rsidRDefault="00430846" w:rsidP="0060317F">
            <w:pPr>
              <w:pStyle w:val="Paragrapgh"/>
              <w:numPr>
                <w:ilvl w:val="0"/>
                <w:numId w:val="0"/>
              </w:numPr>
              <w:spacing w:before="240" w:after="120"/>
            </w:pPr>
            <w:r>
              <w:rPr>
                <w:b/>
              </w:rPr>
              <w:t>[8I</w:t>
            </w:r>
            <w:r w:rsidR="009552AD" w:rsidRPr="009552AD">
              <w:rPr>
                <w:b/>
              </w:rPr>
              <w:t>]</w:t>
            </w:r>
            <w:r w:rsidR="009552AD">
              <w:t xml:space="preserve"> </w:t>
            </w:r>
            <w:r w:rsidR="00161EA1">
              <w:t>d</w:t>
            </w:r>
            <w:r w:rsidR="00C745DB">
              <w:t>etails of any existing conflicts of interest of which you are aware</w:t>
            </w:r>
            <w:r w:rsidR="003A306C">
              <w:t>,</w:t>
            </w:r>
            <w:r w:rsidR="00C745DB">
              <w:t xml:space="preserve"> or any potential conflicts of interest which could arise if you are selected as a Preferred Bidder, Reserve Bidder or Successful Bidder.</w:t>
            </w:r>
            <w:r w:rsidR="009552AD">
              <w:t xml:space="preserve"> </w:t>
            </w:r>
          </w:p>
          <w:p w:rsidR="00C745DB" w:rsidRPr="00C745DB" w:rsidRDefault="00C745DB" w:rsidP="00DD68ED">
            <w:pPr>
              <w:pStyle w:val="Paragrapgh"/>
              <w:numPr>
                <w:ilvl w:val="0"/>
                <w:numId w:val="0"/>
              </w:numPr>
              <w:spacing w:before="120" w:after="120"/>
            </w:pPr>
            <w:r>
              <w:t>In addition,</w:t>
            </w:r>
            <w:r w:rsidR="003A306C">
              <w:t xml:space="preserve"> please provide</w:t>
            </w:r>
            <w:r>
              <w:t xml:space="preserve"> details of how the methodology statement referred to in your response to </w:t>
            </w:r>
            <w:r w:rsidR="00D004EF">
              <w:t>[</w:t>
            </w:r>
            <w:r>
              <w:t>5A</w:t>
            </w:r>
            <w:r w:rsidR="00D004EF">
              <w:t>]</w:t>
            </w:r>
            <w:r w:rsidR="00BE5E37">
              <w:t xml:space="preserve"> </w:t>
            </w:r>
            <w:r>
              <w:t>will be applied to manage these conflicts if you were selected as an OFTO</w:t>
            </w:r>
            <w:r w:rsidR="003A306C">
              <w:t xml:space="preserve">. Where additional </w:t>
            </w:r>
            <w:r>
              <w:t>conflicts have been identified since the submission of the PQ Questionnaire, you must provide an updated methodology statement.</w:t>
            </w:r>
          </w:p>
        </w:tc>
      </w:tr>
      <w:tr w:rsidR="00AA66BC" w:rsidTr="00AA66BC">
        <w:trPr>
          <w:trHeight w:val="5391"/>
        </w:trPr>
        <w:tc>
          <w:tcPr>
            <w:tcW w:w="8897" w:type="dxa"/>
            <w:shd w:val="clear" w:color="auto" w:fill="auto"/>
          </w:tcPr>
          <w:p w:rsidR="00AA66BC" w:rsidRPr="009552AD" w:rsidRDefault="00AA66BC" w:rsidP="00AF47E4">
            <w:pPr>
              <w:pStyle w:val="Paragrapgh"/>
              <w:numPr>
                <w:ilvl w:val="0"/>
                <w:numId w:val="0"/>
              </w:numPr>
              <w:spacing w:before="120" w:after="120"/>
              <w:rPr>
                <w:b/>
              </w:rPr>
            </w:pPr>
          </w:p>
        </w:tc>
      </w:tr>
    </w:tbl>
    <w:p w:rsidR="00A0352F" w:rsidRDefault="00FF3B3B" w:rsidP="001C7FC5">
      <w:pPr>
        <w:pStyle w:val="Heading1"/>
      </w:pPr>
      <w:bookmarkStart w:id="43" w:name="_Toc283819657"/>
      <w:bookmarkStart w:id="44" w:name="_Toc277259992"/>
      <w:r w:rsidRPr="00F067E5">
        <w:lastRenderedPageBreak/>
        <w:t>Section 9</w:t>
      </w:r>
      <w:r w:rsidR="00A0352F" w:rsidRPr="00F067E5">
        <w:t>: Transfer Agreement</w:t>
      </w:r>
      <w:bookmarkEnd w:id="43"/>
    </w:p>
    <w:tbl>
      <w:tblPr>
        <w:tblStyle w:val="TableGrid"/>
        <w:tblW w:w="0" w:type="auto"/>
        <w:tblLook w:val="04A0"/>
      </w:tblPr>
      <w:tblGrid>
        <w:gridCol w:w="8862"/>
      </w:tblGrid>
      <w:tr w:rsidR="0016383E" w:rsidTr="008010AD">
        <w:tc>
          <w:tcPr>
            <w:tcW w:w="8862" w:type="dxa"/>
            <w:shd w:val="clear" w:color="auto" w:fill="F2F2F2" w:themeFill="background1" w:themeFillShade="F2"/>
          </w:tcPr>
          <w:p w:rsidR="009552AD" w:rsidRDefault="006E6DA6" w:rsidP="00AF47E4">
            <w:pPr>
              <w:spacing w:before="120" w:after="120"/>
            </w:pPr>
            <w:r>
              <w:t xml:space="preserve">Based upon your review of the information about the Qualifying Project (including but not limited to the Information Memorandum and the draft Project Transfer Agreement), as well as information available in respect of the offshore electricity transmission regime more generally (including that referred to in </w:t>
            </w:r>
            <w:r w:rsidRPr="00695AD5">
              <w:t xml:space="preserve">paragraph </w:t>
            </w:r>
            <w:r w:rsidR="001F0D6B" w:rsidRPr="00695AD5">
              <w:t>1.25</w:t>
            </w:r>
            <w:r w:rsidRPr="00695AD5">
              <w:t>),</w:t>
            </w:r>
            <w:r>
              <w:t xml:space="preserve"> you are required to provide:</w:t>
            </w:r>
          </w:p>
        </w:tc>
      </w:tr>
      <w:tr w:rsidR="009552AD" w:rsidTr="00AA66BC">
        <w:tc>
          <w:tcPr>
            <w:tcW w:w="8862" w:type="dxa"/>
            <w:tcBorders>
              <w:bottom w:val="single" w:sz="4" w:space="0" w:color="000000" w:themeColor="text1"/>
            </w:tcBorders>
            <w:shd w:val="clear" w:color="auto" w:fill="F2F2F2" w:themeFill="background1" w:themeFillShade="F2"/>
          </w:tcPr>
          <w:p w:rsidR="009552AD" w:rsidRDefault="009552AD" w:rsidP="006E6DA6">
            <w:pPr>
              <w:spacing w:before="120" w:after="120"/>
            </w:pPr>
            <w:r w:rsidRPr="00F067E5">
              <w:rPr>
                <w:b/>
              </w:rPr>
              <w:t>[9A]</w:t>
            </w:r>
            <w:r w:rsidRPr="00F067E5">
              <w:t xml:space="preserve"> </w:t>
            </w:r>
            <w:r w:rsidR="006E6DA6" w:rsidRPr="00F067E5">
              <w:t xml:space="preserve">A maximum of </w:t>
            </w:r>
            <w:r w:rsidR="006E6DA6" w:rsidRPr="00F067E5">
              <w:rPr>
                <w:b/>
              </w:rPr>
              <w:t>five pages</w:t>
            </w:r>
            <w:r w:rsidR="006E6DA6" w:rsidRPr="00F067E5">
              <w:t xml:space="preserve"> outlining at this stage what you consider may be the potential key commercial issues and risk considerations associated with achieving a transfer of the assets in accordance with the </w:t>
            </w:r>
            <w:r w:rsidR="00456230">
              <w:t xml:space="preserve">draft </w:t>
            </w:r>
            <w:r w:rsidR="006E6DA6" w:rsidRPr="00F067E5">
              <w:t>Project Transfer Agreement.</w:t>
            </w:r>
          </w:p>
        </w:tc>
      </w:tr>
      <w:tr w:rsidR="00AA66BC" w:rsidTr="00966638">
        <w:trPr>
          <w:trHeight w:val="1028"/>
        </w:trPr>
        <w:tc>
          <w:tcPr>
            <w:tcW w:w="8862" w:type="dxa"/>
            <w:shd w:val="clear" w:color="auto" w:fill="auto"/>
          </w:tcPr>
          <w:p w:rsidR="00AA66BC" w:rsidRPr="009552AD" w:rsidRDefault="00AA66BC" w:rsidP="00AF47E4">
            <w:pPr>
              <w:spacing w:before="120" w:after="120"/>
              <w:rPr>
                <w:b/>
              </w:rPr>
            </w:pPr>
          </w:p>
        </w:tc>
      </w:tr>
      <w:tr w:rsidR="009552AD" w:rsidTr="00AA66BC">
        <w:tc>
          <w:tcPr>
            <w:tcW w:w="8862" w:type="dxa"/>
            <w:tcBorders>
              <w:bottom w:val="single" w:sz="4" w:space="0" w:color="000000" w:themeColor="text1"/>
            </w:tcBorders>
            <w:shd w:val="clear" w:color="auto" w:fill="F2F2F2" w:themeFill="background1" w:themeFillShade="F2"/>
          </w:tcPr>
          <w:p w:rsidR="006E6DA6" w:rsidRPr="00F067E5" w:rsidRDefault="009552AD" w:rsidP="006E6DA6">
            <w:pPr>
              <w:spacing w:before="120" w:after="120"/>
              <w:rPr>
                <w:b/>
                <w:i/>
              </w:rPr>
            </w:pPr>
            <w:r w:rsidRPr="00F067E5">
              <w:rPr>
                <w:b/>
              </w:rPr>
              <w:t>[9B]</w:t>
            </w:r>
            <w:r w:rsidRPr="00F067E5">
              <w:t xml:space="preserve"> </w:t>
            </w:r>
            <w:r w:rsidR="006E6DA6" w:rsidRPr="00F067E5">
              <w:rPr>
                <w:b/>
                <w:i/>
              </w:rPr>
              <w:t>For London Array only</w:t>
            </w:r>
          </w:p>
          <w:p w:rsidR="001D756D" w:rsidRPr="00F067E5" w:rsidRDefault="006E6DA6" w:rsidP="006E6DA6">
            <w:pPr>
              <w:rPr>
                <w:i/>
                <w:iCs/>
              </w:rPr>
            </w:pPr>
            <w:r w:rsidRPr="00F067E5">
              <w:rPr>
                <w:i/>
                <w:iCs/>
              </w:rPr>
              <w:t xml:space="preserve">For the purposes of providing a draft Project Transfer Agreement at the QTT Stage, this document has been initially drafted by the Developer to reflect a transfer of assets once all the Transmission Assets have been completed. However, </w:t>
            </w:r>
            <w:r w:rsidRPr="00DD68ED">
              <w:rPr>
                <w:i/>
                <w:iCs/>
              </w:rPr>
              <w:t>g</w:t>
            </w:r>
            <w:r w:rsidRPr="00F067E5">
              <w:rPr>
                <w:i/>
                <w:iCs/>
              </w:rPr>
              <w:t xml:space="preserve">iven the legislative requirements under the Electricity Act 1989 in respect of offshore transmission, and the construction programme for London Array Phase 1 as referenced in the </w:t>
            </w:r>
            <w:r w:rsidR="00DD68ED">
              <w:rPr>
                <w:i/>
                <w:iCs/>
              </w:rPr>
              <w:t xml:space="preserve">relevant </w:t>
            </w:r>
            <w:r w:rsidRPr="00F067E5">
              <w:rPr>
                <w:i/>
                <w:iCs/>
              </w:rPr>
              <w:t>Information Memorandum, it is expected that this project will be subject to a phased transfer</w:t>
            </w:r>
            <w:r w:rsidR="00B5032D">
              <w:rPr>
                <w:i/>
                <w:iCs/>
              </w:rPr>
              <w:t xml:space="preserve"> of assets</w:t>
            </w:r>
            <w:r w:rsidRPr="00F067E5">
              <w:rPr>
                <w:i/>
                <w:iCs/>
              </w:rPr>
              <w:t>. </w:t>
            </w:r>
          </w:p>
          <w:p w:rsidR="001D756D" w:rsidRPr="00F067E5" w:rsidRDefault="001D756D" w:rsidP="006E6DA6">
            <w:pPr>
              <w:rPr>
                <w:i/>
                <w:iCs/>
              </w:rPr>
            </w:pPr>
          </w:p>
          <w:p w:rsidR="006E6DA6" w:rsidRPr="00F067E5" w:rsidRDefault="006E6DA6" w:rsidP="006E6DA6">
            <w:pPr>
              <w:rPr>
                <w:i/>
                <w:iCs/>
              </w:rPr>
            </w:pPr>
            <w:r w:rsidRPr="00F067E5">
              <w:rPr>
                <w:i/>
                <w:iCs/>
              </w:rPr>
              <w:t xml:space="preserve">Given this, you are required to identify any specific key commercial issues associated with a phased transfer of assets, including any issues that you would expect to see addressed in the Project Transfer Agreement, in no more than </w:t>
            </w:r>
            <w:r w:rsidRPr="00F067E5">
              <w:rPr>
                <w:b/>
                <w:bCs/>
                <w:i/>
                <w:iCs/>
              </w:rPr>
              <w:t>4 pages</w:t>
            </w:r>
            <w:r w:rsidR="001D756D" w:rsidRPr="00F067E5">
              <w:rPr>
                <w:i/>
                <w:iCs/>
              </w:rPr>
              <w:t xml:space="preserve">. </w:t>
            </w:r>
            <w:r w:rsidRPr="00F067E5">
              <w:rPr>
                <w:i/>
                <w:iCs/>
              </w:rPr>
              <w:t>This is in addition to the requirements under [9A] above.</w:t>
            </w:r>
          </w:p>
          <w:p w:rsidR="006E6DA6" w:rsidRPr="00F067E5" w:rsidRDefault="006E6DA6" w:rsidP="006E6DA6">
            <w:pPr>
              <w:rPr>
                <w:i/>
                <w:iCs/>
              </w:rPr>
            </w:pPr>
          </w:p>
          <w:p w:rsidR="00014742" w:rsidRPr="00014742" w:rsidRDefault="006E6DA6" w:rsidP="00014742">
            <w:pPr>
              <w:spacing w:before="120" w:after="120"/>
            </w:pPr>
            <w:r w:rsidRPr="00F067E5">
              <w:rPr>
                <w:i/>
                <w:iCs/>
              </w:rPr>
              <w:t>Ofgem will provide more detailed information on the structure of the transfer of London Array (Phase 1) at the ITT stage</w:t>
            </w:r>
            <w:r w:rsidRPr="00F067E5">
              <w:t>.</w:t>
            </w:r>
          </w:p>
        </w:tc>
      </w:tr>
      <w:tr w:rsidR="00AA66BC" w:rsidTr="00966638">
        <w:trPr>
          <w:trHeight w:val="1130"/>
        </w:trPr>
        <w:tc>
          <w:tcPr>
            <w:tcW w:w="8862" w:type="dxa"/>
            <w:shd w:val="clear" w:color="auto" w:fill="auto"/>
          </w:tcPr>
          <w:p w:rsidR="00AA66BC" w:rsidRPr="009552AD" w:rsidRDefault="00AA66BC" w:rsidP="00AF47E4">
            <w:pPr>
              <w:spacing w:before="120" w:after="120"/>
              <w:rPr>
                <w:b/>
              </w:rPr>
            </w:pPr>
          </w:p>
        </w:tc>
      </w:tr>
    </w:tbl>
    <w:p w:rsidR="00DD68ED" w:rsidRDefault="00DD68ED"/>
    <w:p w:rsidR="00DD68ED" w:rsidRPr="00695AD5" w:rsidRDefault="00DD68ED" w:rsidP="00DD68ED">
      <w:pPr>
        <w:rPr>
          <w:i/>
        </w:rPr>
      </w:pPr>
      <w:r w:rsidRPr="001333CB">
        <w:rPr>
          <w:i/>
        </w:rPr>
        <w:t xml:space="preserve">As Ofgem will consider whether to make responses to this section available to the relevant Developer(s) (see </w:t>
      </w:r>
      <w:r w:rsidR="00456230">
        <w:rPr>
          <w:i/>
        </w:rPr>
        <w:t>paragraph 2.19</w:t>
      </w:r>
      <w:r w:rsidRPr="00695AD5">
        <w:rPr>
          <w:i/>
        </w:rPr>
        <w:t>), Qualifying Bidders’ responses should not contain any information (including in footnotes) which could identify or allow ready identification of the Qualifying Bidder or any member of the Bidder Group (if relevant).</w:t>
      </w:r>
    </w:p>
    <w:p w:rsidR="00DD68ED" w:rsidRPr="00695AD5" w:rsidRDefault="00DD68ED" w:rsidP="00DD68ED">
      <w:pPr>
        <w:rPr>
          <w:i/>
        </w:rPr>
      </w:pPr>
    </w:p>
    <w:p w:rsidR="00DD68ED" w:rsidRDefault="00DD68ED" w:rsidP="00DD68ED">
      <w:r w:rsidRPr="00695AD5">
        <w:rPr>
          <w:i/>
        </w:rPr>
        <w:t>Responses which are issues for Ofgem to address, including issues in relation to the Tender Exercise, Offshore Transmission Licence or regulatory regime, should be raised as clarifications in accordance with the pro</w:t>
      </w:r>
      <w:r w:rsidR="00456230">
        <w:rPr>
          <w:i/>
        </w:rPr>
        <w:t>cedure set out in paragraph 2.29</w:t>
      </w:r>
      <w:r w:rsidRPr="00695AD5">
        <w:rPr>
          <w:i/>
        </w:rPr>
        <w:t>.</w:t>
      </w:r>
    </w:p>
    <w:p w:rsidR="00410657" w:rsidRPr="001C7FC5" w:rsidRDefault="00410657" w:rsidP="001C7FC5">
      <w:pPr>
        <w:pStyle w:val="Heading1"/>
      </w:pPr>
      <w:bookmarkStart w:id="45" w:name="_Toc283819658"/>
      <w:r w:rsidRPr="001C7FC5">
        <w:lastRenderedPageBreak/>
        <w:t xml:space="preserve">Section </w:t>
      </w:r>
      <w:r w:rsidR="00FF3B3B" w:rsidRPr="001C7FC5">
        <w:t>10</w:t>
      </w:r>
      <w:r w:rsidRPr="001C7FC5">
        <w:t xml:space="preserve">: </w:t>
      </w:r>
      <w:bookmarkEnd w:id="44"/>
      <w:r w:rsidR="006D306E" w:rsidRPr="001C7FC5">
        <w:t xml:space="preserve">QTT </w:t>
      </w:r>
      <w:r w:rsidRPr="001C7FC5">
        <w:t>Certificate</w:t>
      </w:r>
      <w:bookmarkEnd w:id="45"/>
    </w:p>
    <w:tbl>
      <w:tblPr>
        <w:tblStyle w:val="TableGrid"/>
        <w:tblW w:w="0" w:type="auto"/>
        <w:tblLook w:val="04A0"/>
      </w:tblPr>
      <w:tblGrid>
        <w:gridCol w:w="7763"/>
        <w:gridCol w:w="1099"/>
      </w:tblGrid>
      <w:tr w:rsidR="00E7612D" w:rsidTr="00E7612D">
        <w:trPr>
          <w:trHeight w:val="2726"/>
        </w:trPr>
        <w:tc>
          <w:tcPr>
            <w:tcW w:w="8862" w:type="dxa"/>
            <w:gridSpan w:val="2"/>
            <w:shd w:val="clear" w:color="auto" w:fill="F2F2F2" w:themeFill="background1" w:themeFillShade="F2"/>
          </w:tcPr>
          <w:p w:rsidR="00E7612D" w:rsidRDefault="00E7612D" w:rsidP="00AF47E4">
            <w:pPr>
              <w:spacing w:before="120" w:after="120"/>
            </w:pPr>
            <w:r>
              <w:t xml:space="preserve">Each Qualifying Bidder must have a duly authorised officer of the Qualifying Bidder or Bidder Group indicate his or her confirmation of all of the statements </w:t>
            </w:r>
            <w:r w:rsidR="0060317F">
              <w:t>[10</w:t>
            </w:r>
            <w:r>
              <w:t>A</w:t>
            </w:r>
            <w:r w:rsidR="0060317F">
              <w:t>]</w:t>
            </w:r>
            <w:r>
              <w:t xml:space="preserve"> to </w:t>
            </w:r>
            <w:r w:rsidR="0060317F">
              <w:t>[10</w:t>
            </w:r>
            <w:r w:rsidR="00C8639B">
              <w:t>I</w:t>
            </w:r>
            <w:r w:rsidR="0060317F">
              <w:t>]</w:t>
            </w:r>
            <w:r>
              <w:t xml:space="preserve"> below by </w:t>
            </w:r>
            <w:r w:rsidRPr="009F3180">
              <w:rPr>
                <w:b/>
              </w:rPr>
              <w:t>initialling</w:t>
            </w:r>
            <w:r>
              <w:t xml:space="preserve"> </w:t>
            </w:r>
            <w:r w:rsidR="00CA08E7">
              <w:t>each statement where indicated</w:t>
            </w:r>
            <w:r>
              <w:t xml:space="preserve"> and </w:t>
            </w:r>
            <w:r w:rsidRPr="009F3180">
              <w:rPr>
                <w:b/>
              </w:rPr>
              <w:t>signing</w:t>
            </w:r>
            <w:r w:rsidR="00CA08E7">
              <w:t xml:space="preserve"> where indicated below. The</w:t>
            </w:r>
            <w:r>
              <w:t xml:space="preserve"> initialled and signed copy of the </w:t>
            </w:r>
            <w:r w:rsidR="0060317F">
              <w:t>QTT C</w:t>
            </w:r>
            <w:r>
              <w:t>ertificate must then be uploaded on to the Portal as part of your QTT Submis</w:t>
            </w:r>
            <w:r w:rsidR="00307EF6">
              <w:t xml:space="preserve">sion. </w:t>
            </w:r>
            <w:r w:rsidR="00307EF6" w:rsidRPr="00245120">
              <w:t xml:space="preserve">In relation to statement </w:t>
            </w:r>
            <w:r w:rsidR="0060317F" w:rsidRPr="00245120">
              <w:t>[10</w:t>
            </w:r>
            <w:r w:rsidR="00307EF6" w:rsidRPr="00245120">
              <w:t>D</w:t>
            </w:r>
            <w:r w:rsidR="0060317F" w:rsidRPr="00245120">
              <w:t>]</w:t>
            </w:r>
            <w:r w:rsidRPr="00245120">
              <w:t xml:space="preserve"> only, if the duly authorised officer is not able to confirm </w:t>
            </w:r>
            <w:r w:rsidR="00307EF6" w:rsidRPr="00245120">
              <w:t xml:space="preserve">statement </w:t>
            </w:r>
            <w:r w:rsidR="0060317F" w:rsidRPr="00245120">
              <w:t>[10</w:t>
            </w:r>
            <w:r w:rsidR="00307EF6" w:rsidRPr="00245120">
              <w:t>D</w:t>
            </w:r>
            <w:r w:rsidR="0060317F" w:rsidRPr="00245120">
              <w:t>]</w:t>
            </w:r>
            <w:r w:rsidRPr="00245120">
              <w:t xml:space="preserve"> then he or she need not initial this statement provided that the </w:t>
            </w:r>
            <w:r w:rsidR="00C307EC" w:rsidRPr="00245120">
              <w:t xml:space="preserve">Qualifying </w:t>
            </w:r>
            <w:r w:rsidRPr="00245120">
              <w:t>Bidder provides a written description of the reasons why the duly authorised officer cannot give such confirmation.</w:t>
            </w:r>
          </w:p>
          <w:p w:rsidR="00E7612D" w:rsidRDefault="00E7612D" w:rsidP="00AF47E4">
            <w:pPr>
              <w:spacing w:before="120" w:after="120"/>
            </w:pPr>
            <w:r>
              <w:t>“I, acting as a duly authorised officer of*</w:t>
            </w:r>
            <w:r>
              <w:rPr>
                <w:u w:val="single"/>
              </w:rPr>
              <w:t xml:space="preserve">                                          </w:t>
            </w:r>
            <w:r>
              <w:t>and on behalf of</w:t>
            </w:r>
            <w:r w:rsidR="00CA08E7">
              <w:t xml:space="preserve"> </w:t>
            </w:r>
            <w:r>
              <w:t>**</w:t>
            </w:r>
            <w:r>
              <w:rPr>
                <w:u w:val="single"/>
              </w:rPr>
              <w:t xml:space="preserve">                                                                              </w:t>
            </w:r>
            <w:r>
              <w:t>, hereby confirm that:</w:t>
            </w:r>
          </w:p>
        </w:tc>
      </w:tr>
      <w:tr w:rsidR="00E7612D" w:rsidTr="00AA66BC">
        <w:trPr>
          <w:trHeight w:val="113"/>
        </w:trPr>
        <w:tc>
          <w:tcPr>
            <w:tcW w:w="7763" w:type="dxa"/>
            <w:vMerge w:val="restart"/>
            <w:shd w:val="clear" w:color="auto" w:fill="F2F2F2" w:themeFill="background1" w:themeFillShade="F2"/>
          </w:tcPr>
          <w:p w:rsidR="00E7612D" w:rsidRDefault="009552AD" w:rsidP="0060317F">
            <w:pPr>
              <w:spacing w:before="120" w:after="120"/>
            </w:pPr>
            <w:r w:rsidRPr="009552AD">
              <w:rPr>
                <w:b/>
              </w:rPr>
              <w:t>[10A]</w:t>
            </w:r>
            <w:r>
              <w:t xml:space="preserve"> </w:t>
            </w:r>
            <w:r w:rsidR="00E7612D">
              <w:t xml:space="preserve">The information provided in the PQ Submission remains materially true, accurate, and complete, or has been updated where necessary to the extent that any information has materially changed by providing updated responses to the relevant question(s) in the PQ </w:t>
            </w:r>
            <w:r w:rsidR="0060317F">
              <w:t>Questionnaire</w:t>
            </w:r>
            <w:r w:rsidR="00CA08E7">
              <w:t>.</w:t>
            </w:r>
          </w:p>
        </w:tc>
        <w:tc>
          <w:tcPr>
            <w:tcW w:w="1099" w:type="dxa"/>
            <w:shd w:val="clear" w:color="auto" w:fill="F2F2F2" w:themeFill="background1" w:themeFillShade="F2"/>
          </w:tcPr>
          <w:p w:rsidR="00E7612D" w:rsidRPr="00E7612D" w:rsidRDefault="00E7612D" w:rsidP="00AF47E4">
            <w:pPr>
              <w:spacing w:before="120" w:after="120"/>
              <w:rPr>
                <w:sz w:val="14"/>
                <w:szCs w:val="14"/>
              </w:rPr>
            </w:pPr>
            <w:r w:rsidRPr="00E7612D">
              <w:rPr>
                <w:sz w:val="14"/>
                <w:szCs w:val="14"/>
              </w:rPr>
              <w:t>Initial below</w:t>
            </w:r>
          </w:p>
        </w:tc>
      </w:tr>
      <w:tr w:rsidR="00E7612D" w:rsidTr="00AA66BC">
        <w:trPr>
          <w:trHeight w:val="607"/>
        </w:trPr>
        <w:tc>
          <w:tcPr>
            <w:tcW w:w="7763" w:type="dxa"/>
            <w:vMerge/>
            <w:shd w:val="clear" w:color="auto" w:fill="F2F2F2" w:themeFill="background1" w:themeFillShade="F2"/>
          </w:tcPr>
          <w:p w:rsidR="00E7612D" w:rsidRDefault="00E7612D" w:rsidP="001570E0">
            <w:pPr>
              <w:pStyle w:val="ListParagraph"/>
              <w:numPr>
                <w:ilvl w:val="0"/>
                <w:numId w:val="11"/>
              </w:numPr>
              <w:spacing w:before="120" w:after="120"/>
              <w:contextualSpacing w:val="0"/>
            </w:pPr>
          </w:p>
        </w:tc>
        <w:tc>
          <w:tcPr>
            <w:tcW w:w="1099" w:type="dxa"/>
            <w:tcBorders>
              <w:bottom w:val="single" w:sz="4" w:space="0" w:color="000000" w:themeColor="text1"/>
            </w:tcBorders>
            <w:shd w:val="clear" w:color="auto" w:fill="auto"/>
          </w:tcPr>
          <w:p w:rsidR="00E7612D" w:rsidRDefault="00E7612D" w:rsidP="00AF47E4">
            <w:pPr>
              <w:pStyle w:val="ListParagraph"/>
              <w:spacing w:before="120" w:after="120"/>
              <w:contextualSpacing w:val="0"/>
            </w:pPr>
          </w:p>
        </w:tc>
      </w:tr>
      <w:tr w:rsidR="00E7612D" w:rsidTr="00AA66BC">
        <w:trPr>
          <w:trHeight w:val="159"/>
        </w:trPr>
        <w:tc>
          <w:tcPr>
            <w:tcW w:w="7763" w:type="dxa"/>
            <w:vMerge w:val="restart"/>
            <w:shd w:val="clear" w:color="auto" w:fill="F2F2F2" w:themeFill="background1" w:themeFillShade="F2"/>
          </w:tcPr>
          <w:p w:rsidR="00E7612D" w:rsidRDefault="009552AD" w:rsidP="00AF47E4">
            <w:pPr>
              <w:spacing w:before="120" w:after="120"/>
            </w:pPr>
            <w:r w:rsidRPr="009552AD">
              <w:rPr>
                <w:b/>
              </w:rPr>
              <w:t>[10B]</w:t>
            </w:r>
            <w:r>
              <w:t xml:space="preserve"> </w:t>
            </w:r>
            <w:r w:rsidR="00E7612D">
              <w:t>The information provided in the QTT Submission is true, accurate, and complete.</w:t>
            </w:r>
          </w:p>
        </w:tc>
        <w:tc>
          <w:tcPr>
            <w:tcW w:w="1099" w:type="dxa"/>
            <w:shd w:val="clear" w:color="auto" w:fill="F2F2F2" w:themeFill="background1" w:themeFillShade="F2"/>
          </w:tcPr>
          <w:p w:rsidR="00E7612D" w:rsidRDefault="00E7612D" w:rsidP="00AF47E4">
            <w:pPr>
              <w:spacing w:before="120" w:after="120"/>
            </w:pPr>
            <w:r w:rsidRPr="00E7612D">
              <w:rPr>
                <w:sz w:val="14"/>
                <w:szCs w:val="14"/>
              </w:rPr>
              <w:t>Initial below</w:t>
            </w:r>
          </w:p>
        </w:tc>
      </w:tr>
      <w:tr w:rsidR="00E7612D" w:rsidTr="00AA66BC">
        <w:trPr>
          <w:trHeight w:val="240"/>
        </w:trPr>
        <w:tc>
          <w:tcPr>
            <w:tcW w:w="7763" w:type="dxa"/>
            <w:vMerge/>
            <w:shd w:val="clear" w:color="auto" w:fill="F2F2F2" w:themeFill="background1" w:themeFillShade="F2"/>
          </w:tcPr>
          <w:p w:rsidR="00E7612D" w:rsidRDefault="00E7612D" w:rsidP="001570E0">
            <w:pPr>
              <w:pStyle w:val="ListParagraph"/>
              <w:numPr>
                <w:ilvl w:val="0"/>
                <w:numId w:val="11"/>
              </w:numPr>
              <w:spacing w:before="120" w:after="120"/>
              <w:contextualSpacing w:val="0"/>
            </w:pPr>
          </w:p>
        </w:tc>
        <w:tc>
          <w:tcPr>
            <w:tcW w:w="1099" w:type="dxa"/>
            <w:tcBorders>
              <w:bottom w:val="single" w:sz="4" w:space="0" w:color="000000" w:themeColor="text1"/>
            </w:tcBorders>
            <w:shd w:val="clear" w:color="auto" w:fill="auto"/>
          </w:tcPr>
          <w:p w:rsidR="00E7612D" w:rsidRDefault="00E7612D" w:rsidP="00AF47E4">
            <w:pPr>
              <w:pStyle w:val="ListParagraph"/>
              <w:spacing w:before="120" w:after="120"/>
              <w:contextualSpacing w:val="0"/>
            </w:pPr>
          </w:p>
        </w:tc>
      </w:tr>
      <w:tr w:rsidR="00E7612D" w:rsidTr="00AA66BC">
        <w:trPr>
          <w:trHeight w:val="81"/>
        </w:trPr>
        <w:tc>
          <w:tcPr>
            <w:tcW w:w="7763" w:type="dxa"/>
            <w:vMerge w:val="restart"/>
            <w:shd w:val="clear" w:color="auto" w:fill="F2F2F2" w:themeFill="background1" w:themeFillShade="F2"/>
          </w:tcPr>
          <w:p w:rsidR="00E7612D" w:rsidRDefault="009552AD" w:rsidP="00CA08E7">
            <w:pPr>
              <w:spacing w:before="120" w:after="120"/>
            </w:pPr>
            <w:r w:rsidRPr="009552AD">
              <w:rPr>
                <w:b/>
              </w:rPr>
              <w:t>[10C]</w:t>
            </w:r>
            <w:r w:rsidR="0060317F">
              <w:t xml:space="preserve"> N</w:t>
            </w:r>
            <w:r w:rsidR="0060317F" w:rsidRPr="0060317F">
              <w:t>either*</w:t>
            </w:r>
            <w:r w:rsidR="0060317F">
              <w:rPr>
                <w:sz w:val="18"/>
                <w:szCs w:val="18"/>
              </w:rPr>
              <w:t>_________________________________________________</w:t>
            </w:r>
            <w:r w:rsidR="0060317F">
              <w:rPr>
                <w:sz w:val="18"/>
                <w:szCs w:val="18"/>
                <w:u w:val="single"/>
              </w:rPr>
              <w:t xml:space="preserve">  </w:t>
            </w:r>
            <w:r w:rsidR="0060317F">
              <w:rPr>
                <w:sz w:val="18"/>
                <w:szCs w:val="18"/>
              </w:rPr>
              <w:t>_</w:t>
            </w:r>
            <w:r w:rsidR="0060317F" w:rsidRPr="00CF3C4E">
              <w:rPr>
                <w:sz w:val="18"/>
                <w:szCs w:val="18"/>
              </w:rPr>
              <w:t xml:space="preserve">, </w:t>
            </w:r>
            <w:r w:rsidR="0060317F">
              <w:rPr>
                <w:sz w:val="18"/>
                <w:szCs w:val="18"/>
              </w:rPr>
              <w:t>***___________________________________________________________</w:t>
            </w:r>
            <w:r w:rsidR="0060317F" w:rsidRPr="00CF3C4E">
              <w:rPr>
                <w:rStyle w:val="Text-Italics"/>
                <w:sz w:val="18"/>
                <w:szCs w:val="18"/>
              </w:rPr>
              <w:t xml:space="preserve"> </w:t>
            </w:r>
            <w:r w:rsidR="0060317F" w:rsidRPr="0060317F">
              <w:t>nor</w:t>
            </w:r>
            <w:r w:rsidR="00E7612D">
              <w:t xml:space="preserve"> any of [its/their] Related Parties has breached any applicable legislation or regulations including any provision or requirement of the Tender Regulations, the Tender Rules, the PQ Document, or the QTT Document in preparing or making the PQ Submission or this QTT Submission.</w:t>
            </w:r>
          </w:p>
        </w:tc>
        <w:tc>
          <w:tcPr>
            <w:tcW w:w="1099" w:type="dxa"/>
            <w:shd w:val="clear" w:color="auto" w:fill="F2F2F2" w:themeFill="background1" w:themeFillShade="F2"/>
          </w:tcPr>
          <w:p w:rsidR="00E7612D" w:rsidRDefault="00E7612D" w:rsidP="00AF47E4">
            <w:pPr>
              <w:spacing w:before="120" w:after="120"/>
            </w:pPr>
            <w:r w:rsidRPr="00E7612D">
              <w:rPr>
                <w:sz w:val="14"/>
                <w:szCs w:val="14"/>
              </w:rPr>
              <w:t>Initial below</w:t>
            </w:r>
          </w:p>
        </w:tc>
      </w:tr>
      <w:tr w:rsidR="00E7612D" w:rsidTr="00AA66BC">
        <w:trPr>
          <w:trHeight w:val="727"/>
        </w:trPr>
        <w:tc>
          <w:tcPr>
            <w:tcW w:w="7763" w:type="dxa"/>
            <w:vMerge/>
            <w:shd w:val="clear" w:color="auto" w:fill="F2F2F2" w:themeFill="background1" w:themeFillShade="F2"/>
          </w:tcPr>
          <w:p w:rsidR="00E7612D" w:rsidRDefault="00E7612D" w:rsidP="001570E0">
            <w:pPr>
              <w:pStyle w:val="ListParagraph"/>
              <w:numPr>
                <w:ilvl w:val="0"/>
                <w:numId w:val="11"/>
              </w:numPr>
              <w:spacing w:before="120" w:after="120"/>
              <w:contextualSpacing w:val="0"/>
            </w:pPr>
          </w:p>
        </w:tc>
        <w:tc>
          <w:tcPr>
            <w:tcW w:w="1099" w:type="dxa"/>
            <w:tcBorders>
              <w:bottom w:val="single" w:sz="4" w:space="0" w:color="000000" w:themeColor="text1"/>
            </w:tcBorders>
            <w:shd w:val="clear" w:color="auto" w:fill="auto"/>
          </w:tcPr>
          <w:p w:rsidR="00E7612D" w:rsidRDefault="00E7612D" w:rsidP="00AF47E4">
            <w:pPr>
              <w:pStyle w:val="ListParagraph"/>
              <w:spacing w:before="120" w:after="120"/>
              <w:contextualSpacing w:val="0"/>
            </w:pPr>
          </w:p>
        </w:tc>
      </w:tr>
      <w:tr w:rsidR="00856AAA" w:rsidTr="00AA66BC">
        <w:trPr>
          <w:trHeight w:val="174"/>
        </w:trPr>
        <w:tc>
          <w:tcPr>
            <w:tcW w:w="7763" w:type="dxa"/>
            <w:vMerge w:val="restart"/>
            <w:shd w:val="clear" w:color="auto" w:fill="F2F2F2" w:themeFill="background1" w:themeFillShade="F2"/>
          </w:tcPr>
          <w:p w:rsidR="00856AAA" w:rsidRDefault="009552AD" w:rsidP="00AF47E4">
            <w:pPr>
              <w:spacing w:before="120" w:after="120"/>
            </w:pPr>
            <w:r w:rsidRPr="009552AD">
              <w:rPr>
                <w:b/>
              </w:rPr>
              <w:t>[10D]</w:t>
            </w:r>
            <w:r>
              <w:t xml:space="preserve"> </w:t>
            </w:r>
            <w:r w:rsidR="00CA08E7">
              <w:t>**</w:t>
            </w:r>
            <w:r w:rsidR="00CA08E7">
              <w:rPr>
                <w:u w:val="single"/>
              </w:rPr>
              <w:t xml:space="preserve">                                        </w:t>
            </w:r>
            <w:r w:rsidR="00856AAA">
              <w:t xml:space="preserve"> </w:t>
            </w:r>
            <w:r w:rsidR="00CA08E7">
              <w:t>[is/</w:t>
            </w:r>
            <w:r w:rsidR="00856AAA">
              <w:t>are</w:t>
            </w:r>
            <w:r w:rsidR="00CA08E7">
              <w:t>]</w:t>
            </w:r>
            <w:r w:rsidR="00856AAA">
              <w:t xml:space="preserve"> not aware of any application to place the Qualifying Bidder, any other Bidder Group member, or the shareholders of any of the foregoing in liquidation, administration or receivership, or to commence any analogous process or proceeding in any jurisdiction, and that no such process has been commenced.</w:t>
            </w:r>
          </w:p>
        </w:tc>
        <w:tc>
          <w:tcPr>
            <w:tcW w:w="1099" w:type="dxa"/>
            <w:shd w:val="clear" w:color="auto" w:fill="F2F2F2" w:themeFill="background1" w:themeFillShade="F2"/>
          </w:tcPr>
          <w:p w:rsidR="00856AAA" w:rsidRDefault="00856AAA" w:rsidP="00AF47E4">
            <w:pPr>
              <w:spacing w:before="120" w:after="120"/>
            </w:pPr>
            <w:r w:rsidRPr="00E7612D">
              <w:rPr>
                <w:sz w:val="14"/>
                <w:szCs w:val="14"/>
              </w:rPr>
              <w:t>Initial below</w:t>
            </w:r>
          </w:p>
        </w:tc>
      </w:tr>
      <w:tr w:rsidR="00856AAA" w:rsidTr="00AA66BC">
        <w:trPr>
          <w:trHeight w:val="607"/>
        </w:trPr>
        <w:tc>
          <w:tcPr>
            <w:tcW w:w="7763" w:type="dxa"/>
            <w:vMerge/>
            <w:shd w:val="clear" w:color="auto" w:fill="F2F2F2" w:themeFill="background1" w:themeFillShade="F2"/>
          </w:tcPr>
          <w:p w:rsidR="00856AAA" w:rsidRDefault="00856AAA" w:rsidP="001570E0">
            <w:pPr>
              <w:pStyle w:val="ListParagraph"/>
              <w:numPr>
                <w:ilvl w:val="0"/>
                <w:numId w:val="11"/>
              </w:numPr>
              <w:spacing w:before="120" w:after="120"/>
              <w:contextualSpacing w:val="0"/>
            </w:pPr>
          </w:p>
        </w:tc>
        <w:tc>
          <w:tcPr>
            <w:tcW w:w="1099" w:type="dxa"/>
            <w:tcBorders>
              <w:bottom w:val="single" w:sz="4" w:space="0" w:color="000000" w:themeColor="text1"/>
            </w:tcBorders>
            <w:shd w:val="clear" w:color="auto" w:fill="auto"/>
          </w:tcPr>
          <w:p w:rsidR="00856AAA" w:rsidRDefault="00856AAA" w:rsidP="00AF47E4">
            <w:pPr>
              <w:pStyle w:val="ListParagraph"/>
              <w:spacing w:before="120" w:after="120"/>
              <w:contextualSpacing w:val="0"/>
            </w:pPr>
          </w:p>
        </w:tc>
      </w:tr>
      <w:tr w:rsidR="00856AAA" w:rsidTr="00AA66BC">
        <w:trPr>
          <w:trHeight w:val="78"/>
        </w:trPr>
        <w:tc>
          <w:tcPr>
            <w:tcW w:w="7763" w:type="dxa"/>
            <w:vMerge w:val="restart"/>
            <w:shd w:val="clear" w:color="auto" w:fill="F2F2F2" w:themeFill="background1" w:themeFillShade="F2"/>
          </w:tcPr>
          <w:p w:rsidR="00856AAA" w:rsidRDefault="009552AD" w:rsidP="004F62BF">
            <w:pPr>
              <w:spacing w:before="120" w:after="120"/>
            </w:pPr>
            <w:r w:rsidRPr="009552AD">
              <w:rPr>
                <w:b/>
              </w:rPr>
              <w:t>[10E]</w:t>
            </w:r>
            <w:r>
              <w:t xml:space="preserve"> T</w:t>
            </w:r>
            <w:r w:rsidR="00C307EC">
              <w:t>he Q</w:t>
            </w:r>
            <w:r w:rsidR="00856AAA">
              <w:t xml:space="preserve">ualifying Bidder is acting as a principal in the Tender </w:t>
            </w:r>
            <w:r w:rsidR="004F62BF">
              <w:t>Exercise</w:t>
            </w:r>
            <w:r w:rsidR="00856AAA">
              <w:t xml:space="preserve"> and not as an agent for any undisclosed person and the Qualifying Bidder and each of their other </w:t>
            </w:r>
            <w:r w:rsidR="009646DB">
              <w:t>Bidder Group</w:t>
            </w:r>
            <w:r w:rsidR="00856AAA">
              <w:t xml:space="preserve"> member</w:t>
            </w:r>
            <w:r w:rsidR="0060317F">
              <w:t>s</w:t>
            </w:r>
            <w:r w:rsidR="00856AAA">
              <w:t xml:space="preserve"> (if applicable) have expressly authorised me to act on their behalf in making this QTT Submission</w:t>
            </w:r>
            <w:r w:rsidR="00CA08E7">
              <w:t>.</w:t>
            </w:r>
          </w:p>
        </w:tc>
        <w:tc>
          <w:tcPr>
            <w:tcW w:w="1099" w:type="dxa"/>
            <w:shd w:val="clear" w:color="auto" w:fill="F2F2F2" w:themeFill="background1" w:themeFillShade="F2"/>
          </w:tcPr>
          <w:p w:rsidR="00856AAA" w:rsidRDefault="00856AAA" w:rsidP="00AF47E4">
            <w:pPr>
              <w:spacing w:before="120" w:after="120"/>
            </w:pPr>
            <w:r w:rsidRPr="00856AAA">
              <w:rPr>
                <w:sz w:val="14"/>
                <w:szCs w:val="14"/>
              </w:rPr>
              <w:t>Initial below</w:t>
            </w:r>
          </w:p>
        </w:tc>
      </w:tr>
      <w:tr w:rsidR="00856AAA" w:rsidTr="00AA66BC">
        <w:trPr>
          <w:trHeight w:val="607"/>
        </w:trPr>
        <w:tc>
          <w:tcPr>
            <w:tcW w:w="7763" w:type="dxa"/>
            <w:vMerge/>
            <w:shd w:val="clear" w:color="auto" w:fill="F2F2F2" w:themeFill="background1" w:themeFillShade="F2"/>
          </w:tcPr>
          <w:p w:rsidR="00856AAA" w:rsidRDefault="00856AAA" w:rsidP="001570E0">
            <w:pPr>
              <w:pStyle w:val="ListParagraph"/>
              <w:numPr>
                <w:ilvl w:val="0"/>
                <w:numId w:val="11"/>
              </w:numPr>
              <w:spacing w:before="120" w:after="120"/>
              <w:contextualSpacing w:val="0"/>
            </w:pPr>
          </w:p>
        </w:tc>
        <w:tc>
          <w:tcPr>
            <w:tcW w:w="1099" w:type="dxa"/>
            <w:tcBorders>
              <w:bottom w:val="single" w:sz="4" w:space="0" w:color="000000" w:themeColor="text1"/>
            </w:tcBorders>
            <w:shd w:val="clear" w:color="auto" w:fill="auto"/>
          </w:tcPr>
          <w:p w:rsidR="00856AAA" w:rsidRDefault="00856AAA" w:rsidP="00AF47E4">
            <w:pPr>
              <w:pStyle w:val="ListParagraph"/>
              <w:spacing w:before="120" w:after="120"/>
              <w:contextualSpacing w:val="0"/>
            </w:pPr>
          </w:p>
        </w:tc>
      </w:tr>
      <w:tr w:rsidR="00856AAA" w:rsidTr="00C8639B">
        <w:trPr>
          <w:trHeight w:val="280"/>
        </w:trPr>
        <w:tc>
          <w:tcPr>
            <w:tcW w:w="7763" w:type="dxa"/>
            <w:vMerge w:val="restart"/>
            <w:shd w:val="clear" w:color="auto" w:fill="F2F2F2" w:themeFill="background1" w:themeFillShade="F2"/>
          </w:tcPr>
          <w:p w:rsidR="00856AAA" w:rsidRDefault="009552AD" w:rsidP="00AF47E4">
            <w:pPr>
              <w:spacing w:before="120" w:after="120"/>
            </w:pPr>
            <w:r w:rsidRPr="009552AD">
              <w:rPr>
                <w:b/>
              </w:rPr>
              <w:t>[10F]</w:t>
            </w:r>
            <w:r>
              <w:t xml:space="preserve"> </w:t>
            </w:r>
            <w:r w:rsidR="00856AAA">
              <w:t xml:space="preserve">The Qualifying Bidder and each of the other </w:t>
            </w:r>
            <w:r w:rsidR="00DE7C37">
              <w:t>Bidder Group</w:t>
            </w:r>
            <w:r w:rsidR="00856AAA">
              <w:t xml:space="preserve"> members (if applicable) hereby consent to the disclosure by Ofgem to Ofgem’s Related Parties for the purposes of the </w:t>
            </w:r>
            <w:r w:rsidR="009646DB">
              <w:t xml:space="preserve">second transitional </w:t>
            </w:r>
            <w:r w:rsidR="00856AAA">
              <w:t xml:space="preserve">Tender Round of any information given to Ofgem either before or during the </w:t>
            </w:r>
            <w:r w:rsidR="009646DB">
              <w:t>second transitional Tender Round</w:t>
            </w:r>
            <w:r w:rsidR="00856AAA">
              <w:t xml:space="preserve"> by such Qualifying Bidder or </w:t>
            </w:r>
            <w:r w:rsidR="009646DB">
              <w:t>Bidder Group</w:t>
            </w:r>
            <w:r w:rsidR="00856AAA">
              <w:t xml:space="preserve"> member.</w:t>
            </w:r>
          </w:p>
        </w:tc>
        <w:tc>
          <w:tcPr>
            <w:tcW w:w="1099" w:type="dxa"/>
            <w:shd w:val="clear" w:color="auto" w:fill="F2F2F2" w:themeFill="background1" w:themeFillShade="F2"/>
          </w:tcPr>
          <w:p w:rsidR="00856AAA" w:rsidRDefault="00856AAA" w:rsidP="00AF47E4">
            <w:pPr>
              <w:spacing w:before="120" w:after="120"/>
            </w:pPr>
            <w:r w:rsidRPr="00E7612D">
              <w:rPr>
                <w:sz w:val="14"/>
                <w:szCs w:val="14"/>
              </w:rPr>
              <w:t>Initial below</w:t>
            </w:r>
          </w:p>
        </w:tc>
      </w:tr>
      <w:tr w:rsidR="00856AAA" w:rsidTr="000F4A63">
        <w:trPr>
          <w:trHeight w:val="607"/>
        </w:trPr>
        <w:tc>
          <w:tcPr>
            <w:tcW w:w="7763" w:type="dxa"/>
            <w:vMerge/>
            <w:shd w:val="clear" w:color="auto" w:fill="F2F2F2" w:themeFill="background1" w:themeFillShade="F2"/>
          </w:tcPr>
          <w:p w:rsidR="00856AAA" w:rsidRDefault="00856AAA" w:rsidP="001570E0">
            <w:pPr>
              <w:pStyle w:val="ListParagraph"/>
              <w:numPr>
                <w:ilvl w:val="0"/>
                <w:numId w:val="11"/>
              </w:numPr>
              <w:spacing w:before="120" w:after="120"/>
              <w:contextualSpacing w:val="0"/>
            </w:pPr>
          </w:p>
        </w:tc>
        <w:tc>
          <w:tcPr>
            <w:tcW w:w="1099" w:type="dxa"/>
            <w:tcBorders>
              <w:bottom w:val="single" w:sz="4" w:space="0" w:color="000000" w:themeColor="text1"/>
            </w:tcBorders>
            <w:shd w:val="clear" w:color="auto" w:fill="auto"/>
          </w:tcPr>
          <w:p w:rsidR="00856AAA" w:rsidRDefault="00856AAA" w:rsidP="00AF47E4">
            <w:pPr>
              <w:pStyle w:val="ListParagraph"/>
              <w:spacing w:before="120" w:after="120"/>
              <w:contextualSpacing w:val="0"/>
            </w:pPr>
          </w:p>
        </w:tc>
      </w:tr>
      <w:tr w:rsidR="000F4A63" w:rsidTr="000F4A63">
        <w:trPr>
          <w:trHeight w:val="416"/>
        </w:trPr>
        <w:tc>
          <w:tcPr>
            <w:tcW w:w="7763" w:type="dxa"/>
            <w:vMerge w:val="restart"/>
            <w:shd w:val="clear" w:color="auto" w:fill="F2F2F2" w:themeFill="background1" w:themeFillShade="F2"/>
          </w:tcPr>
          <w:p w:rsidR="000F4A63" w:rsidRDefault="000F4A63" w:rsidP="00AF47E4">
            <w:pPr>
              <w:spacing w:before="120" w:after="120"/>
            </w:pPr>
            <w:r w:rsidRPr="00245120">
              <w:rPr>
                <w:b/>
              </w:rPr>
              <w:lastRenderedPageBreak/>
              <w:t>[10G]</w:t>
            </w:r>
            <w:r w:rsidRPr="00245120">
              <w:t xml:space="preserve"> </w:t>
            </w:r>
            <w:r w:rsidR="00DF67F5" w:rsidRPr="00245120">
              <w:t>The Qualifying Bidder and each of the other Bidder Group members (if applicable) hereby confirm that they have considered the implications of the Third Package and understands that, if appointed as Preferred Bidder or Reserve Bidder and if the unbundling provisions of the Third Package, or where appropriate, the relevant provisions of the relevant implementing legislation, apply to the Qualifying Project(s) they wish to be invited to tender for, they will be required to comply with the provisions of the Third Package, or where appropriate, the relevant provisions of the relevant implementing legislation</w:t>
            </w:r>
            <w:r w:rsidRPr="00245120">
              <w:t>.</w:t>
            </w:r>
          </w:p>
        </w:tc>
        <w:tc>
          <w:tcPr>
            <w:tcW w:w="1099" w:type="dxa"/>
            <w:tcBorders>
              <w:bottom w:val="single" w:sz="4" w:space="0" w:color="000000" w:themeColor="text1"/>
            </w:tcBorders>
            <w:shd w:val="clear" w:color="auto" w:fill="F2F2F2" w:themeFill="background1" w:themeFillShade="F2"/>
          </w:tcPr>
          <w:p w:rsidR="000F4A63" w:rsidRDefault="000F4A63" w:rsidP="00513523">
            <w:pPr>
              <w:spacing w:before="120" w:after="120"/>
            </w:pPr>
            <w:r w:rsidRPr="00E7612D">
              <w:rPr>
                <w:sz w:val="14"/>
                <w:szCs w:val="14"/>
              </w:rPr>
              <w:t>Initial below</w:t>
            </w:r>
          </w:p>
        </w:tc>
      </w:tr>
      <w:tr w:rsidR="000F4A63" w:rsidTr="00C8639B">
        <w:trPr>
          <w:trHeight w:val="1758"/>
        </w:trPr>
        <w:tc>
          <w:tcPr>
            <w:tcW w:w="7763" w:type="dxa"/>
            <w:vMerge/>
            <w:tcBorders>
              <w:bottom w:val="single" w:sz="4" w:space="0" w:color="000000" w:themeColor="text1"/>
            </w:tcBorders>
            <w:shd w:val="clear" w:color="auto" w:fill="F2F2F2" w:themeFill="background1" w:themeFillShade="F2"/>
          </w:tcPr>
          <w:p w:rsidR="000F4A63" w:rsidRPr="009552AD" w:rsidRDefault="000F4A63" w:rsidP="00AF47E4">
            <w:pPr>
              <w:spacing w:before="120" w:after="120"/>
              <w:rPr>
                <w:b/>
                <w:highlight w:val="yellow"/>
              </w:rPr>
            </w:pPr>
          </w:p>
        </w:tc>
        <w:tc>
          <w:tcPr>
            <w:tcW w:w="1099" w:type="dxa"/>
            <w:tcBorders>
              <w:bottom w:val="single" w:sz="4" w:space="0" w:color="000000" w:themeColor="text1"/>
            </w:tcBorders>
            <w:shd w:val="clear" w:color="auto" w:fill="auto"/>
          </w:tcPr>
          <w:p w:rsidR="000F4A63" w:rsidRPr="00E7612D" w:rsidRDefault="000F4A63" w:rsidP="00513523">
            <w:pPr>
              <w:spacing w:before="120" w:after="120"/>
              <w:rPr>
                <w:sz w:val="14"/>
                <w:szCs w:val="14"/>
              </w:rPr>
            </w:pPr>
          </w:p>
        </w:tc>
      </w:tr>
      <w:tr w:rsidR="000F4A63" w:rsidTr="00AA66BC">
        <w:trPr>
          <w:trHeight w:val="169"/>
        </w:trPr>
        <w:tc>
          <w:tcPr>
            <w:tcW w:w="7763" w:type="dxa"/>
            <w:vMerge w:val="restart"/>
            <w:shd w:val="clear" w:color="auto" w:fill="F2F2F2" w:themeFill="background1" w:themeFillShade="F2"/>
          </w:tcPr>
          <w:p w:rsidR="000F4A63" w:rsidRDefault="000F4A63" w:rsidP="00AF47E4">
            <w:pPr>
              <w:spacing w:before="120" w:after="120"/>
            </w:pPr>
            <w:r w:rsidRPr="009552AD">
              <w:rPr>
                <w:b/>
              </w:rPr>
              <w:t>[10H]</w:t>
            </w:r>
            <w:r>
              <w:t xml:space="preserve"> In compiling this QTT Submission, neither I personally nor the Qualifying Bidder or Bidder Group has obtained an unfair commercial advantage including, in particular such advantage from a preferential or discriminatory arrangement with associated parent companies or affiliates, any user of the national electricity transmission system or transmission licence</w:t>
            </w:r>
            <w:r w:rsidR="003A3004">
              <w:t>e</w:t>
            </w:r>
            <w:r>
              <w:t>s.</w:t>
            </w:r>
          </w:p>
        </w:tc>
        <w:tc>
          <w:tcPr>
            <w:tcW w:w="1099" w:type="dxa"/>
            <w:shd w:val="clear" w:color="auto" w:fill="F2F2F2" w:themeFill="background1" w:themeFillShade="F2"/>
          </w:tcPr>
          <w:p w:rsidR="000F4A63" w:rsidRDefault="000F4A63" w:rsidP="00AF47E4">
            <w:pPr>
              <w:spacing w:before="120" w:after="120"/>
            </w:pPr>
            <w:r w:rsidRPr="00E7612D">
              <w:rPr>
                <w:sz w:val="14"/>
                <w:szCs w:val="14"/>
              </w:rPr>
              <w:t>Initial below</w:t>
            </w:r>
          </w:p>
        </w:tc>
      </w:tr>
      <w:tr w:rsidR="000F4A63" w:rsidTr="00C8639B">
        <w:trPr>
          <w:trHeight w:val="1343"/>
        </w:trPr>
        <w:tc>
          <w:tcPr>
            <w:tcW w:w="7763" w:type="dxa"/>
            <w:vMerge/>
            <w:tcBorders>
              <w:bottom w:val="single" w:sz="4" w:space="0" w:color="000000" w:themeColor="text1"/>
            </w:tcBorders>
            <w:shd w:val="clear" w:color="auto" w:fill="F2F2F2" w:themeFill="background1" w:themeFillShade="F2"/>
          </w:tcPr>
          <w:p w:rsidR="000F4A63" w:rsidRDefault="000F4A63" w:rsidP="001570E0">
            <w:pPr>
              <w:pStyle w:val="ListParagraph"/>
              <w:numPr>
                <w:ilvl w:val="0"/>
                <w:numId w:val="11"/>
              </w:numPr>
              <w:spacing w:before="120" w:after="120"/>
              <w:contextualSpacing w:val="0"/>
            </w:pPr>
          </w:p>
        </w:tc>
        <w:tc>
          <w:tcPr>
            <w:tcW w:w="1099" w:type="dxa"/>
            <w:tcBorders>
              <w:bottom w:val="single" w:sz="4" w:space="0" w:color="000000" w:themeColor="text1"/>
            </w:tcBorders>
            <w:shd w:val="clear" w:color="auto" w:fill="auto"/>
          </w:tcPr>
          <w:p w:rsidR="000F4A63" w:rsidRDefault="000F4A63" w:rsidP="00AF47E4">
            <w:pPr>
              <w:pStyle w:val="ListParagraph"/>
              <w:spacing w:before="120" w:after="120"/>
              <w:contextualSpacing w:val="0"/>
            </w:pPr>
          </w:p>
        </w:tc>
      </w:tr>
    </w:tbl>
    <w:tbl>
      <w:tblPr>
        <w:tblStyle w:val="TableGrid"/>
        <w:tblpPr w:leftFromText="180" w:rightFromText="180" w:vertAnchor="text" w:horzAnchor="margin" w:tblpY="7"/>
        <w:tblW w:w="0" w:type="auto"/>
        <w:tblLook w:val="04A0"/>
      </w:tblPr>
      <w:tblGrid>
        <w:gridCol w:w="1384"/>
        <w:gridCol w:w="6379"/>
        <w:gridCol w:w="1099"/>
      </w:tblGrid>
      <w:tr w:rsidR="00C8639B" w:rsidTr="00C8639B">
        <w:tc>
          <w:tcPr>
            <w:tcW w:w="7763" w:type="dxa"/>
            <w:gridSpan w:val="2"/>
            <w:vMerge w:val="restart"/>
            <w:shd w:val="clear" w:color="auto" w:fill="F2F2F2" w:themeFill="background1" w:themeFillShade="F2"/>
          </w:tcPr>
          <w:p w:rsidR="00C8639B" w:rsidRPr="00C8639B" w:rsidRDefault="00C8639B" w:rsidP="00056B28">
            <w:pPr>
              <w:spacing w:before="360" w:after="360"/>
              <w:rPr>
                <w:b/>
              </w:rPr>
            </w:pPr>
            <w:r w:rsidRPr="00C8639B">
              <w:rPr>
                <w:b/>
              </w:rPr>
              <w:t>[10I]</w:t>
            </w:r>
            <w:r>
              <w:t xml:space="preserve"> T</w:t>
            </w:r>
            <w:r w:rsidRPr="00C8639B">
              <w:t xml:space="preserve">he </w:t>
            </w:r>
            <w:r>
              <w:t xml:space="preserve">Qualifying </w:t>
            </w:r>
            <w:r w:rsidRPr="00C8639B">
              <w:t>Bidder understands that knowingly or recklessly making a false, incomplete, or misleadin</w:t>
            </w:r>
            <w:r>
              <w:t xml:space="preserve">g statement in support of this </w:t>
            </w:r>
            <w:r w:rsidRPr="00C8639B">
              <w:t>Q</w:t>
            </w:r>
            <w:r>
              <w:t>TT</w:t>
            </w:r>
            <w:r w:rsidRPr="00C8639B">
              <w:t xml:space="preserve"> Submission may lead to the grant of the licence being refused or revoked if the </w:t>
            </w:r>
            <w:r>
              <w:t xml:space="preserve">Qualifying </w:t>
            </w:r>
            <w:r w:rsidRPr="00C8639B">
              <w:t>Bidder reaches these relevant stages in the process, and may result in criminal proceedings bei</w:t>
            </w:r>
            <w:r>
              <w:t>ng instituted under section 39 o</w:t>
            </w:r>
            <w:r w:rsidRPr="00C8639B">
              <w:t>f the Electricity Act 1989 (as amended).</w:t>
            </w:r>
          </w:p>
        </w:tc>
        <w:tc>
          <w:tcPr>
            <w:tcW w:w="1099" w:type="dxa"/>
            <w:tcBorders>
              <w:bottom w:val="single" w:sz="4" w:space="0" w:color="000000" w:themeColor="text1"/>
            </w:tcBorders>
            <w:shd w:val="clear" w:color="auto" w:fill="F2F2F2" w:themeFill="background1" w:themeFillShade="F2"/>
          </w:tcPr>
          <w:p w:rsidR="00C8639B" w:rsidRPr="00C8639B" w:rsidRDefault="00C8639B" w:rsidP="00056B28">
            <w:pPr>
              <w:spacing w:before="360" w:after="360"/>
              <w:rPr>
                <w:b/>
              </w:rPr>
            </w:pPr>
            <w:r w:rsidRPr="00E7612D">
              <w:rPr>
                <w:sz w:val="14"/>
                <w:szCs w:val="14"/>
              </w:rPr>
              <w:t>Initial below</w:t>
            </w:r>
          </w:p>
        </w:tc>
      </w:tr>
      <w:tr w:rsidR="00C8639B" w:rsidTr="00C8639B">
        <w:trPr>
          <w:trHeight w:val="803"/>
        </w:trPr>
        <w:tc>
          <w:tcPr>
            <w:tcW w:w="7763" w:type="dxa"/>
            <w:gridSpan w:val="2"/>
            <w:vMerge/>
            <w:tcBorders>
              <w:bottom w:val="single" w:sz="4" w:space="0" w:color="000000" w:themeColor="text1"/>
            </w:tcBorders>
            <w:shd w:val="clear" w:color="auto" w:fill="F2F2F2" w:themeFill="background1" w:themeFillShade="F2"/>
          </w:tcPr>
          <w:p w:rsidR="00C8639B" w:rsidRPr="00C8639B" w:rsidRDefault="00C8639B" w:rsidP="00056B28">
            <w:pPr>
              <w:spacing w:before="360" w:after="360"/>
              <w:rPr>
                <w:b/>
              </w:rPr>
            </w:pPr>
          </w:p>
        </w:tc>
        <w:tc>
          <w:tcPr>
            <w:tcW w:w="1099" w:type="dxa"/>
            <w:tcBorders>
              <w:bottom w:val="single" w:sz="4" w:space="0" w:color="000000" w:themeColor="text1"/>
            </w:tcBorders>
            <w:shd w:val="clear" w:color="auto" w:fill="auto"/>
          </w:tcPr>
          <w:p w:rsidR="00C8639B" w:rsidRPr="00C8639B" w:rsidRDefault="00C8639B" w:rsidP="00056B28">
            <w:pPr>
              <w:spacing w:before="360" w:after="360"/>
              <w:rPr>
                <w:b/>
              </w:rPr>
            </w:pPr>
          </w:p>
        </w:tc>
      </w:tr>
      <w:tr w:rsidR="00F85F51" w:rsidTr="00C8639B">
        <w:tc>
          <w:tcPr>
            <w:tcW w:w="8862" w:type="dxa"/>
            <w:gridSpan w:val="3"/>
            <w:tcBorders>
              <w:bottom w:val="double" w:sz="4" w:space="0" w:color="auto"/>
            </w:tcBorders>
            <w:shd w:val="clear" w:color="auto" w:fill="F2F2F2" w:themeFill="background1" w:themeFillShade="F2"/>
          </w:tcPr>
          <w:p w:rsidR="00F85F51" w:rsidRDefault="00F85F51" w:rsidP="00056B28">
            <w:pPr>
              <w:spacing w:before="360" w:after="360"/>
            </w:pPr>
            <w:r>
              <w:t xml:space="preserve">In providing this statement, I have made all due enquiries on behalf of the Qualifying Bidder </w:t>
            </w:r>
            <w:r w:rsidR="005B2CBF">
              <w:t>or Bidder</w:t>
            </w:r>
            <w:r>
              <w:t xml:space="preserve"> </w:t>
            </w:r>
            <w:r w:rsidR="009646DB">
              <w:t>Group</w:t>
            </w:r>
            <w:r w:rsidR="00432A70">
              <w:t>.</w:t>
            </w:r>
            <w:r w:rsidR="00A205AE">
              <w:t>”</w:t>
            </w:r>
          </w:p>
        </w:tc>
      </w:tr>
      <w:tr w:rsidR="00F85F51" w:rsidTr="00C8639B">
        <w:tc>
          <w:tcPr>
            <w:tcW w:w="1384" w:type="dxa"/>
            <w:tcBorders>
              <w:top w:val="double" w:sz="4" w:space="0" w:color="auto"/>
            </w:tcBorders>
            <w:shd w:val="clear" w:color="auto" w:fill="F2F2F2" w:themeFill="background1" w:themeFillShade="F2"/>
          </w:tcPr>
          <w:p w:rsidR="00F85F51" w:rsidRDefault="00F85F51" w:rsidP="00056B28">
            <w:pPr>
              <w:spacing w:before="120" w:after="120"/>
            </w:pPr>
            <w:r>
              <w:t>Signed</w:t>
            </w:r>
          </w:p>
        </w:tc>
        <w:tc>
          <w:tcPr>
            <w:tcW w:w="7478" w:type="dxa"/>
            <w:gridSpan w:val="2"/>
            <w:tcBorders>
              <w:top w:val="double" w:sz="4" w:space="0" w:color="auto"/>
            </w:tcBorders>
          </w:tcPr>
          <w:p w:rsidR="00F85F51" w:rsidRDefault="00F85F51" w:rsidP="00F85F51">
            <w:pPr>
              <w:pStyle w:val="ListParagraph"/>
            </w:pPr>
          </w:p>
        </w:tc>
      </w:tr>
      <w:tr w:rsidR="00F85F51" w:rsidTr="00A80C61">
        <w:tc>
          <w:tcPr>
            <w:tcW w:w="1384" w:type="dxa"/>
            <w:shd w:val="clear" w:color="auto" w:fill="F2F2F2" w:themeFill="background1" w:themeFillShade="F2"/>
          </w:tcPr>
          <w:p w:rsidR="00F85F51" w:rsidRDefault="00F85F51" w:rsidP="00056B28">
            <w:pPr>
              <w:spacing w:before="120" w:after="120"/>
            </w:pPr>
            <w:r>
              <w:t>Name</w:t>
            </w:r>
          </w:p>
        </w:tc>
        <w:tc>
          <w:tcPr>
            <w:tcW w:w="7478" w:type="dxa"/>
            <w:gridSpan w:val="2"/>
          </w:tcPr>
          <w:p w:rsidR="00F85F51" w:rsidRDefault="00F85F51" w:rsidP="00F85F51">
            <w:pPr>
              <w:pStyle w:val="ListParagraph"/>
            </w:pPr>
          </w:p>
        </w:tc>
      </w:tr>
      <w:tr w:rsidR="00F85F51" w:rsidTr="00A80C61">
        <w:tc>
          <w:tcPr>
            <w:tcW w:w="1384" w:type="dxa"/>
            <w:shd w:val="clear" w:color="auto" w:fill="F2F2F2" w:themeFill="background1" w:themeFillShade="F2"/>
          </w:tcPr>
          <w:p w:rsidR="00F85F51" w:rsidRDefault="00F85F51" w:rsidP="00056B28">
            <w:pPr>
              <w:spacing w:before="120" w:after="120"/>
            </w:pPr>
            <w:r>
              <w:t>Position</w:t>
            </w:r>
          </w:p>
        </w:tc>
        <w:tc>
          <w:tcPr>
            <w:tcW w:w="7478" w:type="dxa"/>
            <w:gridSpan w:val="2"/>
          </w:tcPr>
          <w:p w:rsidR="00F85F51" w:rsidRDefault="00F85F51" w:rsidP="00F85F51">
            <w:pPr>
              <w:pStyle w:val="ListParagraph"/>
            </w:pPr>
          </w:p>
        </w:tc>
      </w:tr>
      <w:tr w:rsidR="00F85F51" w:rsidTr="00A80C61">
        <w:tc>
          <w:tcPr>
            <w:tcW w:w="1384" w:type="dxa"/>
            <w:shd w:val="clear" w:color="auto" w:fill="F2F2F2" w:themeFill="background1" w:themeFillShade="F2"/>
          </w:tcPr>
          <w:p w:rsidR="00F85F51" w:rsidRDefault="00F85F51" w:rsidP="00056B28">
            <w:pPr>
              <w:spacing w:before="120" w:after="120"/>
            </w:pPr>
            <w:r>
              <w:t>Dated</w:t>
            </w:r>
          </w:p>
        </w:tc>
        <w:tc>
          <w:tcPr>
            <w:tcW w:w="7478" w:type="dxa"/>
            <w:gridSpan w:val="2"/>
          </w:tcPr>
          <w:p w:rsidR="00F85F51" w:rsidRDefault="00F85F51" w:rsidP="00F85F51">
            <w:pPr>
              <w:pStyle w:val="ListParagraph"/>
            </w:pPr>
          </w:p>
        </w:tc>
      </w:tr>
    </w:tbl>
    <w:p w:rsidR="0060317F" w:rsidRDefault="00F85F51" w:rsidP="00A80C61">
      <w:pPr>
        <w:rPr>
          <w:i/>
          <w:sz w:val="16"/>
          <w:szCs w:val="16"/>
        </w:rPr>
      </w:pPr>
      <w:r w:rsidRPr="00A80C61">
        <w:rPr>
          <w:b/>
          <w:sz w:val="16"/>
          <w:szCs w:val="16"/>
        </w:rPr>
        <w:t xml:space="preserve"> </w:t>
      </w:r>
      <w:r w:rsidR="00A80C61" w:rsidRPr="00A80C61">
        <w:rPr>
          <w:i/>
          <w:sz w:val="16"/>
          <w:szCs w:val="16"/>
        </w:rPr>
        <w:t xml:space="preserve"> </w:t>
      </w:r>
    </w:p>
    <w:p w:rsidR="00A80C61" w:rsidRPr="00A80C61" w:rsidRDefault="00A80C61" w:rsidP="00A80C61">
      <w:pPr>
        <w:rPr>
          <w:i/>
          <w:sz w:val="16"/>
          <w:szCs w:val="16"/>
        </w:rPr>
      </w:pPr>
      <w:r w:rsidRPr="00A80C61">
        <w:rPr>
          <w:i/>
          <w:sz w:val="16"/>
          <w:szCs w:val="16"/>
        </w:rPr>
        <w:t>*</w:t>
      </w:r>
      <w:r w:rsidRPr="00A80C61">
        <w:rPr>
          <w:i/>
          <w:sz w:val="16"/>
          <w:szCs w:val="16"/>
        </w:rPr>
        <w:tab/>
        <w:t xml:space="preserve">insert name of </w:t>
      </w:r>
      <w:r w:rsidR="00C307EC">
        <w:rPr>
          <w:i/>
          <w:sz w:val="16"/>
          <w:szCs w:val="16"/>
        </w:rPr>
        <w:t xml:space="preserve">Qualifying </w:t>
      </w:r>
      <w:r w:rsidRPr="00A80C61">
        <w:rPr>
          <w:i/>
          <w:sz w:val="16"/>
          <w:szCs w:val="16"/>
        </w:rPr>
        <w:t>Bidder (if a Bidder Group, the lead member of the Bidder Group)</w:t>
      </w:r>
    </w:p>
    <w:p w:rsidR="00A80C61" w:rsidRPr="00A80C61" w:rsidRDefault="00A80C61" w:rsidP="00A80C61">
      <w:pPr>
        <w:rPr>
          <w:i/>
          <w:sz w:val="16"/>
          <w:szCs w:val="16"/>
        </w:rPr>
      </w:pPr>
      <w:r w:rsidRPr="00A80C61">
        <w:rPr>
          <w:i/>
          <w:sz w:val="16"/>
          <w:szCs w:val="16"/>
        </w:rPr>
        <w:t>**</w:t>
      </w:r>
      <w:r w:rsidRPr="00A80C61">
        <w:rPr>
          <w:i/>
          <w:sz w:val="16"/>
          <w:szCs w:val="16"/>
        </w:rPr>
        <w:tab/>
        <w:t xml:space="preserve">insert name of </w:t>
      </w:r>
      <w:r w:rsidR="00C307EC">
        <w:rPr>
          <w:i/>
          <w:sz w:val="16"/>
          <w:szCs w:val="16"/>
        </w:rPr>
        <w:t>Qualifying Bidder and each of the B</w:t>
      </w:r>
      <w:r w:rsidRPr="00A80C61">
        <w:rPr>
          <w:i/>
          <w:sz w:val="16"/>
          <w:szCs w:val="16"/>
        </w:rPr>
        <w:t>idder Group members if applicable</w:t>
      </w:r>
    </w:p>
    <w:p w:rsidR="000D348D" w:rsidRPr="00A80C61" w:rsidRDefault="00A80C61" w:rsidP="00A80C61">
      <w:pPr>
        <w:rPr>
          <w:rFonts w:cs="Arial"/>
          <w:b/>
          <w:bCs/>
          <w:color w:val="333399"/>
          <w:sz w:val="16"/>
          <w:szCs w:val="16"/>
        </w:rPr>
      </w:pPr>
      <w:r w:rsidRPr="00A80C61">
        <w:rPr>
          <w:i/>
          <w:sz w:val="16"/>
          <w:szCs w:val="16"/>
        </w:rPr>
        <w:t>***</w:t>
      </w:r>
      <w:r w:rsidRPr="00A80C61">
        <w:rPr>
          <w:i/>
          <w:sz w:val="16"/>
          <w:szCs w:val="16"/>
        </w:rPr>
        <w:tab/>
        <w:t xml:space="preserve">insert the names of each of </w:t>
      </w:r>
      <w:r w:rsidR="00C307EC">
        <w:rPr>
          <w:i/>
          <w:sz w:val="16"/>
          <w:szCs w:val="16"/>
        </w:rPr>
        <w:t>the other Bidder Group members i</w:t>
      </w:r>
      <w:r w:rsidRPr="00A80C61">
        <w:rPr>
          <w:i/>
          <w:sz w:val="16"/>
          <w:szCs w:val="16"/>
        </w:rPr>
        <w:t>f applicable</w:t>
      </w:r>
      <w:r w:rsidRPr="00A80C61">
        <w:rPr>
          <w:rFonts w:cs="Arial"/>
          <w:b/>
          <w:bCs/>
          <w:color w:val="333399"/>
          <w:sz w:val="16"/>
          <w:szCs w:val="16"/>
        </w:rPr>
        <w:t xml:space="preserve"> </w:t>
      </w:r>
      <w:r w:rsidR="000D348D" w:rsidRPr="00A80C61">
        <w:rPr>
          <w:rFonts w:cs="Arial"/>
          <w:b/>
          <w:bCs/>
          <w:color w:val="333399"/>
          <w:sz w:val="16"/>
          <w:szCs w:val="16"/>
        </w:rPr>
        <w:br w:type="page"/>
      </w:r>
    </w:p>
    <w:p w:rsidR="00410657" w:rsidRPr="001C7FC5" w:rsidRDefault="003C4675" w:rsidP="001C7FC5">
      <w:pPr>
        <w:pStyle w:val="Heading1"/>
      </w:pPr>
      <w:bookmarkStart w:id="46" w:name="_Toc283819659"/>
      <w:r w:rsidRPr="001C7FC5">
        <w:lastRenderedPageBreak/>
        <w:t>Section 11</w:t>
      </w:r>
      <w:r w:rsidR="00410657" w:rsidRPr="001C7FC5">
        <w:t>: Confidentiality</w:t>
      </w:r>
      <w:bookmarkEnd w:id="46"/>
    </w:p>
    <w:tbl>
      <w:tblPr>
        <w:tblStyle w:val="TableGrid"/>
        <w:tblW w:w="8897" w:type="dxa"/>
        <w:tblLook w:val="04A0"/>
      </w:tblPr>
      <w:tblGrid>
        <w:gridCol w:w="8897"/>
      </w:tblGrid>
      <w:tr w:rsidR="003C4675" w:rsidTr="005C34AE">
        <w:tc>
          <w:tcPr>
            <w:tcW w:w="8897" w:type="dxa"/>
            <w:shd w:val="clear" w:color="auto" w:fill="F2F2F2" w:themeFill="background1" w:themeFillShade="F2"/>
          </w:tcPr>
          <w:p w:rsidR="003C4675" w:rsidRDefault="003C4675" w:rsidP="00AF47E4">
            <w:pPr>
              <w:pStyle w:val="Paragrapgh"/>
              <w:numPr>
                <w:ilvl w:val="0"/>
                <w:numId w:val="0"/>
              </w:numPr>
              <w:spacing w:before="120" w:after="120"/>
            </w:pPr>
            <w:r>
              <w:t>The Freedom of Information Act 2000 provides a general right of access to all information held by public authoritie</w:t>
            </w:r>
            <w:r w:rsidR="00C40F20">
              <w:t xml:space="preserve">s. </w:t>
            </w:r>
            <w:r>
              <w:t>Ofgem is subject to the Freedom of Information Act 2000 and the Environmental Information Regulations 2004.</w:t>
            </w:r>
          </w:p>
          <w:p w:rsidR="003C4675" w:rsidRDefault="003C4675" w:rsidP="00AF47E4">
            <w:pPr>
              <w:pStyle w:val="Paragrapgh"/>
              <w:numPr>
                <w:ilvl w:val="0"/>
                <w:numId w:val="0"/>
              </w:numPr>
              <w:spacing w:before="120" w:after="120"/>
            </w:pPr>
            <w:r>
              <w:t xml:space="preserve">The </w:t>
            </w:r>
            <w:r w:rsidR="00844B03">
              <w:t xml:space="preserve">Qualifying </w:t>
            </w:r>
            <w:r>
              <w:t>Bidder should identify which part(s) of its QTT Submission are provided in confidence and provide reasons why it considers the information is eligible for exemption under the Freedom of Information Act 2000 and the Environmental Information Regulations 2004 and should t</w:t>
            </w:r>
            <w:r w:rsidR="007C4DAD">
              <w:t xml:space="preserve">herefore be kept confidential. </w:t>
            </w:r>
            <w:r w:rsidR="00530584">
              <w:t>However</w:t>
            </w:r>
            <w:r>
              <w:t>, Ofgem is not bound by any such statement but will take them into account in considering whether an exemption applies.</w:t>
            </w:r>
          </w:p>
        </w:tc>
      </w:tr>
    </w:tbl>
    <w:p w:rsidR="00410657" w:rsidRPr="006E7C1E" w:rsidRDefault="00410657" w:rsidP="00410657">
      <w:pPr>
        <w:pStyle w:val="Paragrapgh"/>
        <w:numPr>
          <w:ilvl w:val="0"/>
          <w:numId w:val="0"/>
        </w:numPr>
        <w:spacing w:before="0" w:after="0"/>
        <w:contextualSpacing/>
        <w:rPr>
          <w:sz w:val="10"/>
          <w:szCs w:val="10"/>
        </w:rPr>
      </w:pPr>
    </w:p>
    <w:tbl>
      <w:tblPr>
        <w:tblStyle w:val="TableGrid"/>
        <w:tblW w:w="8897" w:type="dxa"/>
        <w:tblLook w:val="04A0"/>
      </w:tblPr>
      <w:tblGrid>
        <w:gridCol w:w="2802"/>
        <w:gridCol w:w="6095"/>
      </w:tblGrid>
      <w:tr w:rsidR="00410657" w:rsidTr="00410657">
        <w:tc>
          <w:tcPr>
            <w:tcW w:w="2802" w:type="dxa"/>
            <w:shd w:val="clear" w:color="auto" w:fill="F2F2F2" w:themeFill="background1" w:themeFillShade="F2"/>
          </w:tcPr>
          <w:p w:rsidR="00410657" w:rsidRDefault="008E26F9" w:rsidP="00AF47E4">
            <w:pPr>
              <w:pStyle w:val="Paragrapgh"/>
              <w:numPr>
                <w:ilvl w:val="0"/>
                <w:numId w:val="0"/>
              </w:numPr>
              <w:spacing w:before="120" w:after="120"/>
            </w:pPr>
            <w:r>
              <w:t>Section of QTT</w:t>
            </w:r>
            <w:r w:rsidR="00410657">
              <w:t xml:space="preserve"> Submission provided in confidence</w:t>
            </w:r>
          </w:p>
        </w:tc>
        <w:tc>
          <w:tcPr>
            <w:tcW w:w="6095" w:type="dxa"/>
            <w:shd w:val="clear" w:color="auto" w:fill="F2F2F2" w:themeFill="background1" w:themeFillShade="F2"/>
          </w:tcPr>
          <w:p w:rsidR="00410657" w:rsidRDefault="00410657" w:rsidP="00AF47E4">
            <w:pPr>
              <w:pStyle w:val="Paragrapgh"/>
              <w:numPr>
                <w:ilvl w:val="0"/>
                <w:numId w:val="0"/>
              </w:numPr>
              <w:spacing w:before="120" w:after="120"/>
            </w:pPr>
            <w:r>
              <w:t>Reason(s) for exemption under Freedom of Information Act 2000</w:t>
            </w:r>
          </w:p>
        </w:tc>
      </w:tr>
      <w:tr w:rsidR="00410657" w:rsidTr="00410657">
        <w:tc>
          <w:tcPr>
            <w:tcW w:w="2802" w:type="dxa"/>
          </w:tcPr>
          <w:p w:rsidR="00410657" w:rsidRDefault="00410657" w:rsidP="00AF47E4">
            <w:pPr>
              <w:pStyle w:val="Paragrapgh"/>
              <w:numPr>
                <w:ilvl w:val="0"/>
                <w:numId w:val="0"/>
              </w:numPr>
              <w:spacing w:before="120" w:after="120"/>
            </w:pPr>
          </w:p>
        </w:tc>
        <w:tc>
          <w:tcPr>
            <w:tcW w:w="6095" w:type="dxa"/>
          </w:tcPr>
          <w:p w:rsidR="00410657" w:rsidRDefault="00410657" w:rsidP="00AF47E4">
            <w:pPr>
              <w:pStyle w:val="Paragrapgh"/>
              <w:numPr>
                <w:ilvl w:val="0"/>
                <w:numId w:val="0"/>
              </w:numPr>
              <w:spacing w:before="120" w:after="120"/>
            </w:pPr>
          </w:p>
        </w:tc>
      </w:tr>
      <w:tr w:rsidR="00410657" w:rsidTr="00410657">
        <w:tc>
          <w:tcPr>
            <w:tcW w:w="2802" w:type="dxa"/>
          </w:tcPr>
          <w:p w:rsidR="00410657" w:rsidRDefault="00410657" w:rsidP="00AF47E4">
            <w:pPr>
              <w:pStyle w:val="Paragrapgh"/>
              <w:numPr>
                <w:ilvl w:val="0"/>
                <w:numId w:val="0"/>
              </w:numPr>
              <w:spacing w:before="120" w:after="120"/>
            </w:pPr>
          </w:p>
        </w:tc>
        <w:tc>
          <w:tcPr>
            <w:tcW w:w="6095" w:type="dxa"/>
          </w:tcPr>
          <w:p w:rsidR="00410657" w:rsidRDefault="00410657" w:rsidP="00AF47E4">
            <w:pPr>
              <w:pStyle w:val="Paragrapgh"/>
              <w:numPr>
                <w:ilvl w:val="0"/>
                <w:numId w:val="0"/>
              </w:numPr>
              <w:spacing w:before="120" w:after="120"/>
            </w:pPr>
          </w:p>
        </w:tc>
      </w:tr>
      <w:tr w:rsidR="00410657" w:rsidTr="00410657">
        <w:tc>
          <w:tcPr>
            <w:tcW w:w="2802" w:type="dxa"/>
          </w:tcPr>
          <w:p w:rsidR="00410657" w:rsidRDefault="00410657" w:rsidP="00AF47E4">
            <w:pPr>
              <w:pStyle w:val="Paragrapgh"/>
              <w:numPr>
                <w:ilvl w:val="0"/>
                <w:numId w:val="0"/>
              </w:numPr>
              <w:spacing w:before="120" w:after="120"/>
            </w:pPr>
          </w:p>
        </w:tc>
        <w:tc>
          <w:tcPr>
            <w:tcW w:w="6095" w:type="dxa"/>
          </w:tcPr>
          <w:p w:rsidR="00410657" w:rsidRDefault="00410657" w:rsidP="00AF47E4">
            <w:pPr>
              <w:pStyle w:val="Paragrapgh"/>
              <w:numPr>
                <w:ilvl w:val="0"/>
                <w:numId w:val="0"/>
              </w:numPr>
              <w:spacing w:before="120" w:after="120"/>
            </w:pPr>
          </w:p>
        </w:tc>
      </w:tr>
      <w:tr w:rsidR="00410657" w:rsidTr="00410657">
        <w:tc>
          <w:tcPr>
            <w:tcW w:w="2802" w:type="dxa"/>
          </w:tcPr>
          <w:p w:rsidR="00410657" w:rsidRDefault="00410657" w:rsidP="00AF47E4">
            <w:pPr>
              <w:pStyle w:val="Paragrapgh"/>
              <w:numPr>
                <w:ilvl w:val="0"/>
                <w:numId w:val="0"/>
              </w:numPr>
              <w:spacing w:before="120" w:after="120"/>
            </w:pPr>
          </w:p>
        </w:tc>
        <w:tc>
          <w:tcPr>
            <w:tcW w:w="6095" w:type="dxa"/>
          </w:tcPr>
          <w:p w:rsidR="00410657" w:rsidRDefault="00410657" w:rsidP="00AF47E4">
            <w:pPr>
              <w:pStyle w:val="Paragrapgh"/>
              <w:numPr>
                <w:ilvl w:val="0"/>
                <w:numId w:val="0"/>
              </w:numPr>
              <w:spacing w:before="120" w:after="120"/>
            </w:pPr>
          </w:p>
        </w:tc>
      </w:tr>
      <w:tr w:rsidR="00410657" w:rsidTr="00410657">
        <w:tc>
          <w:tcPr>
            <w:tcW w:w="2802" w:type="dxa"/>
          </w:tcPr>
          <w:p w:rsidR="00410657" w:rsidRDefault="00410657" w:rsidP="00AF47E4">
            <w:pPr>
              <w:pStyle w:val="Paragrapgh"/>
              <w:numPr>
                <w:ilvl w:val="0"/>
                <w:numId w:val="0"/>
              </w:numPr>
              <w:spacing w:before="120" w:after="120"/>
            </w:pPr>
          </w:p>
        </w:tc>
        <w:tc>
          <w:tcPr>
            <w:tcW w:w="6095" w:type="dxa"/>
          </w:tcPr>
          <w:p w:rsidR="00410657" w:rsidRDefault="00410657" w:rsidP="00AF47E4">
            <w:pPr>
              <w:pStyle w:val="Paragrapgh"/>
              <w:numPr>
                <w:ilvl w:val="0"/>
                <w:numId w:val="0"/>
              </w:numPr>
              <w:spacing w:before="120" w:after="120"/>
            </w:pPr>
          </w:p>
        </w:tc>
      </w:tr>
    </w:tbl>
    <w:p w:rsidR="00E6536D" w:rsidRDefault="00E6536D"/>
    <w:p w:rsidR="00E6536D" w:rsidRPr="00696743" w:rsidRDefault="00E6536D" w:rsidP="004857B8">
      <w:pPr>
        <w:pStyle w:val="ChapterHeading"/>
        <w:spacing w:after="360"/>
        <w:ind w:left="357" w:hanging="357"/>
      </w:pPr>
      <w:bookmarkStart w:id="47" w:name="_Toc283819660"/>
      <w:r w:rsidRPr="00696743">
        <w:lastRenderedPageBreak/>
        <w:t xml:space="preserve">Evaluation of </w:t>
      </w:r>
      <w:r w:rsidR="00442A0B" w:rsidRPr="00696743">
        <w:t>QTT</w:t>
      </w:r>
      <w:r w:rsidR="00A910F7" w:rsidRPr="00696743">
        <w:t xml:space="preserve"> </w:t>
      </w:r>
      <w:r w:rsidRPr="00696743">
        <w:t>Submissions</w:t>
      </w:r>
      <w:bookmarkEnd w:id="47"/>
    </w:p>
    <w:p w:rsidR="00E6536D" w:rsidRDefault="00A55854" w:rsidP="00F20168">
      <w:pPr>
        <w:pStyle w:val="ChapterSummary"/>
        <w:numPr>
          <w:ilvl w:val="0"/>
          <w:numId w:val="0"/>
        </w:numPr>
        <w:spacing w:before="360" w:after="360"/>
        <w:rPr>
          <w:rStyle w:val="Text-Bold"/>
        </w:rPr>
      </w:pPr>
      <w:r>
        <w:rPr>
          <w:rStyle w:val="Text-Bold"/>
        </w:rPr>
        <w:t>Section</w:t>
      </w:r>
      <w:r w:rsidR="00E6536D">
        <w:rPr>
          <w:rStyle w:val="Text-Bold"/>
        </w:rPr>
        <w:t xml:space="preserve"> Summary</w:t>
      </w:r>
    </w:p>
    <w:p w:rsidR="004857B8" w:rsidRDefault="00E6536D" w:rsidP="004857B8">
      <w:pPr>
        <w:pStyle w:val="ChapterSummary"/>
        <w:numPr>
          <w:ilvl w:val="0"/>
          <w:numId w:val="0"/>
        </w:numPr>
        <w:spacing w:before="360"/>
      </w:pPr>
      <w:r>
        <w:t xml:space="preserve">This section sets out how Ofgem will evaluate </w:t>
      </w:r>
      <w:r w:rsidR="007537BF">
        <w:t>QTT</w:t>
      </w:r>
      <w:r>
        <w:t xml:space="preserve"> Submissions made by </w:t>
      </w:r>
      <w:r w:rsidR="005C34AE">
        <w:t xml:space="preserve">Qualifying </w:t>
      </w:r>
      <w:r w:rsidR="00C40F20">
        <w:t xml:space="preserve">Bidders. </w:t>
      </w:r>
      <w:r>
        <w:t>This includes the evaluation criteria Ofgem will apply and the process it will follow to evaluate bids.</w:t>
      </w:r>
    </w:p>
    <w:p w:rsidR="004857B8" w:rsidRDefault="004857B8" w:rsidP="004857B8">
      <w:pPr>
        <w:pStyle w:val="ChapterSummary"/>
        <w:numPr>
          <w:ilvl w:val="0"/>
          <w:numId w:val="0"/>
        </w:numPr>
      </w:pPr>
    </w:p>
    <w:p w:rsidR="00E6536D" w:rsidRDefault="00E6536D" w:rsidP="00036FDB">
      <w:pPr>
        <w:pStyle w:val="Heading1"/>
        <w:spacing w:before="360"/>
      </w:pPr>
      <w:bookmarkStart w:id="48" w:name="_Toc283819661"/>
      <w:r>
        <w:t>Introduction</w:t>
      </w:r>
      <w:bookmarkEnd w:id="48"/>
    </w:p>
    <w:p w:rsidR="00C942FE" w:rsidRPr="00C942FE" w:rsidRDefault="00C942FE" w:rsidP="00F20168">
      <w:pPr>
        <w:pStyle w:val="Paragrapgh"/>
      </w:pPr>
      <w:r w:rsidRPr="0069521F">
        <w:t>Of</w:t>
      </w:r>
      <w:r>
        <w:t xml:space="preserve">gem will evaluate and score a </w:t>
      </w:r>
      <w:r w:rsidRPr="0069521F">
        <w:t xml:space="preserve">Qualifying </w:t>
      </w:r>
      <w:r>
        <w:t>Bidder's QTT Submission</w:t>
      </w:r>
      <w:r w:rsidRPr="0069521F">
        <w:t xml:space="preserve"> on a per Qualifying Project basis.</w:t>
      </w:r>
    </w:p>
    <w:p w:rsidR="00E6536D" w:rsidRDefault="00E6536D" w:rsidP="00F20168">
      <w:pPr>
        <w:pStyle w:val="Paragrapgh"/>
      </w:pPr>
      <w:r>
        <w:t>The conclusion of Ofgem's evaluation will</w:t>
      </w:r>
      <w:r w:rsidR="005C34AE">
        <w:t xml:space="preserve"> be the identification of a short</w:t>
      </w:r>
      <w:r>
        <w:t xml:space="preserve">list of Qualifying Bidders </w:t>
      </w:r>
      <w:r w:rsidR="008F114F">
        <w:t xml:space="preserve">in respect of each Qualifying Project </w:t>
      </w:r>
      <w:r>
        <w:t>who will be</w:t>
      </w:r>
      <w:r w:rsidR="005C34AE">
        <w:t xml:space="preserve"> invited to participate in the I</w:t>
      </w:r>
      <w:r>
        <w:t>TT Stage.</w:t>
      </w:r>
      <w:r w:rsidR="006F3DB8">
        <w:t xml:space="preserve">  </w:t>
      </w:r>
    </w:p>
    <w:p w:rsidR="00E6536D" w:rsidRDefault="00E6536D" w:rsidP="001C7FC5">
      <w:pPr>
        <w:pStyle w:val="Heading1"/>
      </w:pPr>
      <w:bookmarkStart w:id="49" w:name="_Toc283819662"/>
      <w:r>
        <w:t>Evaluation Process</w:t>
      </w:r>
      <w:bookmarkEnd w:id="49"/>
    </w:p>
    <w:p w:rsidR="00E6536D" w:rsidRDefault="00E6536D" w:rsidP="00DF6007">
      <w:pPr>
        <w:pStyle w:val="Paragrapgh"/>
        <w:spacing w:after="240"/>
      </w:pPr>
      <w:r>
        <w:t>Ofgem will conduct its evaluation over the following sequential stages:</w:t>
      </w:r>
    </w:p>
    <w:p w:rsidR="00E6536D" w:rsidRDefault="009D488E" w:rsidP="001570E0">
      <w:pPr>
        <w:pStyle w:val="Paragrapgh"/>
        <w:numPr>
          <w:ilvl w:val="0"/>
          <w:numId w:val="24"/>
        </w:numPr>
        <w:spacing w:before="120" w:after="120"/>
      </w:pPr>
      <w:r>
        <w:t>a</w:t>
      </w:r>
      <w:r w:rsidR="00E6536D">
        <w:t>n assessment of completeness;</w:t>
      </w:r>
    </w:p>
    <w:p w:rsidR="00E6536D" w:rsidRDefault="009D488E" w:rsidP="001570E0">
      <w:pPr>
        <w:pStyle w:val="Paragrapgh"/>
        <w:numPr>
          <w:ilvl w:val="0"/>
          <w:numId w:val="24"/>
        </w:numPr>
        <w:spacing w:before="120" w:after="120"/>
      </w:pPr>
      <w:r>
        <w:t>a</w:t>
      </w:r>
      <w:r w:rsidR="00E6536D">
        <w:t>n assessment of compliance; and</w:t>
      </w:r>
    </w:p>
    <w:p w:rsidR="00E6536D" w:rsidRDefault="008F114F" w:rsidP="001570E0">
      <w:pPr>
        <w:pStyle w:val="Paragrapgh"/>
        <w:numPr>
          <w:ilvl w:val="0"/>
          <w:numId w:val="24"/>
        </w:numPr>
        <w:spacing w:before="120" w:after="120"/>
      </w:pPr>
      <w:r>
        <w:t xml:space="preserve">an </w:t>
      </w:r>
      <w:r w:rsidR="009D488E">
        <w:t>e</w:t>
      </w:r>
      <w:r w:rsidR="00E6536D">
        <w:t xml:space="preserve">valuation of compliant </w:t>
      </w:r>
      <w:r w:rsidR="007537BF">
        <w:t>QTT</w:t>
      </w:r>
      <w:r w:rsidR="00A910F7">
        <w:t xml:space="preserve"> </w:t>
      </w:r>
      <w:r w:rsidR="00E6536D">
        <w:t>Submissions in accordance with the evaluation criteria.</w:t>
      </w:r>
    </w:p>
    <w:p w:rsidR="00E6536D" w:rsidRPr="00D1466E" w:rsidRDefault="006F3DB8" w:rsidP="00FE4CD8">
      <w:pPr>
        <w:pStyle w:val="Heading2"/>
        <w:rPr>
          <w:color w:val="auto"/>
          <w:sz w:val="22"/>
          <w:szCs w:val="22"/>
        </w:rPr>
      </w:pPr>
      <w:bookmarkStart w:id="50" w:name="_Toc283819663"/>
      <w:r w:rsidRPr="00D1466E">
        <w:rPr>
          <w:color w:val="auto"/>
          <w:sz w:val="22"/>
          <w:szCs w:val="22"/>
        </w:rPr>
        <w:t>Assessment of C</w:t>
      </w:r>
      <w:r w:rsidR="00E6536D" w:rsidRPr="00D1466E">
        <w:rPr>
          <w:color w:val="auto"/>
          <w:sz w:val="22"/>
          <w:szCs w:val="22"/>
        </w:rPr>
        <w:t>ompleteness</w:t>
      </w:r>
      <w:bookmarkEnd w:id="50"/>
    </w:p>
    <w:p w:rsidR="00E6536D" w:rsidRDefault="00E00E25" w:rsidP="00F20168">
      <w:pPr>
        <w:pStyle w:val="Paragrapgh"/>
        <w:rPr>
          <w:rFonts w:eastAsia="SimSun"/>
        </w:rPr>
      </w:pPr>
      <w:r>
        <w:t>F</w:t>
      </w:r>
      <w:r w:rsidR="00E6536D">
        <w:t xml:space="preserve">ollowing receipt of the </w:t>
      </w:r>
      <w:r w:rsidR="007537BF">
        <w:t>QTT</w:t>
      </w:r>
      <w:r w:rsidR="00E6536D">
        <w:t xml:space="preserve"> Submissions, Ofgem will undertake a completeness chec</w:t>
      </w:r>
      <w:r w:rsidR="00C40F20">
        <w:t xml:space="preserve">k of the information received. </w:t>
      </w:r>
      <w:r w:rsidR="00E6536D">
        <w:t xml:space="preserve">If this check identifies any omission(s) in the information required to be provided, Ofgem will notify the </w:t>
      </w:r>
      <w:r w:rsidR="00D12ADF">
        <w:t xml:space="preserve">Qualifying </w:t>
      </w:r>
      <w:r w:rsidR="00E6536D">
        <w:t>Bidder, who will be given a period of time (to be notified by Ofgem) in whi</w:t>
      </w:r>
      <w:r w:rsidR="00C40F20">
        <w:t xml:space="preserve">ch to rectify the omission(s). </w:t>
      </w:r>
      <w:r w:rsidR="00E6536D">
        <w:t>In this event, Ofgem will on</w:t>
      </w:r>
      <w:r w:rsidR="00D12ADF">
        <w:t>ly commence evaluation of the QTT</w:t>
      </w:r>
      <w:r w:rsidR="00E6536D">
        <w:t xml:space="preserve"> Submission following receipt of the requested information. </w:t>
      </w:r>
    </w:p>
    <w:p w:rsidR="00E6536D" w:rsidRDefault="00E6536D" w:rsidP="00F20168">
      <w:pPr>
        <w:pStyle w:val="Paragrapgh"/>
        <w:rPr>
          <w:rFonts w:eastAsia="SimSun"/>
        </w:rPr>
      </w:pPr>
      <w:r>
        <w:t xml:space="preserve">Ofgem reserves the right to </w:t>
      </w:r>
      <w:r w:rsidR="00172E6E">
        <w:t xml:space="preserve">decline to consider </w:t>
      </w:r>
      <w:r>
        <w:t xml:space="preserve">a </w:t>
      </w:r>
      <w:r w:rsidR="00D12ADF">
        <w:t xml:space="preserve">Qualifying Bidder's </w:t>
      </w:r>
      <w:r>
        <w:t>Q</w:t>
      </w:r>
      <w:r w:rsidR="00D12ADF">
        <w:t>TT</w:t>
      </w:r>
      <w:r>
        <w:t xml:space="preserve"> Submission if any omitted information requested is not provided within the required time.</w:t>
      </w:r>
    </w:p>
    <w:p w:rsidR="00E6536D" w:rsidRPr="00D1466E" w:rsidRDefault="00E6536D" w:rsidP="00D1466E">
      <w:pPr>
        <w:pStyle w:val="Heading2"/>
        <w:keepNext/>
        <w:rPr>
          <w:color w:val="auto"/>
          <w:sz w:val="22"/>
          <w:szCs w:val="22"/>
        </w:rPr>
      </w:pPr>
      <w:bookmarkStart w:id="51" w:name="_Toc283819664"/>
      <w:r w:rsidRPr="00D1466E">
        <w:rPr>
          <w:color w:val="auto"/>
          <w:sz w:val="22"/>
          <w:szCs w:val="22"/>
        </w:rPr>
        <w:lastRenderedPageBreak/>
        <w:t xml:space="preserve">Assessment of </w:t>
      </w:r>
      <w:r w:rsidR="006F3DB8" w:rsidRPr="00D1466E">
        <w:rPr>
          <w:color w:val="auto"/>
          <w:sz w:val="22"/>
          <w:szCs w:val="22"/>
        </w:rPr>
        <w:t>C</w:t>
      </w:r>
      <w:r w:rsidRPr="00D1466E">
        <w:rPr>
          <w:color w:val="auto"/>
          <w:sz w:val="22"/>
          <w:szCs w:val="22"/>
        </w:rPr>
        <w:t>ompliance</w:t>
      </w:r>
      <w:bookmarkEnd w:id="51"/>
    </w:p>
    <w:p w:rsidR="00E6536D" w:rsidRPr="00172E6E" w:rsidRDefault="00E6536D" w:rsidP="00D1466E">
      <w:pPr>
        <w:pStyle w:val="Paragrapgh"/>
        <w:keepNext/>
        <w:rPr>
          <w:rFonts w:eastAsia="SimSun"/>
        </w:rPr>
      </w:pPr>
      <w:r>
        <w:rPr>
          <w:rFonts w:eastAsia="SimSun"/>
        </w:rPr>
        <w:t>Following the completeness check, Ofgem will a</w:t>
      </w:r>
      <w:r w:rsidR="00D12ADF">
        <w:t>ssess whether QTT</w:t>
      </w:r>
      <w:r>
        <w:t xml:space="preserve"> Submissio</w:t>
      </w:r>
      <w:r w:rsidR="00C40F20">
        <w:t xml:space="preserve">ns received are compliant. </w:t>
      </w:r>
      <w:r w:rsidR="00D12ADF">
        <w:t>A QTT</w:t>
      </w:r>
      <w:r>
        <w:t xml:space="preserve"> Submission will be considered compliant if all the information requested under </w:t>
      </w:r>
      <w:r w:rsidRPr="00695AD5">
        <w:t xml:space="preserve">paragraph </w:t>
      </w:r>
      <w:r w:rsidR="00D12ADF" w:rsidRPr="00695AD5">
        <w:t>2</w:t>
      </w:r>
      <w:r w:rsidR="00B5032D" w:rsidRPr="00695AD5">
        <w:t>.7</w:t>
      </w:r>
      <w:r w:rsidRPr="00695AD5">
        <w:t xml:space="preserve"> is provided</w:t>
      </w:r>
      <w:r>
        <w:t>.</w:t>
      </w:r>
    </w:p>
    <w:p w:rsidR="00172E6E" w:rsidRDefault="00172E6E" w:rsidP="00F20168">
      <w:pPr>
        <w:pStyle w:val="Paragrapgh"/>
        <w:rPr>
          <w:rFonts w:eastAsia="SimSun"/>
        </w:rPr>
      </w:pPr>
      <w:r>
        <w:t xml:space="preserve">Ofgem reserves the right to </w:t>
      </w:r>
      <w:r w:rsidR="00C942FE">
        <w:t xml:space="preserve">decline to consider a </w:t>
      </w:r>
      <w:r w:rsidR="00C307EC">
        <w:t xml:space="preserve">Qualifying </w:t>
      </w:r>
      <w:r w:rsidR="00C942FE">
        <w:t xml:space="preserve">Bidder's </w:t>
      </w:r>
      <w:r>
        <w:t>Q</w:t>
      </w:r>
      <w:r w:rsidR="00C942FE">
        <w:t>TT</w:t>
      </w:r>
      <w:r>
        <w:t xml:space="preserve"> Submission if </w:t>
      </w:r>
      <w:r w:rsidR="00C942FE">
        <w:t xml:space="preserve">it </w:t>
      </w:r>
      <w:r>
        <w:t xml:space="preserve">does not comply in any material respect with the requirements specified in this </w:t>
      </w:r>
      <w:r w:rsidR="007537BF">
        <w:t>QTT</w:t>
      </w:r>
      <w:r>
        <w:t xml:space="preserve"> Document.</w:t>
      </w:r>
    </w:p>
    <w:p w:rsidR="00E6536D" w:rsidRDefault="00AC719F" w:rsidP="001C7FC5">
      <w:pPr>
        <w:pStyle w:val="Heading1"/>
      </w:pPr>
      <w:bookmarkStart w:id="52" w:name="_Toc283819665"/>
      <w:r>
        <w:t xml:space="preserve">QTT </w:t>
      </w:r>
      <w:r w:rsidR="00E6536D">
        <w:t>Evaluation Criteria</w:t>
      </w:r>
      <w:bookmarkEnd w:id="52"/>
    </w:p>
    <w:p w:rsidR="007047F4" w:rsidRDefault="00AC719F" w:rsidP="008F114F">
      <w:pPr>
        <w:pStyle w:val="Paragrapgh"/>
      </w:pPr>
      <w:r>
        <w:t>Chapter</w:t>
      </w:r>
      <w:r w:rsidRPr="00957DF9">
        <w:t xml:space="preserve"> </w:t>
      </w:r>
      <w:r w:rsidR="008541E1">
        <w:t>3</w:t>
      </w:r>
      <w:r w:rsidRPr="00957DF9">
        <w:t xml:space="preserve"> of this QTT Document is the QTT Questionnaire. Ofgem will evaluate responses to </w:t>
      </w:r>
      <w:r>
        <w:t xml:space="preserve">the requirements in the QTT Questionnaire </w:t>
      </w:r>
      <w:r w:rsidRPr="00957DF9">
        <w:t>on either a pass/fail or a scored basis</w:t>
      </w:r>
      <w:r>
        <w:t xml:space="preserve">. </w:t>
      </w:r>
    </w:p>
    <w:p w:rsidR="00AC719F" w:rsidRDefault="00AC719F" w:rsidP="008F114F">
      <w:pPr>
        <w:pStyle w:val="Paragrapgh"/>
      </w:pPr>
      <w:r w:rsidRPr="00695AD5">
        <w:t>Sections 1</w:t>
      </w:r>
      <w:r w:rsidR="00C7462B" w:rsidRPr="00695AD5">
        <w:t>,</w:t>
      </w:r>
      <w:r w:rsidRPr="00695AD5">
        <w:t xml:space="preserve"> 2 and 10 of the QTT Questionnaire will be </w:t>
      </w:r>
      <w:r w:rsidR="007047F4" w:rsidRPr="00695AD5">
        <w:t xml:space="preserve">evaluated </w:t>
      </w:r>
      <w:r w:rsidR="00456230">
        <w:t>on a pass/fail basis. Sections 3 to 9</w:t>
      </w:r>
      <w:r w:rsidR="007047F4" w:rsidRPr="00695AD5">
        <w:t xml:space="preserve"> </w:t>
      </w:r>
      <w:r w:rsidRPr="00695AD5">
        <w:t>will be evaluated on a scored basis.</w:t>
      </w:r>
      <w:r w:rsidR="007047F4" w:rsidRPr="00695AD5">
        <w:t xml:space="preserve"> Information</w:t>
      </w:r>
      <w:r w:rsidR="00456230">
        <w:t xml:space="preserve"> on confidentiality in Section 11</w:t>
      </w:r>
      <w:r w:rsidR="007047F4" w:rsidRPr="00695AD5">
        <w:t xml:space="preserve"> is requested</w:t>
      </w:r>
      <w:r w:rsidR="007047F4">
        <w:t xml:space="preserve"> for information only – this section is not subject to evaluation.</w:t>
      </w:r>
    </w:p>
    <w:p w:rsidR="00AC719F" w:rsidRDefault="00AC719F" w:rsidP="008F114F">
      <w:pPr>
        <w:pStyle w:val="Paragrapgh"/>
      </w:pPr>
      <w:r w:rsidRPr="0069521F">
        <w:t xml:space="preserve">The </w:t>
      </w:r>
      <w:r>
        <w:t xml:space="preserve">evaluation </w:t>
      </w:r>
      <w:r w:rsidRPr="0069521F">
        <w:t xml:space="preserve">criteria </w:t>
      </w:r>
      <w:r>
        <w:t>for</w:t>
      </w:r>
      <w:r w:rsidRPr="0069521F">
        <w:t xml:space="preserve"> each section of the QTT Questionnaire and</w:t>
      </w:r>
      <w:r>
        <w:t xml:space="preserve"> the </w:t>
      </w:r>
      <w:r w:rsidR="007047F4">
        <w:t xml:space="preserve">evaluation </w:t>
      </w:r>
      <w:r>
        <w:t xml:space="preserve">weighting for each section </w:t>
      </w:r>
      <w:r w:rsidRPr="0069521F">
        <w:t xml:space="preserve">are </w:t>
      </w:r>
      <w:r>
        <w:t xml:space="preserve">as follows: </w:t>
      </w:r>
    </w:p>
    <w:p w:rsidR="00E6536D" w:rsidRPr="00D1466E" w:rsidRDefault="00E6536D" w:rsidP="00FE4CD8">
      <w:pPr>
        <w:pStyle w:val="Heading2"/>
        <w:rPr>
          <w:color w:val="auto"/>
          <w:sz w:val="22"/>
          <w:szCs w:val="22"/>
        </w:rPr>
      </w:pPr>
      <w:bookmarkStart w:id="53" w:name="_Toc283819666"/>
      <w:r w:rsidRPr="00D1466E">
        <w:rPr>
          <w:color w:val="auto"/>
          <w:sz w:val="22"/>
          <w:szCs w:val="22"/>
        </w:rPr>
        <w:t xml:space="preserve">Section 1: </w:t>
      </w:r>
      <w:r w:rsidR="00A033CD" w:rsidRPr="00D1466E">
        <w:rPr>
          <w:color w:val="auto"/>
          <w:sz w:val="22"/>
          <w:szCs w:val="22"/>
        </w:rPr>
        <w:t xml:space="preserve">Confirmation of </w:t>
      </w:r>
      <w:r w:rsidR="00E07435" w:rsidRPr="00D1466E">
        <w:rPr>
          <w:color w:val="auto"/>
          <w:sz w:val="22"/>
          <w:szCs w:val="22"/>
        </w:rPr>
        <w:t>PQ</w:t>
      </w:r>
      <w:r w:rsidR="00A033CD" w:rsidRPr="00D1466E">
        <w:rPr>
          <w:color w:val="auto"/>
          <w:sz w:val="22"/>
          <w:szCs w:val="22"/>
        </w:rPr>
        <w:t xml:space="preserve"> Submission</w:t>
      </w:r>
      <w:bookmarkEnd w:id="53"/>
    </w:p>
    <w:p w:rsidR="00E6536D" w:rsidRDefault="008541E1" w:rsidP="00F20168">
      <w:pPr>
        <w:pStyle w:val="Paragrapgh"/>
      </w:pPr>
      <w:r>
        <w:t>In order to meet this criterion, a</w:t>
      </w:r>
      <w:r w:rsidR="00A033CD">
        <w:t xml:space="preserve"> Qualifying </w:t>
      </w:r>
      <w:r w:rsidR="00CD3E5D">
        <w:t>Bidder</w:t>
      </w:r>
      <w:r w:rsidR="00A033CD">
        <w:t xml:space="preserve"> must provide a statement confirming that the information provided in its </w:t>
      </w:r>
      <w:r>
        <w:t>PQ</w:t>
      </w:r>
      <w:r w:rsidR="00A033CD">
        <w:t xml:space="preserve"> Submission has not changed, or, to the extent that any information has changed, provide updated responses to the relevant question(s) in the </w:t>
      </w:r>
      <w:r>
        <w:t>PQ</w:t>
      </w:r>
      <w:r w:rsidR="00A033CD">
        <w:t xml:space="preserve"> Questionnaire.</w:t>
      </w:r>
    </w:p>
    <w:p w:rsidR="00ED3011" w:rsidRDefault="00ED3011" w:rsidP="00F20168">
      <w:pPr>
        <w:pStyle w:val="Paragrapgh"/>
      </w:pPr>
      <w:r>
        <w:t xml:space="preserve">Where Qualifying </w:t>
      </w:r>
      <w:r w:rsidR="00CD3E5D">
        <w:t>Bidder</w:t>
      </w:r>
      <w:r>
        <w:t xml:space="preserve">s have resubmitted their </w:t>
      </w:r>
      <w:r w:rsidR="00E07435">
        <w:t>PQ</w:t>
      </w:r>
      <w:r>
        <w:t xml:space="preserve"> Questionnaire, </w:t>
      </w:r>
      <w:r w:rsidR="008541E1">
        <w:t>Ofgem will assess the revised PQ</w:t>
      </w:r>
      <w:r>
        <w:t xml:space="preserve"> Submission </w:t>
      </w:r>
      <w:r w:rsidR="00E00E25">
        <w:t xml:space="preserve">on a pass/fail basis </w:t>
      </w:r>
      <w:r>
        <w:t xml:space="preserve">in accordance with the </w:t>
      </w:r>
      <w:r w:rsidR="00E07435">
        <w:t>PQ</w:t>
      </w:r>
      <w:r>
        <w:t xml:space="preserve"> evaluation criteria</w:t>
      </w:r>
      <w:r w:rsidR="008541E1">
        <w:t xml:space="preserve"> detailed in the </w:t>
      </w:r>
      <w:hyperlink r:id="rId27" w:history="1">
        <w:r w:rsidR="008541E1" w:rsidRPr="00E07435">
          <w:rPr>
            <w:rStyle w:val="Hyperlink"/>
            <w:sz w:val="20"/>
          </w:rPr>
          <w:t>PQ Document</w:t>
        </w:r>
      </w:hyperlink>
      <w:r w:rsidR="008541E1">
        <w:rPr>
          <w:rStyle w:val="FootnoteReference"/>
        </w:rPr>
        <w:footnoteReference w:id="18"/>
      </w:r>
      <w:r>
        <w:t>.</w:t>
      </w:r>
    </w:p>
    <w:p w:rsidR="00E6536D" w:rsidRPr="00D1466E" w:rsidRDefault="00E6536D" w:rsidP="00D1466E">
      <w:pPr>
        <w:pStyle w:val="Heading2"/>
        <w:keepNext/>
        <w:rPr>
          <w:color w:val="auto"/>
          <w:sz w:val="22"/>
          <w:szCs w:val="22"/>
        </w:rPr>
      </w:pPr>
      <w:bookmarkStart w:id="54" w:name="_Toc283819667"/>
      <w:r w:rsidRPr="00D1466E">
        <w:rPr>
          <w:color w:val="auto"/>
          <w:sz w:val="22"/>
          <w:szCs w:val="22"/>
        </w:rPr>
        <w:lastRenderedPageBreak/>
        <w:t xml:space="preserve">Section 2: </w:t>
      </w:r>
      <w:r w:rsidR="00ED3011" w:rsidRPr="00D1466E">
        <w:rPr>
          <w:color w:val="auto"/>
          <w:sz w:val="22"/>
          <w:szCs w:val="22"/>
        </w:rPr>
        <w:t>Relevant Qualifying Project</w:t>
      </w:r>
      <w:bookmarkEnd w:id="54"/>
    </w:p>
    <w:p w:rsidR="00E6536D" w:rsidRDefault="008541E1" w:rsidP="00D1466E">
      <w:pPr>
        <w:pStyle w:val="Paragrapgh"/>
        <w:keepNext/>
      </w:pPr>
      <w:r>
        <w:t xml:space="preserve">In order </w:t>
      </w:r>
      <w:r w:rsidR="0099694E">
        <w:t xml:space="preserve">to meet </w:t>
      </w:r>
      <w:r>
        <w:t xml:space="preserve">this criterion, a </w:t>
      </w:r>
      <w:r w:rsidR="00ED3011">
        <w:t xml:space="preserve">Qualifying </w:t>
      </w:r>
      <w:r w:rsidR="00CD3E5D">
        <w:t>Bidder</w:t>
      </w:r>
      <w:r>
        <w:t xml:space="preserve"> must clearly identify the relevant Qualifying Project</w:t>
      </w:r>
      <w:r w:rsidR="0099694E">
        <w:t xml:space="preserve"> that the QTT Submission relates</w:t>
      </w:r>
      <w:r>
        <w:t xml:space="preserve"> to.</w:t>
      </w:r>
    </w:p>
    <w:p w:rsidR="00E6536D" w:rsidRPr="00D1466E" w:rsidRDefault="006F3DB8" w:rsidP="00FE4CD8">
      <w:pPr>
        <w:pStyle w:val="Heading2"/>
        <w:rPr>
          <w:color w:val="auto"/>
          <w:sz w:val="22"/>
          <w:szCs w:val="22"/>
        </w:rPr>
      </w:pPr>
      <w:bookmarkStart w:id="55" w:name="_Toc283819668"/>
      <w:r w:rsidRPr="00D1466E">
        <w:rPr>
          <w:color w:val="auto"/>
          <w:sz w:val="22"/>
          <w:szCs w:val="22"/>
        </w:rPr>
        <w:t xml:space="preserve">Section 3: </w:t>
      </w:r>
      <w:r w:rsidR="00ED3011" w:rsidRPr="00D1466E">
        <w:rPr>
          <w:color w:val="auto"/>
          <w:sz w:val="22"/>
          <w:szCs w:val="22"/>
        </w:rPr>
        <w:t>Project IRR and Tender Revenue Stream (</w:t>
      </w:r>
      <w:r w:rsidR="00A51C46" w:rsidRPr="00245120">
        <w:rPr>
          <w:color w:val="auto"/>
          <w:sz w:val="22"/>
          <w:szCs w:val="22"/>
        </w:rPr>
        <w:t>25</w:t>
      </w:r>
      <w:r w:rsidR="00ED3011" w:rsidRPr="00245120">
        <w:rPr>
          <w:color w:val="auto"/>
          <w:sz w:val="22"/>
          <w:szCs w:val="22"/>
        </w:rPr>
        <w:t>%</w:t>
      </w:r>
      <w:r w:rsidR="00ED3011" w:rsidRPr="00D1466E">
        <w:rPr>
          <w:color w:val="auto"/>
          <w:sz w:val="22"/>
          <w:szCs w:val="22"/>
        </w:rPr>
        <w:t xml:space="preserve"> Weighting)</w:t>
      </w:r>
      <w:bookmarkEnd w:id="55"/>
    </w:p>
    <w:p w:rsidR="00E6536D" w:rsidRDefault="008541E1" w:rsidP="00F20168">
      <w:pPr>
        <w:pStyle w:val="Paragrapgh"/>
      </w:pPr>
      <w:r>
        <w:t xml:space="preserve">In order to meet this criterion, a </w:t>
      </w:r>
      <w:r w:rsidR="00ED3011">
        <w:t xml:space="preserve">Qualifying </w:t>
      </w:r>
      <w:r w:rsidR="00CD3E5D">
        <w:t>Bidder</w:t>
      </w:r>
      <w:r w:rsidR="00ED3011">
        <w:t xml:space="preserve"> must provide an indicative annual Tender Revenue Stream for the relevant Qualifying Project incorporating its proposed Project IRR and other relevant assumptions. Qualifying </w:t>
      </w:r>
      <w:r w:rsidR="00CD3E5D">
        <w:t>Bidder</w:t>
      </w:r>
      <w:r w:rsidR="00ED3011">
        <w:t xml:space="preserve">s will be evaluated on the basis of their Project IRR </w:t>
      </w:r>
      <w:r w:rsidR="00766D78">
        <w:t xml:space="preserve">[3A], </w:t>
      </w:r>
      <w:r w:rsidR="00ED3011">
        <w:t xml:space="preserve">together </w:t>
      </w:r>
      <w:r w:rsidR="00ED3011" w:rsidRPr="00245120">
        <w:t xml:space="preserve">with </w:t>
      </w:r>
      <w:r w:rsidR="00BE69F6" w:rsidRPr="00245120">
        <w:t>the robustness of</w:t>
      </w:r>
      <w:r w:rsidR="00BE69F6">
        <w:t xml:space="preserve"> </w:t>
      </w:r>
      <w:r w:rsidR="00ED3011">
        <w:t>their approach to deriving the Tender Revenue Stream</w:t>
      </w:r>
      <w:r w:rsidR="00766D78">
        <w:t xml:space="preserve"> [3C]</w:t>
      </w:r>
      <w:r w:rsidR="00ED3011">
        <w:t xml:space="preserve">. </w:t>
      </w:r>
      <w:r w:rsidR="00766D78">
        <w:t xml:space="preserve">The indicative annual Tender Revenue Stream [3B] will not be </w:t>
      </w:r>
      <w:r w:rsidR="00552C7D">
        <w:t>scored</w:t>
      </w:r>
      <w:r w:rsidR="00D45898">
        <w:t>, but will be evaluated in terms of robustness</w:t>
      </w:r>
      <w:r w:rsidR="00766D78">
        <w:t>.</w:t>
      </w:r>
    </w:p>
    <w:p w:rsidR="00C86BCE" w:rsidRDefault="00C86BCE" w:rsidP="00F20168">
      <w:pPr>
        <w:pStyle w:val="Paragrapgh"/>
      </w:pPr>
      <w:r>
        <w:t xml:space="preserve">Ofgem will evaluate the Project IRR provided by each Qualifying Bidder in their response to [3A] on a ranked and scored basis. Scores will be allocated across Qualifying Bidders for each Qualifying Project on the basis of their </w:t>
      </w:r>
      <w:r w:rsidR="00552C7D">
        <w:t xml:space="preserve">relative </w:t>
      </w:r>
      <w:r>
        <w:t>Project IRR, with the lowest Project IRR being awarded the highest available score</w:t>
      </w:r>
      <w:r w:rsidR="003659C8">
        <w:t xml:space="preserve"> (ie lower Project IRRs are awarded higher scores)</w:t>
      </w:r>
      <w:r>
        <w:t>.</w:t>
      </w:r>
    </w:p>
    <w:p w:rsidR="00E6536D" w:rsidRPr="00D1466E" w:rsidRDefault="00E6536D" w:rsidP="00FE4CD8">
      <w:pPr>
        <w:pStyle w:val="Heading2"/>
        <w:rPr>
          <w:color w:val="auto"/>
          <w:sz w:val="22"/>
          <w:szCs w:val="22"/>
        </w:rPr>
      </w:pPr>
      <w:bookmarkStart w:id="56" w:name="_Toc283819669"/>
      <w:r w:rsidRPr="00D1466E">
        <w:rPr>
          <w:color w:val="auto"/>
          <w:sz w:val="22"/>
          <w:szCs w:val="22"/>
        </w:rPr>
        <w:t xml:space="preserve">Section 4: </w:t>
      </w:r>
      <w:r w:rsidR="007D5379" w:rsidRPr="00D1466E">
        <w:rPr>
          <w:color w:val="auto"/>
          <w:sz w:val="22"/>
          <w:szCs w:val="22"/>
        </w:rPr>
        <w:t>Financing Strategy</w:t>
      </w:r>
      <w:r w:rsidR="000B573A" w:rsidRPr="00D1466E">
        <w:rPr>
          <w:color w:val="auto"/>
          <w:sz w:val="22"/>
          <w:szCs w:val="22"/>
        </w:rPr>
        <w:t xml:space="preserve"> (</w:t>
      </w:r>
      <w:r w:rsidR="00A51C46" w:rsidRPr="00245120">
        <w:rPr>
          <w:color w:val="auto"/>
          <w:sz w:val="22"/>
          <w:szCs w:val="22"/>
        </w:rPr>
        <w:t>15</w:t>
      </w:r>
      <w:r w:rsidR="000B573A" w:rsidRPr="00245120">
        <w:rPr>
          <w:color w:val="auto"/>
          <w:sz w:val="22"/>
          <w:szCs w:val="22"/>
        </w:rPr>
        <w:t>%</w:t>
      </w:r>
      <w:r w:rsidR="000B573A" w:rsidRPr="00D1466E">
        <w:rPr>
          <w:color w:val="auto"/>
          <w:sz w:val="22"/>
          <w:szCs w:val="22"/>
        </w:rPr>
        <w:t xml:space="preserve"> Weighting)</w:t>
      </w:r>
      <w:bookmarkEnd w:id="56"/>
    </w:p>
    <w:p w:rsidR="00E6536D" w:rsidRDefault="00E6536D" w:rsidP="00F20168">
      <w:pPr>
        <w:pStyle w:val="Paragrapgh"/>
      </w:pPr>
      <w:r>
        <w:t xml:space="preserve"> </w:t>
      </w:r>
      <w:r w:rsidR="00462636">
        <w:t xml:space="preserve">In order to meet this criterion, a </w:t>
      </w:r>
      <w:r w:rsidR="007D5379">
        <w:t xml:space="preserve">Qualifying </w:t>
      </w:r>
      <w:r w:rsidR="00CD3E5D">
        <w:t>Bidder</w:t>
      </w:r>
      <w:r w:rsidR="007D5379">
        <w:t xml:space="preserve"> must provide its proposed financing strategy. Qualifying </w:t>
      </w:r>
      <w:r w:rsidR="00CD3E5D">
        <w:t>Bidder</w:t>
      </w:r>
      <w:r w:rsidR="007D5379">
        <w:t xml:space="preserve">s will be evaluated on the basis of the coherence, deliverability and viability of the proposed financing strategy in support of their </w:t>
      </w:r>
      <w:r w:rsidR="00530584">
        <w:t>Project</w:t>
      </w:r>
      <w:r w:rsidR="007D5379">
        <w:t xml:space="preserve"> IRR and Tender Revenue Stream. The response should include evidence of support including, where appropriate, indicative terms.</w:t>
      </w:r>
    </w:p>
    <w:p w:rsidR="00E6536D" w:rsidRPr="00D1466E" w:rsidRDefault="006F3DB8" w:rsidP="00D1466E">
      <w:pPr>
        <w:pStyle w:val="Heading2"/>
        <w:ind w:left="0" w:firstLine="0"/>
        <w:rPr>
          <w:color w:val="auto"/>
          <w:sz w:val="22"/>
          <w:szCs w:val="22"/>
        </w:rPr>
      </w:pPr>
      <w:bookmarkStart w:id="57" w:name="_Toc283819670"/>
      <w:r w:rsidRPr="00D1466E">
        <w:rPr>
          <w:color w:val="auto"/>
          <w:sz w:val="22"/>
          <w:szCs w:val="22"/>
        </w:rPr>
        <w:t xml:space="preserve">Section 5: </w:t>
      </w:r>
      <w:r w:rsidR="000B573A" w:rsidRPr="00D1466E">
        <w:rPr>
          <w:color w:val="auto"/>
          <w:sz w:val="22"/>
          <w:szCs w:val="22"/>
        </w:rPr>
        <w:t>Financial and Commercial Risk Management (</w:t>
      </w:r>
      <w:r w:rsidR="000B573A" w:rsidRPr="00245120">
        <w:rPr>
          <w:color w:val="auto"/>
          <w:sz w:val="22"/>
          <w:szCs w:val="22"/>
        </w:rPr>
        <w:t>20%</w:t>
      </w:r>
      <w:r w:rsidR="000B573A" w:rsidRPr="00D1466E">
        <w:rPr>
          <w:color w:val="auto"/>
          <w:sz w:val="22"/>
          <w:szCs w:val="22"/>
        </w:rPr>
        <w:t xml:space="preserve"> Weighting)</w:t>
      </w:r>
      <w:bookmarkEnd w:id="57"/>
    </w:p>
    <w:p w:rsidR="00E6536D" w:rsidRDefault="00462636" w:rsidP="00F20168">
      <w:pPr>
        <w:pStyle w:val="Paragrapgh"/>
      </w:pPr>
      <w:r>
        <w:t xml:space="preserve">In order to meet this criterion, a </w:t>
      </w:r>
      <w:r w:rsidR="000B573A">
        <w:t xml:space="preserve">Qualifying </w:t>
      </w:r>
      <w:r w:rsidR="00CD3E5D">
        <w:t>Bidder</w:t>
      </w:r>
      <w:r w:rsidR="000B573A">
        <w:t xml:space="preserve"> must demonstrate an understanding</w:t>
      </w:r>
      <w:r w:rsidR="000E49F3">
        <w:t xml:space="preserve"> within its response to [5,Part</w:t>
      </w:r>
      <w:r w:rsidR="00A205AE">
        <w:t xml:space="preserve"> </w:t>
      </w:r>
      <w:r w:rsidR="000E49F3">
        <w:t>1] and [5,Part</w:t>
      </w:r>
      <w:r w:rsidR="00A205AE">
        <w:t xml:space="preserve"> </w:t>
      </w:r>
      <w:r w:rsidR="000E49F3">
        <w:t>2]</w:t>
      </w:r>
      <w:r w:rsidR="000B573A">
        <w:t xml:space="preserve"> of the key risks that could have a financial and/or commercial implication for </w:t>
      </w:r>
      <w:r w:rsidR="008861AB">
        <w:t xml:space="preserve">the relevant Qualifying </w:t>
      </w:r>
      <w:r w:rsidR="008861AB" w:rsidRPr="00245120">
        <w:t>Project and must set out their proposed ap</w:t>
      </w:r>
      <w:r w:rsidR="006778F4" w:rsidRPr="00245120">
        <w:t>proach to insurance</w:t>
      </w:r>
      <w:r w:rsidR="008861AB" w:rsidRPr="00245120">
        <w:t>.</w:t>
      </w:r>
      <w:r w:rsidR="008861AB">
        <w:t xml:space="preserve"> </w:t>
      </w:r>
      <w:r w:rsidR="000B573A">
        <w:t xml:space="preserve">Qualifying </w:t>
      </w:r>
      <w:r w:rsidR="00CD3E5D">
        <w:t>Bidder</w:t>
      </w:r>
      <w:r w:rsidR="000B573A">
        <w:t xml:space="preserve">s will </w:t>
      </w:r>
      <w:r w:rsidR="00456230">
        <w:t xml:space="preserve">also </w:t>
      </w:r>
      <w:r w:rsidR="000B573A">
        <w:t xml:space="preserve">be evaluated on the basis of their understanding and proposed approach </w:t>
      </w:r>
      <w:r w:rsidR="008861AB">
        <w:t xml:space="preserve">to managing and mitigating the key </w:t>
      </w:r>
      <w:r w:rsidR="008861AB" w:rsidRPr="00245120">
        <w:t>risks and on their proposed approach to insurance</w:t>
      </w:r>
      <w:r w:rsidR="000B573A" w:rsidRPr="00245120">
        <w:t>.</w:t>
      </w:r>
      <w:r w:rsidR="000B573A">
        <w:t xml:space="preserve"> </w:t>
      </w:r>
    </w:p>
    <w:p w:rsidR="00E6536D" w:rsidRPr="00D1466E" w:rsidRDefault="00E6536D" w:rsidP="00FE4CD8">
      <w:pPr>
        <w:pStyle w:val="Heading2"/>
        <w:rPr>
          <w:color w:val="auto"/>
          <w:sz w:val="22"/>
          <w:szCs w:val="22"/>
        </w:rPr>
      </w:pPr>
      <w:bookmarkStart w:id="58" w:name="_Toc283819671"/>
      <w:r w:rsidRPr="00D1466E">
        <w:rPr>
          <w:color w:val="auto"/>
          <w:sz w:val="22"/>
          <w:szCs w:val="22"/>
        </w:rPr>
        <w:t xml:space="preserve">Section 6: </w:t>
      </w:r>
      <w:r w:rsidR="000B573A" w:rsidRPr="00D1466E">
        <w:rPr>
          <w:color w:val="auto"/>
          <w:sz w:val="22"/>
          <w:szCs w:val="22"/>
        </w:rPr>
        <w:t>Shareholding/</w:t>
      </w:r>
      <w:r w:rsidR="006778F4" w:rsidRPr="00D1466E">
        <w:rPr>
          <w:color w:val="auto"/>
          <w:sz w:val="22"/>
          <w:szCs w:val="22"/>
        </w:rPr>
        <w:t>Bidder Group</w:t>
      </w:r>
      <w:r w:rsidR="000B573A" w:rsidRPr="00D1466E">
        <w:rPr>
          <w:color w:val="auto"/>
          <w:sz w:val="22"/>
          <w:szCs w:val="22"/>
        </w:rPr>
        <w:t xml:space="preserve"> Structure (5% Weighting)</w:t>
      </w:r>
      <w:bookmarkEnd w:id="58"/>
    </w:p>
    <w:p w:rsidR="00E6536D" w:rsidRDefault="00462636" w:rsidP="00F20168">
      <w:pPr>
        <w:pStyle w:val="Paragrapgh"/>
      </w:pPr>
      <w:r>
        <w:t xml:space="preserve">In order to meet this criterion, a </w:t>
      </w:r>
      <w:r w:rsidR="000B573A">
        <w:t xml:space="preserve">Qualifying </w:t>
      </w:r>
      <w:r w:rsidR="00CD3E5D">
        <w:t>Bidder</w:t>
      </w:r>
      <w:r w:rsidR="000B573A">
        <w:t xml:space="preserve"> </w:t>
      </w:r>
      <w:r>
        <w:t xml:space="preserve">must provide details of the proposed shareholding/Bidder Group organisational structure, and in the case of a Bidder Group, the proposed ownership arrangements. The Qualifying Bidder </w:t>
      </w:r>
      <w:r w:rsidR="000B573A">
        <w:t>will be evaluated on the basis of t</w:t>
      </w:r>
      <w:r w:rsidR="00097DB2">
        <w:t>he robustness and clarity of the</w:t>
      </w:r>
      <w:r w:rsidR="000B573A">
        <w:t xml:space="preserve"> proposed shareholding/</w:t>
      </w:r>
      <w:r>
        <w:t>Bidder Group</w:t>
      </w:r>
      <w:r w:rsidR="000B573A">
        <w:t xml:space="preserve"> organisational and contractual structure.</w:t>
      </w:r>
    </w:p>
    <w:p w:rsidR="000B573A" w:rsidRPr="00D1466E" w:rsidRDefault="00430846" w:rsidP="009B7416">
      <w:pPr>
        <w:pStyle w:val="Heading2"/>
        <w:ind w:left="0" w:firstLine="0"/>
        <w:rPr>
          <w:color w:val="auto"/>
          <w:sz w:val="22"/>
          <w:szCs w:val="22"/>
        </w:rPr>
      </w:pPr>
      <w:bookmarkStart w:id="59" w:name="_Toc283819672"/>
      <w:r>
        <w:rPr>
          <w:color w:val="auto"/>
          <w:sz w:val="22"/>
          <w:szCs w:val="22"/>
        </w:rPr>
        <w:lastRenderedPageBreak/>
        <w:t>Section 7</w:t>
      </w:r>
      <w:r w:rsidR="003505AA" w:rsidRPr="00D1466E">
        <w:rPr>
          <w:color w:val="auto"/>
          <w:sz w:val="22"/>
          <w:szCs w:val="22"/>
        </w:rPr>
        <w:t xml:space="preserve">: </w:t>
      </w:r>
      <w:r w:rsidR="006D306E" w:rsidRPr="00D1466E">
        <w:rPr>
          <w:color w:val="auto"/>
          <w:sz w:val="22"/>
          <w:szCs w:val="22"/>
        </w:rPr>
        <w:t xml:space="preserve">Proposed </w:t>
      </w:r>
      <w:r w:rsidR="003505AA" w:rsidRPr="00D1466E">
        <w:rPr>
          <w:color w:val="auto"/>
          <w:sz w:val="22"/>
          <w:szCs w:val="22"/>
        </w:rPr>
        <w:t>T</w:t>
      </w:r>
      <w:r w:rsidR="006778F4" w:rsidRPr="00D1466E">
        <w:rPr>
          <w:color w:val="auto"/>
          <w:sz w:val="22"/>
          <w:szCs w:val="22"/>
        </w:rPr>
        <w:t>akeo</w:t>
      </w:r>
      <w:r w:rsidR="00A51C46">
        <w:rPr>
          <w:color w:val="auto"/>
          <w:sz w:val="22"/>
          <w:szCs w:val="22"/>
        </w:rPr>
        <w:t>ver Plan (</w:t>
      </w:r>
      <w:r w:rsidRPr="00430846">
        <w:rPr>
          <w:color w:val="auto"/>
          <w:sz w:val="22"/>
          <w:szCs w:val="22"/>
        </w:rPr>
        <w:t>10</w:t>
      </w:r>
      <w:r w:rsidR="003505AA" w:rsidRPr="00430846">
        <w:rPr>
          <w:color w:val="auto"/>
          <w:sz w:val="22"/>
          <w:szCs w:val="22"/>
        </w:rPr>
        <w:t>%</w:t>
      </w:r>
      <w:r w:rsidR="003505AA" w:rsidRPr="00D1466E">
        <w:rPr>
          <w:color w:val="auto"/>
          <w:sz w:val="22"/>
          <w:szCs w:val="22"/>
        </w:rPr>
        <w:t xml:space="preserve"> Weighting)</w:t>
      </w:r>
      <w:bookmarkEnd w:id="59"/>
      <w:r w:rsidR="000B573A" w:rsidRPr="00D1466E">
        <w:rPr>
          <w:color w:val="auto"/>
          <w:sz w:val="22"/>
          <w:szCs w:val="22"/>
        </w:rPr>
        <w:t xml:space="preserve"> </w:t>
      </w:r>
    </w:p>
    <w:p w:rsidR="003505AA" w:rsidRDefault="00FD0692" w:rsidP="00F20168">
      <w:pPr>
        <w:pStyle w:val="Paragrapgh"/>
      </w:pPr>
      <w:r>
        <w:t>In order to meet this criterion, a</w:t>
      </w:r>
      <w:r w:rsidR="003505AA">
        <w:t xml:space="preserve"> Qualifying </w:t>
      </w:r>
      <w:r w:rsidR="00CD3E5D">
        <w:t>Bidder</w:t>
      </w:r>
      <w:r w:rsidR="003505AA">
        <w:t xml:space="preserve"> must demonstrate, with re</w:t>
      </w:r>
      <w:r w:rsidR="009B7416">
        <w:t>gard to its management approach</w:t>
      </w:r>
      <w:r w:rsidR="00E00E25">
        <w:t>,</w:t>
      </w:r>
      <w:r w:rsidR="003505AA">
        <w:t xml:space="preserve"> its understanding and approach to</w:t>
      </w:r>
      <w:r w:rsidR="00430846">
        <w:t xml:space="preserve"> </w:t>
      </w:r>
      <w:r w:rsidR="003505AA">
        <w:t>acquiring a business or assets f</w:t>
      </w:r>
      <w:r w:rsidR="00430846">
        <w:t>rom a third party and</w:t>
      </w:r>
      <w:r w:rsidR="009B7416">
        <w:t xml:space="preserve"> </w:t>
      </w:r>
      <w:r w:rsidR="003505AA">
        <w:t>developing an operations</w:t>
      </w:r>
      <w:r w:rsidR="00430846">
        <w:t xml:space="preserve"> plan for newly acquired assets</w:t>
      </w:r>
      <w:r w:rsidR="009B7416" w:rsidRPr="00AA0509">
        <w:t>.</w:t>
      </w:r>
      <w:r w:rsidR="003505AA">
        <w:t xml:space="preserve"> Qualifying </w:t>
      </w:r>
      <w:r w:rsidR="00CD3E5D">
        <w:t>Bidder</w:t>
      </w:r>
      <w:r w:rsidR="003505AA">
        <w:t>s will be evaluated on the basis of the coherence and deliverability of their approach in relation to the relevant Qualifying Project.</w:t>
      </w:r>
    </w:p>
    <w:p w:rsidR="00430846" w:rsidRPr="00D1466E" w:rsidRDefault="00430846" w:rsidP="00430846">
      <w:pPr>
        <w:pStyle w:val="Heading2"/>
        <w:keepNext/>
        <w:ind w:left="0" w:firstLine="0"/>
        <w:rPr>
          <w:color w:val="auto"/>
          <w:sz w:val="22"/>
          <w:szCs w:val="22"/>
        </w:rPr>
      </w:pPr>
      <w:bookmarkStart w:id="60" w:name="_Toc283819673"/>
      <w:r>
        <w:rPr>
          <w:color w:val="auto"/>
          <w:sz w:val="22"/>
          <w:szCs w:val="22"/>
        </w:rPr>
        <w:t>Section 8</w:t>
      </w:r>
      <w:r w:rsidRPr="00D1466E">
        <w:rPr>
          <w:color w:val="auto"/>
          <w:sz w:val="22"/>
          <w:szCs w:val="22"/>
        </w:rPr>
        <w:t xml:space="preserve">: Management </w:t>
      </w:r>
      <w:r>
        <w:rPr>
          <w:color w:val="auto"/>
          <w:sz w:val="22"/>
          <w:szCs w:val="22"/>
        </w:rPr>
        <w:t xml:space="preserve">and Operational </w:t>
      </w:r>
      <w:r w:rsidRPr="00D1466E">
        <w:rPr>
          <w:color w:val="auto"/>
          <w:sz w:val="22"/>
          <w:szCs w:val="22"/>
        </w:rPr>
        <w:t>Capability S</w:t>
      </w:r>
      <w:r>
        <w:rPr>
          <w:color w:val="auto"/>
          <w:sz w:val="22"/>
          <w:szCs w:val="22"/>
        </w:rPr>
        <w:t>tatement (</w:t>
      </w:r>
      <w:r w:rsidRPr="00430846">
        <w:rPr>
          <w:color w:val="auto"/>
          <w:sz w:val="22"/>
          <w:szCs w:val="22"/>
        </w:rPr>
        <w:t>20%</w:t>
      </w:r>
      <w:r w:rsidRPr="00D1466E">
        <w:rPr>
          <w:color w:val="auto"/>
          <w:sz w:val="22"/>
          <w:szCs w:val="22"/>
        </w:rPr>
        <w:t xml:space="preserve"> Weighting)</w:t>
      </w:r>
      <w:bookmarkEnd w:id="60"/>
    </w:p>
    <w:p w:rsidR="00430846" w:rsidRDefault="00430846" w:rsidP="00430846">
      <w:pPr>
        <w:pStyle w:val="Paragrapgh"/>
        <w:keepNext/>
      </w:pPr>
      <w:r>
        <w:t>In order to meet this criterion, a Qualifying Bidder must demonstrate its capabilities through experience-based management approaches to key aspects of the role to be undertaken by an OFTO and the specifics of operating within the offshore transmission regime. Qualifying Bidders will be evaluated on the basis of their understanding of the requirements and the coherence and viability of their proposals in relation to the relevant Qualifying Project.</w:t>
      </w:r>
    </w:p>
    <w:p w:rsidR="003505AA" w:rsidRPr="00D1466E" w:rsidRDefault="003505AA" w:rsidP="00FE4CD8">
      <w:pPr>
        <w:pStyle w:val="Heading2"/>
        <w:rPr>
          <w:color w:val="auto"/>
          <w:sz w:val="22"/>
          <w:szCs w:val="22"/>
        </w:rPr>
      </w:pPr>
      <w:bookmarkStart w:id="61" w:name="_Toc283819674"/>
      <w:r w:rsidRPr="00D1466E">
        <w:rPr>
          <w:color w:val="auto"/>
          <w:sz w:val="22"/>
          <w:szCs w:val="22"/>
        </w:rPr>
        <w:t>Section 9: Transfer Agreement (5% Weighting)</w:t>
      </w:r>
      <w:bookmarkEnd w:id="61"/>
    </w:p>
    <w:p w:rsidR="003505AA" w:rsidRDefault="00FD0692" w:rsidP="00F20168">
      <w:pPr>
        <w:pStyle w:val="Paragrapgh"/>
      </w:pPr>
      <w:r>
        <w:t>In order to meet this criterion, a</w:t>
      </w:r>
      <w:r w:rsidR="003505AA">
        <w:t xml:space="preserve"> Qualifying </w:t>
      </w:r>
      <w:r w:rsidR="00CD3E5D">
        <w:t>Bidder</w:t>
      </w:r>
      <w:r w:rsidR="003505AA">
        <w:t xml:space="preserve"> must demonstrate its understanding of the scope and consider</w:t>
      </w:r>
      <w:r w:rsidR="00BA6D00">
        <w:t xml:space="preserve">ations associated with </w:t>
      </w:r>
      <w:r w:rsidR="001D756D">
        <w:t xml:space="preserve">a transfer of the Transmission Assets of the relevant Qualifying Project </w:t>
      </w:r>
      <w:r w:rsidR="003505AA">
        <w:t>in the context of the in</w:t>
      </w:r>
      <w:r w:rsidR="004F62BF">
        <w:t>formation provided through the T</w:t>
      </w:r>
      <w:r w:rsidR="003505AA">
        <w:t xml:space="preserve">ender </w:t>
      </w:r>
      <w:r w:rsidR="004F62BF">
        <w:t>E</w:t>
      </w:r>
      <w:r>
        <w:t>xercise</w:t>
      </w:r>
      <w:r w:rsidR="003505AA">
        <w:t xml:space="preserve"> to date</w:t>
      </w:r>
      <w:r w:rsidR="001D756D">
        <w:t>, including the draft Project Transfer Agreement</w:t>
      </w:r>
      <w:r w:rsidR="003505AA">
        <w:t xml:space="preserve">. The Qualifying </w:t>
      </w:r>
      <w:r w:rsidR="00CD3E5D">
        <w:t>Bidder</w:t>
      </w:r>
      <w:r w:rsidR="003505AA">
        <w:t xml:space="preserve"> will be evaluated based upon their clear and considered identification of key commercial issues </w:t>
      </w:r>
      <w:r w:rsidR="001D756D">
        <w:t xml:space="preserve">and risk considerations </w:t>
      </w:r>
      <w:r w:rsidR="003505AA">
        <w:t xml:space="preserve">associated with </w:t>
      </w:r>
      <w:r>
        <w:t>th</w:t>
      </w:r>
      <w:r w:rsidR="003505AA">
        <w:t>e Qualifying Project and its transfer v</w:t>
      </w:r>
      <w:r w:rsidR="001D756D">
        <w:t>ia the Project</w:t>
      </w:r>
      <w:r w:rsidR="00E00E25">
        <w:t xml:space="preserve"> Transfer Agreement.</w:t>
      </w:r>
    </w:p>
    <w:p w:rsidR="00B507A3" w:rsidRPr="00D1466E" w:rsidRDefault="00B507A3" w:rsidP="00FE4CD8">
      <w:pPr>
        <w:pStyle w:val="Heading2"/>
        <w:rPr>
          <w:color w:val="auto"/>
          <w:sz w:val="22"/>
          <w:szCs w:val="22"/>
        </w:rPr>
      </w:pPr>
      <w:bookmarkStart w:id="62" w:name="_Toc283819675"/>
      <w:r w:rsidRPr="00D1466E">
        <w:rPr>
          <w:color w:val="auto"/>
          <w:sz w:val="22"/>
          <w:szCs w:val="22"/>
        </w:rPr>
        <w:t xml:space="preserve">Section 10: </w:t>
      </w:r>
      <w:r w:rsidR="006D306E" w:rsidRPr="00D1466E">
        <w:rPr>
          <w:color w:val="auto"/>
          <w:sz w:val="22"/>
          <w:szCs w:val="22"/>
        </w:rPr>
        <w:t xml:space="preserve">QTT </w:t>
      </w:r>
      <w:r w:rsidRPr="00D1466E">
        <w:rPr>
          <w:color w:val="auto"/>
          <w:sz w:val="22"/>
          <w:szCs w:val="22"/>
        </w:rPr>
        <w:t>Certificate</w:t>
      </w:r>
      <w:bookmarkEnd w:id="62"/>
    </w:p>
    <w:p w:rsidR="00B507A3" w:rsidRDefault="00B507A3" w:rsidP="00F20168">
      <w:pPr>
        <w:pStyle w:val="Paragrapgh"/>
      </w:pPr>
      <w:r>
        <w:t xml:space="preserve">A duly authorised officer of the Qualifying </w:t>
      </w:r>
      <w:r w:rsidR="00CD3E5D">
        <w:t>Bidder</w:t>
      </w:r>
      <w:r>
        <w:t xml:space="preserve"> or </w:t>
      </w:r>
      <w:r w:rsidR="005B2CBF">
        <w:t>Bidder Group</w:t>
      </w:r>
      <w:r>
        <w:t xml:space="preserve"> is required to confirm the statements set out in the </w:t>
      </w:r>
      <w:r w:rsidR="00BE69F6">
        <w:t>QTT C</w:t>
      </w:r>
      <w:r>
        <w:t xml:space="preserve">ertificate in Section 10. A Qualifying </w:t>
      </w:r>
      <w:r w:rsidR="00CD3E5D">
        <w:t>Bidder</w:t>
      </w:r>
      <w:r>
        <w:t xml:space="preserve"> or </w:t>
      </w:r>
      <w:r w:rsidR="00CD3E5D">
        <w:t>Bidder</w:t>
      </w:r>
      <w:r>
        <w:t xml:space="preserve"> </w:t>
      </w:r>
      <w:r w:rsidR="00C307EC">
        <w:t xml:space="preserve">Group </w:t>
      </w:r>
      <w:r>
        <w:t xml:space="preserve">who does not do so will have its QTT Submission </w:t>
      </w:r>
      <w:r w:rsidR="00401DCE">
        <w:t>r</w:t>
      </w:r>
      <w:r>
        <w:t>ejected and it will not be considered further.</w:t>
      </w:r>
    </w:p>
    <w:p w:rsidR="00B507A3" w:rsidRPr="00D1466E" w:rsidRDefault="00B507A3" w:rsidP="00FE4CD8">
      <w:pPr>
        <w:pStyle w:val="Heading2"/>
        <w:rPr>
          <w:color w:val="auto"/>
          <w:sz w:val="22"/>
          <w:szCs w:val="22"/>
        </w:rPr>
      </w:pPr>
      <w:bookmarkStart w:id="63" w:name="_Toc283819676"/>
      <w:r w:rsidRPr="00D1466E">
        <w:rPr>
          <w:color w:val="auto"/>
          <w:sz w:val="22"/>
          <w:szCs w:val="22"/>
        </w:rPr>
        <w:t>Section 11: Confidentiality</w:t>
      </w:r>
      <w:bookmarkEnd w:id="63"/>
    </w:p>
    <w:p w:rsidR="00B507A3" w:rsidRPr="00966638" w:rsidRDefault="00917B79" w:rsidP="00F20168">
      <w:pPr>
        <w:pStyle w:val="Paragrapgh"/>
      </w:pPr>
      <w:r>
        <w:t>Information</w:t>
      </w:r>
      <w:r w:rsidR="00AC1B55">
        <w:t xml:space="preserve"> only</w:t>
      </w:r>
      <w:r>
        <w:t xml:space="preserve"> is requested on confidentiality issues – this section is not </w:t>
      </w:r>
      <w:r w:rsidRPr="00966638">
        <w:t>subject to evaluation.</w:t>
      </w:r>
    </w:p>
    <w:p w:rsidR="004F38C7" w:rsidRPr="0099694E" w:rsidRDefault="004F38C7" w:rsidP="00D1466E">
      <w:pPr>
        <w:pStyle w:val="Heading1"/>
      </w:pPr>
      <w:bookmarkStart w:id="64" w:name="_Toc241562342"/>
      <w:bookmarkStart w:id="65" w:name="_Toc283819677"/>
      <w:r w:rsidRPr="0099694E">
        <w:lastRenderedPageBreak/>
        <w:t xml:space="preserve">Notification </w:t>
      </w:r>
      <w:r w:rsidR="00CF77F7">
        <w:t>to</w:t>
      </w:r>
      <w:r w:rsidRPr="0099694E">
        <w:t xml:space="preserve"> Qualifying </w:t>
      </w:r>
      <w:r w:rsidR="0099694E">
        <w:t>Bidders</w:t>
      </w:r>
      <w:r w:rsidRPr="0099694E">
        <w:t xml:space="preserve"> </w:t>
      </w:r>
      <w:bookmarkEnd w:id="64"/>
      <w:r w:rsidR="00CF77F7">
        <w:t>and Publication of Qualifying Bidder Shortlist</w:t>
      </w:r>
      <w:bookmarkEnd w:id="65"/>
    </w:p>
    <w:p w:rsidR="00CF77F7" w:rsidRDefault="00CF77F7" w:rsidP="005F47D7">
      <w:pPr>
        <w:pStyle w:val="Paragrapgh"/>
      </w:pPr>
      <w:r w:rsidRPr="00CF77F7">
        <w:t xml:space="preserve">Ofgem will notify each Qualifying Bidder (via the Portal) as to whether its QTT Submission has </w:t>
      </w:r>
      <w:r w:rsidR="004F62BF">
        <w:t>been successful or unsuccessful</w:t>
      </w:r>
      <w:r w:rsidRPr="00CF77F7">
        <w:t xml:space="preserve">.  </w:t>
      </w:r>
    </w:p>
    <w:p w:rsidR="00CF77F7" w:rsidRDefault="00CF77F7" w:rsidP="005F47D7">
      <w:pPr>
        <w:pStyle w:val="Paragrapgh"/>
      </w:pPr>
      <w:r w:rsidRPr="00B730ED">
        <w:t xml:space="preserve">Ofgem is sensitive to the likely level of investment which Qualifying </w:t>
      </w:r>
      <w:r>
        <w:t>Bidders</w:t>
      </w:r>
      <w:r w:rsidRPr="00B730ED">
        <w:t xml:space="preserve"> will have to undertake during the ITT Stage and considers that it would not be beneficial, either for Ofgem or Qualifying </w:t>
      </w:r>
      <w:r>
        <w:t>Bidders</w:t>
      </w:r>
      <w:r w:rsidRPr="00B730ED">
        <w:t xml:space="preserve">, to take too many Qualifying </w:t>
      </w:r>
      <w:r>
        <w:t>Bidders</w:t>
      </w:r>
      <w:r w:rsidRPr="00B730ED">
        <w:t xml:space="preserve"> beyond the </w:t>
      </w:r>
      <w:r>
        <w:t xml:space="preserve">QTT </w:t>
      </w:r>
      <w:r w:rsidR="00C40F20">
        <w:t xml:space="preserve">Stage. </w:t>
      </w:r>
      <w:r w:rsidRPr="00B730ED">
        <w:t xml:space="preserve">Therefore, Ofgem reserves the right to limit the number of Qualifying </w:t>
      </w:r>
      <w:r>
        <w:t>Bidders</w:t>
      </w:r>
      <w:r w:rsidRPr="00B730ED">
        <w:t xml:space="preserve"> who will be invited to take part in the ITT Stage in relation to any Qualifying Project. It is anticipated that this will be a maximum of five. </w:t>
      </w:r>
    </w:p>
    <w:p w:rsidR="00CF77F7" w:rsidRDefault="00CF77F7" w:rsidP="005F47D7">
      <w:pPr>
        <w:pStyle w:val="Paragrapgh"/>
      </w:pPr>
      <w:r>
        <w:t>The notices given to successful Qualifying Bidders will set out the next steps they will need to take in order to participate in the ITT Stage.</w:t>
      </w:r>
    </w:p>
    <w:p w:rsidR="00CF77F7" w:rsidRDefault="00CF77F7" w:rsidP="005F47D7">
      <w:pPr>
        <w:pStyle w:val="Paragrapgh"/>
      </w:pPr>
      <w:r>
        <w:t>Once all Qualifying Bidders have been notified, Ofgem will publish the shortlist of Qualifying Bidders in respect of each Qualifying Project on the Portal and on the Ofgem website. Ofgem may also make a general public announcement.</w:t>
      </w:r>
    </w:p>
    <w:p w:rsidR="004F38C7" w:rsidRPr="00D1466E" w:rsidRDefault="004F38C7" w:rsidP="00D1466E">
      <w:pPr>
        <w:pStyle w:val="Heading2"/>
        <w:rPr>
          <w:color w:val="auto"/>
          <w:sz w:val="22"/>
          <w:szCs w:val="22"/>
        </w:rPr>
      </w:pPr>
      <w:bookmarkStart w:id="66" w:name="_Toc233438390"/>
      <w:bookmarkStart w:id="67" w:name="_Toc233782511"/>
      <w:bookmarkStart w:id="68" w:name="_Toc241562344"/>
      <w:bookmarkStart w:id="69" w:name="_Toc283819678"/>
      <w:r w:rsidRPr="00D1466E">
        <w:rPr>
          <w:color w:val="auto"/>
          <w:sz w:val="22"/>
          <w:szCs w:val="22"/>
        </w:rPr>
        <w:t xml:space="preserve">Qualifying </w:t>
      </w:r>
      <w:r w:rsidR="0099694E" w:rsidRPr="00D1466E">
        <w:rPr>
          <w:color w:val="auto"/>
          <w:sz w:val="22"/>
          <w:szCs w:val="22"/>
        </w:rPr>
        <w:t>Bidder</w:t>
      </w:r>
      <w:r w:rsidRPr="00D1466E">
        <w:rPr>
          <w:color w:val="auto"/>
          <w:sz w:val="22"/>
          <w:szCs w:val="22"/>
        </w:rPr>
        <w:t xml:space="preserve"> feedback</w:t>
      </w:r>
      <w:bookmarkEnd w:id="66"/>
      <w:bookmarkEnd w:id="67"/>
      <w:bookmarkEnd w:id="68"/>
      <w:bookmarkEnd w:id="69"/>
    </w:p>
    <w:p w:rsidR="004F38C7" w:rsidRPr="00B730ED" w:rsidRDefault="00236779" w:rsidP="005F47D7">
      <w:pPr>
        <w:pStyle w:val="Paragrapgh"/>
      </w:pPr>
      <w:r w:rsidRPr="00236779">
        <w:t xml:space="preserve">Ofgem expects to offer confidential feedback to any Qualifying Bidder following completion of the QTT Stage. Ofgem expects that any such feedback will be provided within one month of the notification </w:t>
      </w:r>
      <w:r>
        <w:t xml:space="preserve">referenced within </w:t>
      </w:r>
      <w:r w:rsidRPr="00695AD5">
        <w:t xml:space="preserve">paragraph </w:t>
      </w:r>
      <w:r w:rsidR="00C379AC">
        <w:t>4.24</w:t>
      </w:r>
      <w:r w:rsidRPr="00695AD5">
        <w:t>.</w:t>
      </w:r>
      <w:r w:rsidR="004F38C7" w:rsidRPr="00B730ED">
        <w:t xml:space="preserve"> </w:t>
      </w:r>
    </w:p>
    <w:p w:rsidR="004F38C7" w:rsidRDefault="004F38C7">
      <w:pPr>
        <w:sectPr w:rsidR="004F38C7" w:rsidSect="00037434">
          <w:headerReference w:type="default" r:id="rId28"/>
          <w:endnotePr>
            <w:numFmt w:val="chicago"/>
            <w:numRestart w:val="eachSect"/>
          </w:endnotePr>
          <w:pgSz w:w="12240" w:h="15840"/>
          <w:pgMar w:top="1797" w:right="1797" w:bottom="1440" w:left="1797" w:header="720" w:footer="720" w:gutter="0"/>
          <w:paperSrc w:first="259" w:other="259"/>
          <w:cols w:space="720"/>
          <w:docGrid w:linePitch="360"/>
        </w:sectPr>
      </w:pPr>
    </w:p>
    <w:p w:rsidR="00E6536D" w:rsidRDefault="00E6536D" w:rsidP="005F47D7">
      <w:pPr>
        <w:pStyle w:val="Sectionheading"/>
        <w:spacing w:before="360" w:after="360"/>
      </w:pPr>
      <w:bookmarkStart w:id="70" w:name="_Toc121908412"/>
      <w:bookmarkStart w:id="71" w:name="_Toc122252096"/>
      <w:bookmarkStart w:id="72" w:name="_Toc122265829"/>
      <w:bookmarkStart w:id="73" w:name="_Toc122509019"/>
      <w:bookmarkStart w:id="74" w:name="_Toc283819679"/>
      <w:r>
        <w:lastRenderedPageBreak/>
        <w:t>Appendices</w:t>
      </w:r>
      <w:bookmarkEnd w:id="70"/>
      <w:bookmarkEnd w:id="71"/>
      <w:bookmarkEnd w:id="72"/>
      <w:bookmarkEnd w:id="73"/>
      <w:bookmarkEnd w:id="74"/>
    </w:p>
    <w:p w:rsidR="00E6536D" w:rsidRDefault="00E6536D" w:rsidP="005F47D7">
      <w:pPr>
        <w:pStyle w:val="Indexhead"/>
        <w:spacing w:before="360" w:after="360"/>
      </w:pPr>
      <w:r>
        <w:t>Index</w:t>
      </w:r>
    </w:p>
    <w:tbl>
      <w:tblPr>
        <w:tblW w:w="88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tblPr>
      <w:tblGrid>
        <w:gridCol w:w="1269"/>
        <w:gridCol w:w="5785"/>
        <w:gridCol w:w="1843"/>
      </w:tblGrid>
      <w:tr w:rsidR="00E6536D">
        <w:trPr>
          <w:trHeight w:val="380"/>
        </w:trPr>
        <w:tc>
          <w:tcPr>
            <w:tcW w:w="1269" w:type="dxa"/>
            <w:shd w:val="clear" w:color="auto" w:fill="E0E0E0"/>
            <w:vAlign w:val="center"/>
          </w:tcPr>
          <w:p w:rsidR="00E6536D" w:rsidRDefault="00E6536D">
            <w:pPr>
              <w:pStyle w:val="Tablehead"/>
            </w:pPr>
            <w:r>
              <w:t>Appendix</w:t>
            </w:r>
          </w:p>
        </w:tc>
        <w:tc>
          <w:tcPr>
            <w:tcW w:w="5785" w:type="dxa"/>
            <w:shd w:val="clear" w:color="auto" w:fill="E0E0E0"/>
            <w:vAlign w:val="center"/>
          </w:tcPr>
          <w:p w:rsidR="00E6536D" w:rsidRDefault="00E6536D">
            <w:pPr>
              <w:pStyle w:val="Tablehead"/>
              <w:rPr>
                <w:bCs/>
              </w:rPr>
            </w:pPr>
            <w:r>
              <w:rPr>
                <w:bCs/>
              </w:rPr>
              <w:t>Name of Appendix</w:t>
            </w:r>
          </w:p>
        </w:tc>
        <w:tc>
          <w:tcPr>
            <w:tcW w:w="1843" w:type="dxa"/>
            <w:shd w:val="clear" w:color="auto" w:fill="E0E0E0"/>
            <w:vAlign w:val="center"/>
          </w:tcPr>
          <w:p w:rsidR="00E6536D" w:rsidRDefault="00E6536D">
            <w:pPr>
              <w:pStyle w:val="Tablehead"/>
            </w:pPr>
            <w:r>
              <w:t>Page Number</w:t>
            </w:r>
          </w:p>
        </w:tc>
      </w:tr>
      <w:tr w:rsidR="00F67441">
        <w:trPr>
          <w:trHeight w:val="288"/>
        </w:trPr>
        <w:tc>
          <w:tcPr>
            <w:tcW w:w="1269" w:type="dxa"/>
            <w:vAlign w:val="center"/>
          </w:tcPr>
          <w:p w:rsidR="00F67441" w:rsidRDefault="00F67441">
            <w:r>
              <w:t>1</w:t>
            </w:r>
          </w:p>
        </w:tc>
        <w:tc>
          <w:tcPr>
            <w:tcW w:w="5785" w:type="dxa"/>
            <w:vAlign w:val="center"/>
          </w:tcPr>
          <w:p w:rsidR="00F67441" w:rsidRDefault="00F67441" w:rsidP="007F4BDA">
            <w:pPr>
              <w:pStyle w:val="TableText-LeftAligned"/>
            </w:pPr>
            <w:r w:rsidRPr="00F67441">
              <w:t xml:space="preserve">Table of Commentary to </w:t>
            </w:r>
            <w:r w:rsidR="00A90B40">
              <w:t xml:space="preserve">draft </w:t>
            </w:r>
            <w:r w:rsidRPr="00F67441">
              <w:t>[Project] Transfer Agreement</w:t>
            </w:r>
          </w:p>
        </w:tc>
        <w:tc>
          <w:tcPr>
            <w:tcW w:w="1843" w:type="dxa"/>
            <w:vAlign w:val="center"/>
          </w:tcPr>
          <w:p w:rsidR="00F67441" w:rsidRPr="00695AD5" w:rsidRDefault="00F67441" w:rsidP="00410657">
            <w:pPr>
              <w:pStyle w:val="TableText-LeftAligned"/>
              <w:jc w:val="center"/>
            </w:pPr>
            <w:r w:rsidRPr="00695AD5">
              <w:t>4</w:t>
            </w:r>
            <w:r w:rsidR="00C379AC">
              <w:t>3</w:t>
            </w:r>
          </w:p>
        </w:tc>
      </w:tr>
      <w:tr w:rsidR="004B5978">
        <w:trPr>
          <w:trHeight w:val="288"/>
        </w:trPr>
        <w:tc>
          <w:tcPr>
            <w:tcW w:w="1269" w:type="dxa"/>
            <w:vAlign w:val="center"/>
          </w:tcPr>
          <w:p w:rsidR="004B5978" w:rsidRDefault="00F67441">
            <w:r>
              <w:t>2</w:t>
            </w:r>
          </w:p>
        </w:tc>
        <w:tc>
          <w:tcPr>
            <w:tcW w:w="5785" w:type="dxa"/>
            <w:vAlign w:val="center"/>
          </w:tcPr>
          <w:p w:rsidR="004B5978" w:rsidRDefault="004B5978" w:rsidP="007F4BDA">
            <w:pPr>
              <w:pStyle w:val="TableText-LeftAligned"/>
            </w:pPr>
            <w:r>
              <w:t>Templa</w:t>
            </w:r>
            <w:r w:rsidR="00BE69F6">
              <w:t>te for responses to Section</w:t>
            </w:r>
            <w:r w:rsidR="007F4BDA">
              <w:t xml:space="preserve"> 3</w:t>
            </w:r>
            <w:r>
              <w:t xml:space="preserve"> of the QTT Questionnaire</w:t>
            </w:r>
          </w:p>
        </w:tc>
        <w:tc>
          <w:tcPr>
            <w:tcW w:w="1843" w:type="dxa"/>
            <w:vAlign w:val="center"/>
          </w:tcPr>
          <w:p w:rsidR="004B5978" w:rsidRPr="00695AD5" w:rsidRDefault="00245120" w:rsidP="00410657">
            <w:pPr>
              <w:pStyle w:val="TableText-LeftAligned"/>
              <w:jc w:val="center"/>
            </w:pPr>
            <w:r w:rsidRPr="00695AD5">
              <w:t>4</w:t>
            </w:r>
            <w:r w:rsidR="00C379AC">
              <w:t>4</w:t>
            </w:r>
          </w:p>
        </w:tc>
      </w:tr>
      <w:tr w:rsidR="00C55A3D">
        <w:trPr>
          <w:trHeight w:val="288"/>
        </w:trPr>
        <w:tc>
          <w:tcPr>
            <w:tcW w:w="1269" w:type="dxa"/>
            <w:vAlign w:val="center"/>
          </w:tcPr>
          <w:p w:rsidR="00C55A3D" w:rsidRDefault="00F67441">
            <w:r>
              <w:t>3</w:t>
            </w:r>
          </w:p>
        </w:tc>
        <w:tc>
          <w:tcPr>
            <w:tcW w:w="5785" w:type="dxa"/>
            <w:vAlign w:val="center"/>
          </w:tcPr>
          <w:p w:rsidR="00C55A3D" w:rsidRDefault="00C55A3D">
            <w:pPr>
              <w:pStyle w:val="TableText-LeftAligned"/>
            </w:pPr>
            <w:r>
              <w:t>Disclaimer and Notices</w:t>
            </w:r>
          </w:p>
        </w:tc>
        <w:tc>
          <w:tcPr>
            <w:tcW w:w="1843" w:type="dxa"/>
            <w:vAlign w:val="center"/>
          </w:tcPr>
          <w:p w:rsidR="00C55A3D" w:rsidRPr="00695AD5" w:rsidRDefault="00966638" w:rsidP="00410657">
            <w:pPr>
              <w:pStyle w:val="TableText-LeftAligned"/>
              <w:jc w:val="center"/>
            </w:pPr>
            <w:r w:rsidRPr="00695AD5">
              <w:t>4</w:t>
            </w:r>
            <w:r w:rsidR="00C379AC">
              <w:t>6</w:t>
            </w:r>
          </w:p>
        </w:tc>
      </w:tr>
      <w:tr w:rsidR="00E6536D">
        <w:trPr>
          <w:trHeight w:val="288"/>
        </w:trPr>
        <w:tc>
          <w:tcPr>
            <w:tcW w:w="1269" w:type="dxa"/>
            <w:vAlign w:val="center"/>
          </w:tcPr>
          <w:p w:rsidR="00E6536D" w:rsidRDefault="00F67441">
            <w:r>
              <w:t>4</w:t>
            </w:r>
          </w:p>
        </w:tc>
        <w:tc>
          <w:tcPr>
            <w:tcW w:w="5785" w:type="dxa"/>
            <w:vAlign w:val="center"/>
          </w:tcPr>
          <w:p w:rsidR="00E6536D" w:rsidRDefault="00E6536D">
            <w:pPr>
              <w:pStyle w:val="TableText-LeftAligned"/>
            </w:pPr>
            <w:r>
              <w:t>The Authority's Powers and Duties</w:t>
            </w:r>
          </w:p>
        </w:tc>
        <w:tc>
          <w:tcPr>
            <w:tcW w:w="1843" w:type="dxa"/>
            <w:vAlign w:val="center"/>
          </w:tcPr>
          <w:p w:rsidR="00E6536D" w:rsidRPr="00695AD5" w:rsidRDefault="00C379AC" w:rsidP="00410657">
            <w:pPr>
              <w:pStyle w:val="TableText-LeftAligned"/>
              <w:jc w:val="center"/>
            </w:pPr>
            <w:r>
              <w:t>49</w:t>
            </w:r>
          </w:p>
        </w:tc>
      </w:tr>
      <w:tr w:rsidR="00E6536D">
        <w:trPr>
          <w:trHeight w:val="288"/>
        </w:trPr>
        <w:tc>
          <w:tcPr>
            <w:tcW w:w="1269" w:type="dxa"/>
            <w:vAlign w:val="center"/>
          </w:tcPr>
          <w:p w:rsidR="00E6536D" w:rsidRDefault="00F67441">
            <w:r>
              <w:t>5</w:t>
            </w:r>
          </w:p>
        </w:tc>
        <w:tc>
          <w:tcPr>
            <w:tcW w:w="5785" w:type="dxa"/>
            <w:vAlign w:val="center"/>
          </w:tcPr>
          <w:p w:rsidR="00E6536D" w:rsidRDefault="00E6536D">
            <w:pPr>
              <w:pStyle w:val="TableText-LeftAligned"/>
            </w:pPr>
            <w:r>
              <w:t>Glossary</w:t>
            </w:r>
          </w:p>
        </w:tc>
        <w:tc>
          <w:tcPr>
            <w:tcW w:w="1843" w:type="dxa"/>
            <w:vAlign w:val="center"/>
          </w:tcPr>
          <w:p w:rsidR="00E6536D" w:rsidRPr="00695AD5" w:rsidRDefault="00245120" w:rsidP="00410657">
            <w:pPr>
              <w:jc w:val="center"/>
            </w:pPr>
            <w:r w:rsidRPr="00695AD5">
              <w:t>5</w:t>
            </w:r>
            <w:r w:rsidR="00C379AC">
              <w:t>2</w:t>
            </w:r>
          </w:p>
        </w:tc>
      </w:tr>
    </w:tbl>
    <w:p w:rsidR="00E6536D" w:rsidRDefault="00E6536D">
      <w:pPr>
        <w:tabs>
          <w:tab w:val="left" w:pos="2581"/>
        </w:tabs>
      </w:pPr>
    </w:p>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r>
        <w:br w:type="page"/>
      </w:r>
    </w:p>
    <w:p w:rsidR="00F67441" w:rsidRDefault="00F67441" w:rsidP="00F67441">
      <w:pPr>
        <w:pStyle w:val="AppendixSection"/>
        <w:numPr>
          <w:ilvl w:val="0"/>
          <w:numId w:val="0"/>
        </w:numPr>
      </w:pPr>
      <w:bookmarkStart w:id="75" w:name="_Toc283819680"/>
      <w:bookmarkStart w:id="76" w:name="_Toc257797809"/>
      <w:r>
        <w:lastRenderedPageBreak/>
        <w:t>Appendix 1 – Table of Commentary to</w:t>
      </w:r>
      <w:r w:rsidR="00A90B40">
        <w:t xml:space="preserve"> draft</w:t>
      </w:r>
      <w:r>
        <w:t xml:space="preserve"> [Project]</w:t>
      </w:r>
      <w:r w:rsidR="001570E0">
        <w:rPr>
          <w:rStyle w:val="FootnoteReference"/>
        </w:rPr>
        <w:footnoteReference w:id="19"/>
      </w:r>
      <w:r>
        <w:t xml:space="preserve"> Transfer Agreement</w:t>
      </w:r>
      <w:bookmarkEnd w:id="75"/>
    </w:p>
    <w:p w:rsidR="00F67441" w:rsidRDefault="00F67441"/>
    <w:p w:rsidR="001570E0" w:rsidRPr="003B4E53" w:rsidRDefault="001570E0" w:rsidP="001570E0">
      <w:pPr>
        <w:pStyle w:val="Body"/>
        <w:spacing w:before="360"/>
        <w:rPr>
          <w:rFonts w:ascii="Verdana" w:hAnsi="Verdana"/>
          <w:b/>
          <w:bCs/>
          <w:szCs w:val="20"/>
        </w:rPr>
      </w:pPr>
      <w:r w:rsidRPr="003B4E53">
        <w:rPr>
          <w:rFonts w:ascii="Verdana" w:hAnsi="Verdana"/>
          <w:b/>
          <w:bCs/>
          <w:szCs w:val="20"/>
        </w:rPr>
        <w:t xml:space="preserve">PART A: HIGH IMPACT: </w:t>
      </w:r>
      <w:r w:rsidRPr="00867E62">
        <w:rPr>
          <w:rFonts w:ascii="Verdana" w:hAnsi="Verdana"/>
          <w:bCs/>
          <w:szCs w:val="20"/>
        </w:rPr>
        <w:t>Significant commercial and/or legal impact which will materially affect the Tender Revenue Stream being bid at the ITT Stage or could materially affect the fundability of the transfer.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1786"/>
        <w:gridCol w:w="1836"/>
        <w:gridCol w:w="4542"/>
      </w:tblGrid>
      <w:tr w:rsidR="001570E0" w:rsidRPr="003B4E53" w:rsidTr="00DE0E0B">
        <w:tc>
          <w:tcPr>
            <w:tcW w:w="828" w:type="dxa"/>
            <w:shd w:val="clear" w:color="auto" w:fill="D9D9D9" w:themeFill="background1" w:themeFillShade="D9"/>
            <w:vAlign w:val="bottom"/>
          </w:tcPr>
          <w:p w:rsidR="001570E0" w:rsidRPr="003B4E53" w:rsidRDefault="001570E0" w:rsidP="00455A3C">
            <w:pPr>
              <w:pStyle w:val="Body"/>
              <w:jc w:val="left"/>
              <w:rPr>
                <w:rFonts w:ascii="Verdana" w:hAnsi="Verdana"/>
                <w:b/>
                <w:bCs/>
                <w:szCs w:val="20"/>
              </w:rPr>
            </w:pPr>
            <w:r w:rsidRPr="003B4E53">
              <w:rPr>
                <w:rFonts w:ascii="Verdana" w:hAnsi="Verdana"/>
                <w:b/>
                <w:bCs/>
                <w:szCs w:val="20"/>
              </w:rPr>
              <w:t>No.</w:t>
            </w:r>
          </w:p>
        </w:tc>
        <w:tc>
          <w:tcPr>
            <w:tcW w:w="2520" w:type="dxa"/>
            <w:shd w:val="clear" w:color="auto" w:fill="D9D9D9" w:themeFill="background1" w:themeFillShade="D9"/>
            <w:vAlign w:val="bottom"/>
          </w:tcPr>
          <w:p w:rsidR="001570E0" w:rsidRPr="003B4E53" w:rsidRDefault="001570E0" w:rsidP="00455A3C">
            <w:pPr>
              <w:pStyle w:val="Body"/>
              <w:jc w:val="left"/>
              <w:rPr>
                <w:rFonts w:ascii="Verdana" w:hAnsi="Verdana"/>
                <w:b/>
                <w:bCs/>
                <w:szCs w:val="20"/>
              </w:rPr>
            </w:pPr>
            <w:r w:rsidRPr="003B4E53">
              <w:rPr>
                <w:rFonts w:ascii="Verdana" w:hAnsi="Verdana"/>
                <w:b/>
                <w:bCs/>
                <w:szCs w:val="20"/>
              </w:rPr>
              <w:t>Headline issue</w:t>
            </w:r>
          </w:p>
        </w:tc>
        <w:tc>
          <w:tcPr>
            <w:tcW w:w="2520" w:type="dxa"/>
            <w:shd w:val="clear" w:color="auto" w:fill="D9D9D9" w:themeFill="background1" w:themeFillShade="D9"/>
            <w:vAlign w:val="bottom"/>
          </w:tcPr>
          <w:p w:rsidR="001570E0" w:rsidRPr="003B4E53" w:rsidRDefault="001570E0" w:rsidP="00455A3C">
            <w:pPr>
              <w:pStyle w:val="Body"/>
              <w:jc w:val="left"/>
              <w:rPr>
                <w:rFonts w:ascii="Verdana" w:hAnsi="Verdana"/>
                <w:b/>
                <w:bCs/>
                <w:szCs w:val="20"/>
              </w:rPr>
            </w:pPr>
            <w:r w:rsidRPr="003B4E53">
              <w:rPr>
                <w:rFonts w:ascii="Verdana" w:hAnsi="Verdana"/>
                <w:b/>
                <w:bCs/>
                <w:szCs w:val="20"/>
              </w:rPr>
              <w:t>Relevant Clause(s)</w:t>
            </w:r>
          </w:p>
        </w:tc>
        <w:tc>
          <w:tcPr>
            <w:tcW w:w="8181" w:type="dxa"/>
            <w:shd w:val="clear" w:color="auto" w:fill="D9D9D9" w:themeFill="background1" w:themeFillShade="D9"/>
            <w:vAlign w:val="bottom"/>
          </w:tcPr>
          <w:p w:rsidR="001570E0" w:rsidRPr="003B4E53" w:rsidRDefault="001570E0" w:rsidP="00455A3C">
            <w:pPr>
              <w:pStyle w:val="Body"/>
              <w:jc w:val="left"/>
              <w:rPr>
                <w:rFonts w:ascii="Verdana" w:hAnsi="Verdana"/>
                <w:b/>
                <w:bCs/>
                <w:szCs w:val="20"/>
              </w:rPr>
            </w:pPr>
            <w:r w:rsidRPr="003B4E53">
              <w:rPr>
                <w:rFonts w:ascii="Verdana" w:hAnsi="Verdana"/>
                <w:b/>
                <w:bCs/>
                <w:szCs w:val="20"/>
              </w:rPr>
              <w:t>Commentary</w:t>
            </w:r>
          </w:p>
        </w:tc>
      </w:tr>
      <w:tr w:rsidR="001570E0" w:rsidRPr="003B4E53" w:rsidTr="00455A3C">
        <w:tc>
          <w:tcPr>
            <w:tcW w:w="828" w:type="dxa"/>
          </w:tcPr>
          <w:p w:rsidR="001570E0" w:rsidRPr="00791360" w:rsidRDefault="00791360" w:rsidP="00791360">
            <w:pPr>
              <w:pStyle w:val="Table1"/>
              <w:numPr>
                <w:ilvl w:val="0"/>
                <w:numId w:val="0"/>
              </w:numPr>
              <w:rPr>
                <w:rFonts w:ascii="Verdana" w:hAnsi="Verdana"/>
                <w:b/>
                <w:szCs w:val="20"/>
              </w:rPr>
            </w:pPr>
            <w:r w:rsidRPr="00791360">
              <w:rPr>
                <w:rFonts w:ascii="Verdana" w:hAnsi="Verdana"/>
                <w:b/>
                <w:szCs w:val="20"/>
              </w:rPr>
              <w:t>A.1</w:t>
            </w:r>
          </w:p>
        </w:tc>
        <w:tc>
          <w:tcPr>
            <w:tcW w:w="2520" w:type="dxa"/>
          </w:tcPr>
          <w:p w:rsidR="001570E0" w:rsidRDefault="001570E0" w:rsidP="00455A3C">
            <w:pPr>
              <w:pStyle w:val="Body"/>
              <w:jc w:val="left"/>
              <w:rPr>
                <w:rFonts w:ascii="Verdana" w:hAnsi="Verdana"/>
                <w:szCs w:val="20"/>
              </w:rPr>
            </w:pPr>
          </w:p>
          <w:p w:rsidR="00867E62" w:rsidRPr="003B4E53" w:rsidRDefault="00867E62" w:rsidP="00455A3C">
            <w:pPr>
              <w:pStyle w:val="Body"/>
              <w:jc w:val="left"/>
              <w:rPr>
                <w:rFonts w:ascii="Verdana" w:hAnsi="Verdana"/>
                <w:szCs w:val="20"/>
              </w:rPr>
            </w:pPr>
          </w:p>
        </w:tc>
        <w:tc>
          <w:tcPr>
            <w:tcW w:w="2520" w:type="dxa"/>
          </w:tcPr>
          <w:p w:rsidR="001570E0" w:rsidRPr="003B4E53" w:rsidRDefault="001570E0" w:rsidP="00455A3C">
            <w:pPr>
              <w:pStyle w:val="Body"/>
              <w:jc w:val="left"/>
              <w:rPr>
                <w:rFonts w:ascii="Verdana" w:hAnsi="Verdana"/>
                <w:szCs w:val="20"/>
              </w:rPr>
            </w:pPr>
          </w:p>
        </w:tc>
        <w:tc>
          <w:tcPr>
            <w:tcW w:w="8181" w:type="dxa"/>
          </w:tcPr>
          <w:p w:rsidR="001570E0" w:rsidRPr="003B4E53" w:rsidRDefault="001570E0" w:rsidP="00455A3C">
            <w:pPr>
              <w:pStyle w:val="Body"/>
              <w:jc w:val="left"/>
              <w:rPr>
                <w:rFonts w:ascii="Verdana" w:hAnsi="Verdana"/>
                <w:szCs w:val="20"/>
              </w:rPr>
            </w:pPr>
          </w:p>
        </w:tc>
      </w:tr>
    </w:tbl>
    <w:p w:rsidR="001570E0" w:rsidRPr="003B4E53" w:rsidRDefault="001570E0" w:rsidP="001570E0">
      <w:pPr>
        <w:pStyle w:val="Body"/>
        <w:rPr>
          <w:rFonts w:ascii="Verdana" w:hAnsi="Verdana"/>
          <w:b/>
          <w:bCs/>
          <w:szCs w:val="20"/>
        </w:rPr>
      </w:pPr>
    </w:p>
    <w:p w:rsidR="001570E0" w:rsidRPr="003B4E53" w:rsidRDefault="001570E0" w:rsidP="001570E0">
      <w:pPr>
        <w:pStyle w:val="Body"/>
        <w:rPr>
          <w:rFonts w:ascii="Verdana" w:hAnsi="Verdana"/>
          <w:b/>
          <w:bCs/>
          <w:szCs w:val="20"/>
        </w:rPr>
      </w:pPr>
      <w:r w:rsidRPr="003B4E53">
        <w:rPr>
          <w:rFonts w:ascii="Verdana" w:hAnsi="Verdana"/>
          <w:b/>
          <w:bCs/>
          <w:szCs w:val="20"/>
        </w:rPr>
        <w:t>PART B: MEDIUM</w:t>
      </w:r>
      <w:r w:rsidR="00D52AC2">
        <w:rPr>
          <w:rFonts w:ascii="Verdana" w:hAnsi="Verdana"/>
          <w:b/>
          <w:bCs/>
          <w:szCs w:val="20"/>
        </w:rPr>
        <w:t xml:space="preserve"> IMPACT</w:t>
      </w:r>
      <w:r w:rsidRPr="003B4E53">
        <w:rPr>
          <w:rFonts w:ascii="Verdana" w:hAnsi="Verdana"/>
          <w:b/>
          <w:bCs/>
          <w:szCs w:val="20"/>
        </w:rPr>
        <w:t xml:space="preserve">: </w:t>
      </w:r>
      <w:r w:rsidRPr="00867E62">
        <w:rPr>
          <w:rFonts w:ascii="Verdana" w:hAnsi="Verdana"/>
          <w:bCs/>
          <w:szCs w:val="20"/>
        </w:rPr>
        <w:t>Commercial and/or legal impact which could affect the Tender Revenue Stream being bid at the ITT Stage but not in a material 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1786"/>
        <w:gridCol w:w="1836"/>
        <w:gridCol w:w="4542"/>
      </w:tblGrid>
      <w:tr w:rsidR="001570E0" w:rsidRPr="003B4E53" w:rsidTr="00DE0E0B">
        <w:tc>
          <w:tcPr>
            <w:tcW w:w="828" w:type="dxa"/>
            <w:shd w:val="clear" w:color="auto" w:fill="D9D9D9" w:themeFill="background1" w:themeFillShade="D9"/>
            <w:vAlign w:val="bottom"/>
          </w:tcPr>
          <w:p w:rsidR="001570E0" w:rsidRPr="003B4E53" w:rsidRDefault="001570E0" w:rsidP="00455A3C">
            <w:pPr>
              <w:pStyle w:val="Body"/>
              <w:jc w:val="left"/>
              <w:rPr>
                <w:rFonts w:ascii="Verdana" w:hAnsi="Verdana"/>
                <w:szCs w:val="20"/>
              </w:rPr>
            </w:pPr>
            <w:r w:rsidRPr="003B4E53">
              <w:rPr>
                <w:rFonts w:ascii="Verdana" w:hAnsi="Verdana"/>
                <w:b/>
                <w:bCs/>
                <w:szCs w:val="20"/>
              </w:rPr>
              <w:t>No</w:t>
            </w:r>
            <w:r w:rsidR="00791360">
              <w:rPr>
                <w:rFonts w:ascii="Verdana" w:hAnsi="Verdana"/>
                <w:b/>
                <w:bCs/>
                <w:szCs w:val="20"/>
              </w:rPr>
              <w:t>.</w:t>
            </w:r>
          </w:p>
        </w:tc>
        <w:tc>
          <w:tcPr>
            <w:tcW w:w="2520" w:type="dxa"/>
            <w:shd w:val="clear" w:color="auto" w:fill="D9D9D9" w:themeFill="background1" w:themeFillShade="D9"/>
            <w:vAlign w:val="bottom"/>
          </w:tcPr>
          <w:p w:rsidR="001570E0" w:rsidRPr="003B4E53" w:rsidRDefault="001570E0" w:rsidP="00455A3C">
            <w:pPr>
              <w:pStyle w:val="Body"/>
              <w:jc w:val="left"/>
              <w:rPr>
                <w:rFonts w:ascii="Verdana" w:hAnsi="Verdana"/>
                <w:b/>
                <w:bCs/>
                <w:szCs w:val="20"/>
              </w:rPr>
            </w:pPr>
            <w:r w:rsidRPr="003B4E53">
              <w:rPr>
                <w:rFonts w:ascii="Verdana" w:hAnsi="Verdana"/>
                <w:b/>
                <w:bCs/>
                <w:szCs w:val="20"/>
              </w:rPr>
              <w:t>Headline issue</w:t>
            </w:r>
          </w:p>
        </w:tc>
        <w:tc>
          <w:tcPr>
            <w:tcW w:w="2520" w:type="dxa"/>
            <w:shd w:val="clear" w:color="auto" w:fill="D9D9D9" w:themeFill="background1" w:themeFillShade="D9"/>
            <w:vAlign w:val="bottom"/>
          </w:tcPr>
          <w:p w:rsidR="001570E0" w:rsidRPr="003B4E53" w:rsidRDefault="001570E0" w:rsidP="00455A3C">
            <w:pPr>
              <w:pStyle w:val="Body"/>
              <w:jc w:val="left"/>
              <w:rPr>
                <w:rFonts w:ascii="Verdana" w:hAnsi="Verdana"/>
                <w:b/>
                <w:bCs/>
                <w:szCs w:val="20"/>
              </w:rPr>
            </w:pPr>
            <w:r w:rsidRPr="003B4E53">
              <w:rPr>
                <w:rFonts w:ascii="Verdana" w:hAnsi="Verdana"/>
                <w:b/>
                <w:bCs/>
                <w:szCs w:val="20"/>
              </w:rPr>
              <w:t>Relevant Clause(s)</w:t>
            </w:r>
          </w:p>
        </w:tc>
        <w:tc>
          <w:tcPr>
            <w:tcW w:w="8181" w:type="dxa"/>
            <w:shd w:val="clear" w:color="auto" w:fill="D9D9D9" w:themeFill="background1" w:themeFillShade="D9"/>
            <w:vAlign w:val="bottom"/>
          </w:tcPr>
          <w:p w:rsidR="001570E0" w:rsidRPr="003B4E53" w:rsidRDefault="001570E0" w:rsidP="00455A3C">
            <w:pPr>
              <w:pStyle w:val="Body"/>
              <w:jc w:val="left"/>
              <w:rPr>
                <w:rFonts w:ascii="Verdana" w:hAnsi="Verdana"/>
                <w:b/>
                <w:bCs/>
                <w:szCs w:val="20"/>
              </w:rPr>
            </w:pPr>
            <w:r w:rsidRPr="003B4E53">
              <w:rPr>
                <w:rFonts w:ascii="Verdana" w:hAnsi="Verdana"/>
                <w:b/>
                <w:bCs/>
                <w:szCs w:val="20"/>
              </w:rPr>
              <w:t>Commentary</w:t>
            </w:r>
          </w:p>
        </w:tc>
      </w:tr>
      <w:tr w:rsidR="001570E0" w:rsidRPr="003B4E53" w:rsidTr="00455A3C">
        <w:tc>
          <w:tcPr>
            <w:tcW w:w="828" w:type="dxa"/>
          </w:tcPr>
          <w:p w:rsidR="001570E0" w:rsidRPr="00791360" w:rsidRDefault="00791360" w:rsidP="00791360">
            <w:pPr>
              <w:pStyle w:val="Level1"/>
              <w:numPr>
                <w:ilvl w:val="0"/>
                <w:numId w:val="0"/>
              </w:numPr>
              <w:rPr>
                <w:rFonts w:ascii="Verdana" w:hAnsi="Verdana"/>
                <w:b/>
                <w:szCs w:val="20"/>
              </w:rPr>
            </w:pPr>
            <w:r w:rsidRPr="00791360">
              <w:rPr>
                <w:rFonts w:ascii="Verdana" w:hAnsi="Verdana"/>
                <w:b/>
                <w:szCs w:val="20"/>
              </w:rPr>
              <w:t>B.1</w:t>
            </w:r>
          </w:p>
        </w:tc>
        <w:tc>
          <w:tcPr>
            <w:tcW w:w="2520" w:type="dxa"/>
          </w:tcPr>
          <w:p w:rsidR="001570E0" w:rsidRDefault="001570E0" w:rsidP="00455A3C">
            <w:pPr>
              <w:pStyle w:val="Body"/>
              <w:jc w:val="left"/>
              <w:rPr>
                <w:rFonts w:ascii="Verdana" w:hAnsi="Verdana"/>
                <w:szCs w:val="20"/>
              </w:rPr>
            </w:pPr>
          </w:p>
          <w:p w:rsidR="00867E62" w:rsidRPr="003B4E53" w:rsidRDefault="00867E62" w:rsidP="00455A3C">
            <w:pPr>
              <w:pStyle w:val="Body"/>
              <w:jc w:val="left"/>
              <w:rPr>
                <w:rFonts w:ascii="Verdana" w:hAnsi="Verdana"/>
                <w:szCs w:val="20"/>
              </w:rPr>
            </w:pPr>
          </w:p>
        </w:tc>
        <w:tc>
          <w:tcPr>
            <w:tcW w:w="2520" w:type="dxa"/>
          </w:tcPr>
          <w:p w:rsidR="001570E0" w:rsidRPr="003B4E53" w:rsidRDefault="001570E0" w:rsidP="00455A3C">
            <w:pPr>
              <w:pStyle w:val="Body"/>
              <w:jc w:val="left"/>
              <w:rPr>
                <w:rFonts w:ascii="Verdana" w:hAnsi="Verdana"/>
                <w:szCs w:val="20"/>
              </w:rPr>
            </w:pPr>
          </w:p>
        </w:tc>
        <w:tc>
          <w:tcPr>
            <w:tcW w:w="8181" w:type="dxa"/>
          </w:tcPr>
          <w:p w:rsidR="001570E0" w:rsidRPr="003B4E53" w:rsidRDefault="001570E0" w:rsidP="00455A3C">
            <w:pPr>
              <w:pStyle w:val="Body"/>
              <w:jc w:val="left"/>
              <w:rPr>
                <w:rFonts w:ascii="Verdana" w:hAnsi="Verdana"/>
                <w:szCs w:val="20"/>
              </w:rPr>
            </w:pPr>
          </w:p>
        </w:tc>
      </w:tr>
    </w:tbl>
    <w:p w:rsidR="001570E0" w:rsidRPr="003B4E53" w:rsidRDefault="001570E0" w:rsidP="001570E0">
      <w:pPr>
        <w:pStyle w:val="Body"/>
        <w:rPr>
          <w:rFonts w:ascii="Verdana" w:hAnsi="Verdana"/>
          <w:szCs w:val="20"/>
        </w:rPr>
      </w:pPr>
    </w:p>
    <w:p w:rsidR="001570E0" w:rsidRPr="003B4E53" w:rsidRDefault="001570E0" w:rsidP="001570E0">
      <w:pPr>
        <w:pStyle w:val="Body"/>
        <w:rPr>
          <w:rFonts w:ascii="Verdana" w:hAnsi="Verdana"/>
          <w:b/>
          <w:bCs/>
          <w:szCs w:val="20"/>
        </w:rPr>
      </w:pPr>
      <w:r w:rsidRPr="003B4E53">
        <w:rPr>
          <w:rFonts w:ascii="Verdana" w:hAnsi="Verdana"/>
          <w:b/>
          <w:bCs/>
          <w:szCs w:val="20"/>
        </w:rPr>
        <w:t>PART C: LOW</w:t>
      </w:r>
      <w:r w:rsidR="00D52AC2">
        <w:rPr>
          <w:rFonts w:ascii="Verdana" w:hAnsi="Verdana"/>
          <w:b/>
          <w:bCs/>
          <w:szCs w:val="20"/>
        </w:rPr>
        <w:t xml:space="preserve"> IMPACT</w:t>
      </w:r>
      <w:r w:rsidRPr="003B4E53">
        <w:rPr>
          <w:rFonts w:ascii="Verdana" w:hAnsi="Verdana"/>
          <w:b/>
          <w:bCs/>
          <w:szCs w:val="20"/>
        </w:rPr>
        <w:t xml:space="preserve">: </w:t>
      </w:r>
      <w:r w:rsidRPr="00867E62">
        <w:rPr>
          <w:rFonts w:ascii="Verdana" w:hAnsi="Verdana"/>
          <w:bCs/>
          <w:szCs w:val="20"/>
        </w:rPr>
        <w:t>Amendments which you would expect which would neither affect the Tender Revenue Stream that you would bid at the ITT Stage, nor have a significant commercial impact, but which would make the transaction more desirable from your perspective.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1786"/>
        <w:gridCol w:w="1836"/>
        <w:gridCol w:w="4542"/>
      </w:tblGrid>
      <w:tr w:rsidR="001570E0" w:rsidRPr="003B4E53" w:rsidTr="00DE0E0B">
        <w:tc>
          <w:tcPr>
            <w:tcW w:w="828" w:type="dxa"/>
            <w:shd w:val="clear" w:color="auto" w:fill="D9D9D9" w:themeFill="background1" w:themeFillShade="D9"/>
            <w:vAlign w:val="bottom"/>
          </w:tcPr>
          <w:p w:rsidR="001570E0" w:rsidRPr="003B4E53" w:rsidRDefault="001570E0" w:rsidP="00455A3C">
            <w:pPr>
              <w:pStyle w:val="Body"/>
              <w:jc w:val="left"/>
              <w:rPr>
                <w:rFonts w:ascii="Verdana" w:hAnsi="Verdana"/>
                <w:szCs w:val="20"/>
              </w:rPr>
            </w:pPr>
            <w:r w:rsidRPr="003B4E53">
              <w:rPr>
                <w:rFonts w:ascii="Verdana" w:hAnsi="Verdana"/>
                <w:b/>
                <w:bCs/>
                <w:szCs w:val="20"/>
              </w:rPr>
              <w:t>No</w:t>
            </w:r>
            <w:r w:rsidR="00791360">
              <w:rPr>
                <w:rFonts w:ascii="Verdana" w:hAnsi="Verdana"/>
                <w:b/>
                <w:bCs/>
                <w:szCs w:val="20"/>
              </w:rPr>
              <w:t>.</w:t>
            </w:r>
          </w:p>
        </w:tc>
        <w:tc>
          <w:tcPr>
            <w:tcW w:w="2520" w:type="dxa"/>
            <w:shd w:val="clear" w:color="auto" w:fill="D9D9D9" w:themeFill="background1" w:themeFillShade="D9"/>
            <w:vAlign w:val="bottom"/>
          </w:tcPr>
          <w:p w:rsidR="001570E0" w:rsidRPr="003B4E53" w:rsidRDefault="001570E0" w:rsidP="00455A3C">
            <w:pPr>
              <w:pStyle w:val="Body"/>
              <w:jc w:val="left"/>
              <w:rPr>
                <w:rFonts w:ascii="Verdana" w:hAnsi="Verdana"/>
                <w:b/>
                <w:bCs/>
                <w:szCs w:val="20"/>
              </w:rPr>
            </w:pPr>
            <w:r w:rsidRPr="003B4E53">
              <w:rPr>
                <w:rFonts w:ascii="Verdana" w:hAnsi="Verdana"/>
                <w:b/>
                <w:bCs/>
                <w:szCs w:val="20"/>
              </w:rPr>
              <w:t>Headline issue</w:t>
            </w:r>
          </w:p>
        </w:tc>
        <w:tc>
          <w:tcPr>
            <w:tcW w:w="2520" w:type="dxa"/>
            <w:shd w:val="clear" w:color="auto" w:fill="D9D9D9" w:themeFill="background1" w:themeFillShade="D9"/>
            <w:vAlign w:val="bottom"/>
          </w:tcPr>
          <w:p w:rsidR="001570E0" w:rsidRPr="003B4E53" w:rsidRDefault="001570E0" w:rsidP="00455A3C">
            <w:pPr>
              <w:pStyle w:val="Body"/>
              <w:jc w:val="left"/>
              <w:rPr>
                <w:rFonts w:ascii="Verdana" w:hAnsi="Verdana"/>
                <w:b/>
                <w:bCs/>
                <w:szCs w:val="20"/>
              </w:rPr>
            </w:pPr>
            <w:r w:rsidRPr="003B4E53">
              <w:rPr>
                <w:rFonts w:ascii="Verdana" w:hAnsi="Verdana"/>
                <w:b/>
                <w:bCs/>
                <w:szCs w:val="20"/>
              </w:rPr>
              <w:t>Relevant Clause(s)</w:t>
            </w:r>
          </w:p>
        </w:tc>
        <w:tc>
          <w:tcPr>
            <w:tcW w:w="8181" w:type="dxa"/>
            <w:shd w:val="clear" w:color="auto" w:fill="D9D9D9" w:themeFill="background1" w:themeFillShade="D9"/>
            <w:vAlign w:val="bottom"/>
          </w:tcPr>
          <w:p w:rsidR="001570E0" w:rsidRPr="003B4E53" w:rsidRDefault="001570E0" w:rsidP="00455A3C">
            <w:pPr>
              <w:pStyle w:val="Body"/>
              <w:jc w:val="left"/>
              <w:rPr>
                <w:rFonts w:ascii="Verdana" w:hAnsi="Verdana"/>
                <w:b/>
                <w:bCs/>
                <w:szCs w:val="20"/>
              </w:rPr>
            </w:pPr>
            <w:r w:rsidRPr="003B4E53">
              <w:rPr>
                <w:rFonts w:ascii="Verdana" w:hAnsi="Verdana"/>
                <w:b/>
                <w:bCs/>
                <w:szCs w:val="20"/>
              </w:rPr>
              <w:t>Commentary</w:t>
            </w:r>
          </w:p>
        </w:tc>
      </w:tr>
      <w:tr w:rsidR="001570E0" w:rsidRPr="003B4E53" w:rsidTr="00455A3C">
        <w:tc>
          <w:tcPr>
            <w:tcW w:w="828" w:type="dxa"/>
          </w:tcPr>
          <w:p w:rsidR="001570E0" w:rsidRPr="003B4E53" w:rsidRDefault="001570E0" w:rsidP="00455A3C">
            <w:pPr>
              <w:pStyle w:val="Level1"/>
              <w:numPr>
                <w:ilvl w:val="0"/>
                <w:numId w:val="0"/>
              </w:numPr>
              <w:rPr>
                <w:rFonts w:ascii="Verdana" w:hAnsi="Verdana"/>
                <w:b/>
                <w:szCs w:val="20"/>
              </w:rPr>
            </w:pPr>
            <w:r w:rsidRPr="003B4E53">
              <w:rPr>
                <w:rFonts w:ascii="Verdana" w:hAnsi="Verdana"/>
                <w:b/>
                <w:szCs w:val="20"/>
              </w:rPr>
              <w:t>C.1</w:t>
            </w:r>
          </w:p>
        </w:tc>
        <w:tc>
          <w:tcPr>
            <w:tcW w:w="2520" w:type="dxa"/>
          </w:tcPr>
          <w:p w:rsidR="001570E0" w:rsidRDefault="001570E0" w:rsidP="00455A3C">
            <w:pPr>
              <w:pStyle w:val="Body"/>
              <w:jc w:val="left"/>
              <w:rPr>
                <w:rFonts w:ascii="Verdana" w:hAnsi="Verdana"/>
                <w:szCs w:val="20"/>
              </w:rPr>
            </w:pPr>
          </w:p>
          <w:p w:rsidR="00867E62" w:rsidRPr="003B4E53" w:rsidRDefault="00867E62" w:rsidP="00455A3C">
            <w:pPr>
              <w:pStyle w:val="Body"/>
              <w:jc w:val="left"/>
              <w:rPr>
                <w:rFonts w:ascii="Verdana" w:hAnsi="Verdana"/>
                <w:szCs w:val="20"/>
              </w:rPr>
            </w:pPr>
          </w:p>
        </w:tc>
        <w:tc>
          <w:tcPr>
            <w:tcW w:w="2520" w:type="dxa"/>
          </w:tcPr>
          <w:p w:rsidR="001570E0" w:rsidRPr="003B4E53" w:rsidRDefault="001570E0" w:rsidP="00455A3C">
            <w:pPr>
              <w:pStyle w:val="Body"/>
              <w:jc w:val="left"/>
              <w:rPr>
                <w:rFonts w:ascii="Verdana" w:hAnsi="Verdana"/>
                <w:szCs w:val="20"/>
              </w:rPr>
            </w:pPr>
          </w:p>
        </w:tc>
        <w:tc>
          <w:tcPr>
            <w:tcW w:w="8181" w:type="dxa"/>
          </w:tcPr>
          <w:p w:rsidR="001570E0" w:rsidRPr="003B4E53" w:rsidRDefault="001570E0" w:rsidP="00455A3C">
            <w:pPr>
              <w:pStyle w:val="Body"/>
              <w:jc w:val="left"/>
              <w:rPr>
                <w:rFonts w:ascii="Verdana" w:hAnsi="Verdana"/>
                <w:szCs w:val="20"/>
              </w:rPr>
            </w:pPr>
          </w:p>
        </w:tc>
      </w:tr>
    </w:tbl>
    <w:p w:rsidR="001570E0" w:rsidRPr="003B4E53" w:rsidRDefault="001570E0" w:rsidP="001570E0">
      <w:pPr>
        <w:pStyle w:val="Body"/>
        <w:rPr>
          <w:rFonts w:ascii="Verdana" w:hAnsi="Verdana"/>
          <w:szCs w:val="20"/>
        </w:rPr>
      </w:pPr>
    </w:p>
    <w:p w:rsidR="00F67441" w:rsidRDefault="00F67441">
      <w:pPr>
        <w:rPr>
          <w:sz w:val="28"/>
          <w:szCs w:val="28"/>
        </w:rPr>
      </w:pPr>
      <w:r>
        <w:br w:type="page"/>
      </w:r>
    </w:p>
    <w:p w:rsidR="00C20651" w:rsidRDefault="00F67441" w:rsidP="00383428">
      <w:pPr>
        <w:pStyle w:val="AppendixSection"/>
        <w:numPr>
          <w:ilvl w:val="0"/>
          <w:numId w:val="0"/>
        </w:numPr>
      </w:pPr>
      <w:bookmarkStart w:id="77" w:name="_Toc283819681"/>
      <w:r>
        <w:lastRenderedPageBreak/>
        <w:t>Appendix 2</w:t>
      </w:r>
      <w:r w:rsidR="00C20651">
        <w:t xml:space="preserve"> - </w:t>
      </w:r>
      <w:r w:rsidR="007F4BDA">
        <w:t xml:space="preserve">Template for responses to </w:t>
      </w:r>
      <w:r w:rsidR="007F4BDA" w:rsidRPr="004F62BF">
        <w:t>Section</w:t>
      </w:r>
      <w:r w:rsidR="00C20651" w:rsidRPr="004F62BF">
        <w:t xml:space="preserve"> </w:t>
      </w:r>
      <w:r w:rsidR="007F4BDA" w:rsidRPr="004F62BF">
        <w:t>3</w:t>
      </w:r>
      <w:r w:rsidR="007F4BDA">
        <w:t xml:space="preserve"> </w:t>
      </w:r>
      <w:r w:rsidR="00C20651" w:rsidRPr="00C20651">
        <w:t>of the QTT Questionnaire</w:t>
      </w:r>
      <w:bookmarkEnd w:id="77"/>
      <w:r w:rsidR="00C20651" w:rsidRPr="00C20651">
        <w:t xml:space="preserve"> </w:t>
      </w:r>
    </w:p>
    <w:p w:rsidR="00C20651" w:rsidRDefault="00C20651" w:rsidP="00C20651">
      <w:pPr>
        <w:contextualSpacing/>
        <w:rPr>
          <w:i/>
          <w:szCs w:val="20"/>
        </w:rPr>
      </w:pPr>
    </w:p>
    <w:p w:rsidR="00C20651" w:rsidRDefault="005B2CBF" w:rsidP="00C20651">
      <w:pPr>
        <w:contextualSpacing/>
        <w:rPr>
          <w:i/>
          <w:szCs w:val="20"/>
        </w:rPr>
      </w:pPr>
      <w:r w:rsidRPr="00C20651">
        <w:rPr>
          <w:i/>
          <w:szCs w:val="20"/>
        </w:rPr>
        <w:t>Refer</w:t>
      </w:r>
      <w:r w:rsidR="00C20651" w:rsidRPr="00C20651">
        <w:rPr>
          <w:i/>
          <w:szCs w:val="20"/>
        </w:rPr>
        <w:t xml:space="preserve"> to the Qualification to Tender Document for the full text to question</w:t>
      </w:r>
      <w:r w:rsidR="00C20651">
        <w:rPr>
          <w:i/>
          <w:szCs w:val="20"/>
        </w:rPr>
        <w:t xml:space="preserve">s </w:t>
      </w:r>
      <w:r w:rsidR="007F4BDA">
        <w:rPr>
          <w:i/>
          <w:szCs w:val="20"/>
        </w:rPr>
        <w:t xml:space="preserve">[3A], </w:t>
      </w:r>
      <w:r w:rsidR="00C20651">
        <w:rPr>
          <w:i/>
          <w:szCs w:val="20"/>
        </w:rPr>
        <w:t>[3B] and [3C]</w:t>
      </w:r>
      <w:r w:rsidR="00C20651" w:rsidRPr="00C20651">
        <w:rPr>
          <w:i/>
          <w:szCs w:val="20"/>
        </w:rPr>
        <w:t>.</w:t>
      </w:r>
    </w:p>
    <w:p w:rsidR="00383428" w:rsidRDefault="00383428" w:rsidP="00C20651">
      <w:pPr>
        <w:contextualSpacing/>
        <w:rPr>
          <w:i/>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2"/>
        <w:gridCol w:w="2370"/>
      </w:tblGrid>
      <w:tr w:rsidR="00383428" w:rsidRPr="00C20651" w:rsidTr="007F4BDA">
        <w:tc>
          <w:tcPr>
            <w:tcW w:w="3663" w:type="pct"/>
            <w:tcBorders>
              <w:right w:val="single" w:sz="4" w:space="0" w:color="auto"/>
            </w:tcBorders>
            <w:shd w:val="pct5" w:color="auto" w:fill="auto"/>
          </w:tcPr>
          <w:p w:rsidR="00383428" w:rsidRPr="00C20651" w:rsidRDefault="00383428" w:rsidP="001570E0">
            <w:pPr>
              <w:numPr>
                <w:ilvl w:val="0"/>
                <w:numId w:val="25"/>
              </w:numPr>
              <w:spacing w:before="120" w:after="120"/>
              <w:ind w:left="426" w:hanging="426"/>
              <w:rPr>
                <w:szCs w:val="20"/>
              </w:rPr>
            </w:pPr>
            <w:r w:rsidRPr="00C20651">
              <w:rPr>
                <w:szCs w:val="20"/>
              </w:rPr>
              <w:t xml:space="preserve">Please </w:t>
            </w:r>
            <w:r>
              <w:rPr>
                <w:szCs w:val="20"/>
              </w:rPr>
              <w:t>enter name of Qualifying Bidder or Bidder Group here:</w:t>
            </w:r>
          </w:p>
        </w:tc>
        <w:tc>
          <w:tcPr>
            <w:tcW w:w="1337" w:type="pct"/>
            <w:tcBorders>
              <w:top w:val="single" w:sz="4" w:space="0" w:color="auto"/>
              <w:left w:val="single" w:sz="4" w:space="0" w:color="auto"/>
              <w:bottom w:val="single" w:sz="4" w:space="0" w:color="auto"/>
            </w:tcBorders>
            <w:shd w:val="clear" w:color="000000" w:fill="auto"/>
          </w:tcPr>
          <w:p w:rsidR="00383428" w:rsidRPr="00C20651" w:rsidRDefault="00383428" w:rsidP="00BE69F6">
            <w:pPr>
              <w:spacing w:before="120" w:after="120"/>
              <w:rPr>
                <w:szCs w:val="20"/>
              </w:rPr>
            </w:pPr>
          </w:p>
        </w:tc>
      </w:tr>
    </w:tbl>
    <w:p w:rsidR="00383428" w:rsidRDefault="00383428" w:rsidP="00C20651">
      <w:pPr>
        <w:contextualSpacing/>
        <w:rPr>
          <w:i/>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2"/>
        <w:gridCol w:w="2370"/>
      </w:tblGrid>
      <w:tr w:rsidR="00383428" w:rsidRPr="00C20651" w:rsidTr="007F4BDA">
        <w:tc>
          <w:tcPr>
            <w:tcW w:w="3663" w:type="pct"/>
            <w:tcBorders>
              <w:right w:val="single" w:sz="4" w:space="0" w:color="auto"/>
            </w:tcBorders>
            <w:shd w:val="pct5" w:color="auto" w:fill="auto"/>
          </w:tcPr>
          <w:p w:rsidR="007F4BDA" w:rsidRPr="00BE69F6" w:rsidRDefault="00383428" w:rsidP="001570E0">
            <w:pPr>
              <w:numPr>
                <w:ilvl w:val="0"/>
                <w:numId w:val="25"/>
              </w:numPr>
              <w:spacing w:before="120" w:after="120"/>
              <w:ind w:left="426" w:hanging="426"/>
              <w:rPr>
                <w:szCs w:val="20"/>
              </w:rPr>
            </w:pPr>
            <w:r w:rsidRPr="00C20651">
              <w:rPr>
                <w:szCs w:val="20"/>
              </w:rPr>
              <w:t xml:space="preserve">Please </w:t>
            </w:r>
            <w:r>
              <w:rPr>
                <w:szCs w:val="20"/>
              </w:rPr>
              <w:t>enter name of Qualifying Project</w:t>
            </w:r>
            <w:r w:rsidRPr="00C20651">
              <w:rPr>
                <w:szCs w:val="20"/>
              </w:rPr>
              <w:t xml:space="preserve"> here:</w:t>
            </w:r>
          </w:p>
        </w:tc>
        <w:tc>
          <w:tcPr>
            <w:tcW w:w="1337" w:type="pct"/>
            <w:tcBorders>
              <w:top w:val="single" w:sz="4" w:space="0" w:color="auto"/>
              <w:left w:val="single" w:sz="4" w:space="0" w:color="auto"/>
              <w:bottom w:val="single" w:sz="4" w:space="0" w:color="auto"/>
            </w:tcBorders>
            <w:shd w:val="clear" w:color="000000" w:fill="auto"/>
          </w:tcPr>
          <w:p w:rsidR="00383428" w:rsidRPr="00C20651" w:rsidRDefault="00383428" w:rsidP="00BE69F6">
            <w:pPr>
              <w:spacing w:before="120" w:after="120"/>
              <w:rPr>
                <w:szCs w:val="20"/>
              </w:rPr>
            </w:pPr>
          </w:p>
        </w:tc>
      </w:tr>
    </w:tbl>
    <w:p w:rsidR="00C20651" w:rsidRPr="00C20651" w:rsidRDefault="00C20651" w:rsidP="00C20651">
      <w:pPr>
        <w:contextualSpacing/>
        <w:rPr>
          <w:i/>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2"/>
        <w:gridCol w:w="2370"/>
      </w:tblGrid>
      <w:tr w:rsidR="00C20651" w:rsidRPr="00C20651" w:rsidTr="00C20651">
        <w:tc>
          <w:tcPr>
            <w:tcW w:w="3663" w:type="pct"/>
            <w:tcBorders>
              <w:right w:val="single" w:sz="4" w:space="0" w:color="auto"/>
            </w:tcBorders>
            <w:shd w:val="pct5" w:color="auto" w:fill="auto"/>
          </w:tcPr>
          <w:p w:rsidR="00383428" w:rsidRPr="00BE69F6" w:rsidRDefault="00C20651" w:rsidP="001570E0">
            <w:pPr>
              <w:numPr>
                <w:ilvl w:val="0"/>
                <w:numId w:val="25"/>
              </w:numPr>
              <w:spacing w:before="120" w:after="120"/>
              <w:ind w:left="426" w:hanging="426"/>
              <w:rPr>
                <w:szCs w:val="20"/>
              </w:rPr>
            </w:pPr>
            <w:r w:rsidRPr="00C20651">
              <w:rPr>
                <w:szCs w:val="20"/>
              </w:rPr>
              <w:t>Please provide your desired Project IRR here</w:t>
            </w:r>
            <w:r w:rsidR="00BE69F6">
              <w:rPr>
                <w:szCs w:val="20"/>
              </w:rPr>
              <w:t xml:space="preserve"> (to two decimal places)</w:t>
            </w:r>
            <w:r w:rsidRPr="00C20651">
              <w:rPr>
                <w:szCs w:val="20"/>
              </w:rPr>
              <w:t>:</w:t>
            </w:r>
          </w:p>
        </w:tc>
        <w:tc>
          <w:tcPr>
            <w:tcW w:w="1337" w:type="pct"/>
            <w:tcBorders>
              <w:top w:val="single" w:sz="4" w:space="0" w:color="auto"/>
              <w:left w:val="single" w:sz="4" w:space="0" w:color="auto"/>
              <w:bottom w:val="single" w:sz="4" w:space="0" w:color="auto"/>
            </w:tcBorders>
            <w:shd w:val="clear" w:color="000000" w:fill="auto"/>
          </w:tcPr>
          <w:p w:rsidR="00C20651" w:rsidRPr="00C20651" w:rsidRDefault="00C20651" w:rsidP="00BE69F6">
            <w:pPr>
              <w:spacing w:before="120" w:after="120"/>
              <w:rPr>
                <w:szCs w:val="20"/>
              </w:rPr>
            </w:pPr>
          </w:p>
        </w:tc>
      </w:tr>
    </w:tbl>
    <w:p w:rsidR="00C20651" w:rsidRPr="00C20651" w:rsidRDefault="00C20651" w:rsidP="00C20651">
      <w:pPr>
        <w:contextualSpacing/>
        <w:rPr>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2"/>
        <w:gridCol w:w="2370"/>
      </w:tblGrid>
      <w:tr w:rsidR="00C20651" w:rsidRPr="00C20651" w:rsidTr="00C20651">
        <w:trPr>
          <w:trHeight w:val="994"/>
        </w:trPr>
        <w:tc>
          <w:tcPr>
            <w:tcW w:w="3663" w:type="pct"/>
            <w:shd w:val="pct5" w:color="auto" w:fill="auto"/>
          </w:tcPr>
          <w:p w:rsidR="00C20651" w:rsidRPr="00C20651" w:rsidRDefault="00C20651" w:rsidP="001570E0">
            <w:pPr>
              <w:numPr>
                <w:ilvl w:val="0"/>
                <w:numId w:val="25"/>
              </w:numPr>
              <w:spacing w:before="120" w:after="120"/>
              <w:ind w:left="426" w:hanging="426"/>
              <w:rPr>
                <w:szCs w:val="20"/>
              </w:rPr>
            </w:pPr>
            <w:r w:rsidRPr="00C20651">
              <w:rPr>
                <w:szCs w:val="20"/>
              </w:rPr>
              <w:t>Please provide your indicative annual Tender Revenue Stream here:</w:t>
            </w:r>
            <w:r w:rsidRPr="00C20651">
              <w:rPr>
                <w:i/>
                <w:szCs w:val="20"/>
              </w:rPr>
              <w:t xml:space="preserve"> </w:t>
            </w:r>
            <w:r w:rsidR="007F4BDA">
              <w:rPr>
                <w:i/>
                <w:szCs w:val="20"/>
              </w:rPr>
              <w:br/>
            </w:r>
            <w:r>
              <w:rPr>
                <w:i/>
                <w:szCs w:val="20"/>
              </w:rPr>
              <w:t>(t</w:t>
            </w:r>
            <w:r w:rsidRPr="00C20651">
              <w:rPr>
                <w:i/>
                <w:szCs w:val="20"/>
              </w:rPr>
              <w:t>he figure provided should then be carried over to the last box of the ‘value’ column</w:t>
            </w:r>
            <w:r w:rsidR="00BE69F6">
              <w:rPr>
                <w:i/>
                <w:szCs w:val="20"/>
              </w:rPr>
              <w:t xml:space="preserve"> below</w:t>
            </w:r>
            <w:r w:rsidRPr="00C20651">
              <w:rPr>
                <w:i/>
                <w:szCs w:val="20"/>
              </w:rPr>
              <w:t xml:space="preserve"> – </w:t>
            </w:r>
            <w:r w:rsidRPr="00C20651">
              <w:rPr>
                <w:b/>
                <w:i/>
                <w:szCs w:val="20"/>
                <w:u w:val="single"/>
              </w:rPr>
              <w:t>highlighted in green</w:t>
            </w:r>
            <w:r w:rsidRPr="00C20651">
              <w:rPr>
                <w:i/>
                <w:szCs w:val="20"/>
              </w:rPr>
              <w:t>).</w:t>
            </w:r>
          </w:p>
        </w:tc>
        <w:tc>
          <w:tcPr>
            <w:tcW w:w="1337" w:type="pct"/>
            <w:shd w:val="clear" w:color="auto" w:fill="auto"/>
          </w:tcPr>
          <w:p w:rsidR="00C20651" w:rsidRPr="00C20651" w:rsidRDefault="00C20651" w:rsidP="00BE69F6">
            <w:pPr>
              <w:spacing w:before="120" w:after="120"/>
              <w:rPr>
                <w:szCs w:val="20"/>
              </w:rPr>
            </w:pPr>
          </w:p>
        </w:tc>
      </w:tr>
    </w:tbl>
    <w:p w:rsidR="00C20651" w:rsidRPr="00C20651" w:rsidRDefault="00C20651" w:rsidP="00C20651">
      <w:pPr>
        <w:contextualSpacing/>
        <w:rPr>
          <w:szCs w:val="20"/>
        </w:rPr>
      </w:pPr>
    </w:p>
    <w:tbl>
      <w:tblPr>
        <w:tblW w:w="5000" w:type="pct"/>
        <w:tblLook w:val="04A0"/>
      </w:tblPr>
      <w:tblGrid>
        <w:gridCol w:w="8862"/>
      </w:tblGrid>
      <w:tr w:rsidR="00C20651" w:rsidRPr="00C20651" w:rsidTr="00C20651">
        <w:trPr>
          <w:trHeight w:val="510"/>
        </w:trPr>
        <w:tc>
          <w:tcPr>
            <w:tcW w:w="5000"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20651" w:rsidRPr="007F4BDA" w:rsidRDefault="00C20651" w:rsidP="001570E0">
            <w:pPr>
              <w:pStyle w:val="ListParagraph"/>
              <w:numPr>
                <w:ilvl w:val="0"/>
                <w:numId w:val="25"/>
              </w:numPr>
              <w:spacing w:before="120" w:after="120"/>
              <w:ind w:left="425" w:hanging="425"/>
              <w:contextualSpacing w:val="0"/>
              <w:rPr>
                <w:bCs/>
                <w:color w:val="000000"/>
                <w:szCs w:val="20"/>
                <w:lang w:eastAsia="en-GB"/>
              </w:rPr>
            </w:pPr>
            <w:r w:rsidRPr="007F4BDA">
              <w:rPr>
                <w:bCs/>
                <w:color w:val="000000"/>
                <w:szCs w:val="20"/>
                <w:lang w:eastAsia="en-GB"/>
              </w:rPr>
              <w:t>Identify the specific assumptions used in deriving the indicative annual Tender Revenue Stream in the section below:</w:t>
            </w:r>
          </w:p>
        </w:tc>
      </w:tr>
    </w:tbl>
    <w:p w:rsidR="00C20651" w:rsidRPr="00C20651" w:rsidRDefault="00C20651" w:rsidP="00C20651">
      <w:pPr>
        <w:contextualSpacing/>
        <w:rPr>
          <w:szCs w:val="20"/>
        </w:rPr>
      </w:pPr>
    </w:p>
    <w:tbl>
      <w:tblPr>
        <w:tblW w:w="5000" w:type="pct"/>
        <w:tblLook w:val="04A0"/>
      </w:tblPr>
      <w:tblGrid>
        <w:gridCol w:w="471"/>
        <w:gridCol w:w="4721"/>
        <w:gridCol w:w="1330"/>
        <w:gridCol w:w="2340"/>
      </w:tblGrid>
      <w:tr w:rsidR="00C20651" w:rsidRPr="00C20651" w:rsidTr="00C20651">
        <w:trPr>
          <w:trHeight w:val="510"/>
        </w:trPr>
        <w:tc>
          <w:tcPr>
            <w:tcW w:w="236"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20651" w:rsidRPr="00C20651" w:rsidRDefault="00C20651" w:rsidP="00BE69F6">
            <w:pPr>
              <w:spacing w:before="120" w:after="120"/>
              <w:rPr>
                <w:b/>
                <w:bCs/>
                <w:color w:val="000000"/>
                <w:szCs w:val="20"/>
                <w:lang w:eastAsia="en-GB"/>
              </w:rPr>
            </w:pPr>
          </w:p>
        </w:tc>
        <w:tc>
          <w:tcPr>
            <w:tcW w:w="2674" w:type="pct"/>
            <w:tcBorders>
              <w:top w:val="single" w:sz="4" w:space="0" w:color="auto"/>
              <w:left w:val="nil"/>
              <w:bottom w:val="single" w:sz="4" w:space="0" w:color="auto"/>
              <w:right w:val="single" w:sz="4" w:space="0" w:color="auto"/>
            </w:tcBorders>
            <w:shd w:val="clear" w:color="000000" w:fill="F2F2F2"/>
            <w:vAlign w:val="center"/>
            <w:hideMark/>
          </w:tcPr>
          <w:p w:rsidR="00C20651" w:rsidRPr="00C20651" w:rsidRDefault="00C20651" w:rsidP="00BE69F6">
            <w:pPr>
              <w:spacing w:before="120" w:after="120"/>
              <w:rPr>
                <w:b/>
                <w:bCs/>
                <w:color w:val="000000"/>
                <w:szCs w:val="20"/>
                <w:lang w:eastAsia="en-GB"/>
              </w:rPr>
            </w:pPr>
            <w:r w:rsidRPr="00C20651">
              <w:rPr>
                <w:b/>
                <w:bCs/>
                <w:color w:val="000000"/>
                <w:szCs w:val="20"/>
                <w:lang w:eastAsia="en-GB"/>
              </w:rPr>
              <w:t>Item</w:t>
            </w:r>
          </w:p>
        </w:tc>
        <w:tc>
          <w:tcPr>
            <w:tcW w:w="760" w:type="pct"/>
            <w:tcBorders>
              <w:top w:val="single" w:sz="4" w:space="0" w:color="auto"/>
              <w:left w:val="nil"/>
              <w:bottom w:val="single" w:sz="4" w:space="0" w:color="auto"/>
              <w:right w:val="single" w:sz="4" w:space="0" w:color="auto"/>
            </w:tcBorders>
            <w:shd w:val="clear" w:color="000000" w:fill="F2F2F2"/>
            <w:vAlign w:val="center"/>
            <w:hideMark/>
          </w:tcPr>
          <w:p w:rsidR="00C20651" w:rsidRPr="00C20651" w:rsidRDefault="00C20651" w:rsidP="00BE69F6">
            <w:pPr>
              <w:spacing w:before="120" w:after="120"/>
              <w:jc w:val="center"/>
              <w:rPr>
                <w:b/>
                <w:bCs/>
                <w:color w:val="000000"/>
                <w:szCs w:val="20"/>
                <w:lang w:eastAsia="en-GB"/>
              </w:rPr>
            </w:pPr>
            <w:r w:rsidRPr="00C20651">
              <w:rPr>
                <w:b/>
                <w:bCs/>
                <w:color w:val="000000"/>
                <w:szCs w:val="20"/>
                <w:lang w:eastAsia="en-GB"/>
              </w:rPr>
              <w:t>Value</w:t>
            </w:r>
          </w:p>
        </w:tc>
        <w:tc>
          <w:tcPr>
            <w:tcW w:w="1330" w:type="pct"/>
            <w:tcBorders>
              <w:top w:val="single" w:sz="4" w:space="0" w:color="auto"/>
              <w:left w:val="nil"/>
              <w:bottom w:val="single" w:sz="4" w:space="0" w:color="auto"/>
              <w:right w:val="single" w:sz="4" w:space="0" w:color="auto"/>
            </w:tcBorders>
            <w:shd w:val="clear" w:color="000000" w:fill="F2F2F2"/>
            <w:vAlign w:val="center"/>
            <w:hideMark/>
          </w:tcPr>
          <w:p w:rsidR="00C20651" w:rsidRPr="00C20651" w:rsidRDefault="00C20651" w:rsidP="00BE69F6">
            <w:pPr>
              <w:spacing w:before="120" w:after="120"/>
              <w:jc w:val="center"/>
              <w:rPr>
                <w:b/>
                <w:bCs/>
                <w:color w:val="000000"/>
                <w:szCs w:val="20"/>
                <w:lang w:eastAsia="en-GB"/>
              </w:rPr>
            </w:pPr>
            <w:r w:rsidRPr="00C20651">
              <w:rPr>
                <w:b/>
                <w:bCs/>
                <w:color w:val="000000"/>
                <w:szCs w:val="20"/>
                <w:lang w:eastAsia="en-GB"/>
              </w:rPr>
              <w:t>% of Tender Revenue Stream</w:t>
            </w:r>
          </w:p>
        </w:tc>
      </w:tr>
      <w:tr w:rsidR="00C20651" w:rsidRPr="00C20651" w:rsidTr="00C20651">
        <w:trPr>
          <w:trHeight w:val="24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r w:rsidRPr="00C20651">
              <w:rPr>
                <w:color w:val="000000"/>
                <w:szCs w:val="20"/>
                <w:lang w:eastAsia="en-GB"/>
              </w:rPr>
              <w:t>1</w:t>
            </w:r>
          </w:p>
        </w:tc>
        <w:tc>
          <w:tcPr>
            <w:tcW w:w="2674"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pStyle w:val="BodyText"/>
              <w:spacing w:before="120" w:after="120"/>
              <w:jc w:val="left"/>
              <w:rPr>
                <w:rFonts w:ascii="Verdana" w:hAnsi="Verdana"/>
                <w:sz w:val="20"/>
              </w:rPr>
            </w:pPr>
            <w:r w:rsidRPr="00C20651">
              <w:rPr>
                <w:rFonts w:ascii="Verdana" w:hAnsi="Verdana"/>
                <w:sz w:val="20"/>
              </w:rPr>
              <w:t>Operating and maintenance costs</w:t>
            </w:r>
          </w:p>
        </w:tc>
        <w:tc>
          <w:tcPr>
            <w:tcW w:w="76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c>
          <w:tcPr>
            <w:tcW w:w="133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r>
      <w:tr w:rsidR="00C20651" w:rsidRPr="00C20651" w:rsidTr="00C20651">
        <w:trPr>
          <w:trHeight w:val="130"/>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r w:rsidRPr="00C20651">
              <w:rPr>
                <w:color w:val="000000"/>
                <w:szCs w:val="20"/>
                <w:lang w:eastAsia="en-GB"/>
              </w:rPr>
              <w:t>2</w:t>
            </w:r>
          </w:p>
        </w:tc>
        <w:tc>
          <w:tcPr>
            <w:tcW w:w="2674"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rPr>
                <w:color w:val="000000"/>
                <w:szCs w:val="20"/>
                <w:lang w:eastAsia="en-GB"/>
              </w:rPr>
            </w:pPr>
            <w:r w:rsidRPr="00C20651">
              <w:rPr>
                <w:color w:val="000000"/>
                <w:szCs w:val="20"/>
                <w:lang w:eastAsia="en-GB"/>
              </w:rPr>
              <w:t>Insurance</w:t>
            </w:r>
          </w:p>
        </w:tc>
        <w:tc>
          <w:tcPr>
            <w:tcW w:w="76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c>
          <w:tcPr>
            <w:tcW w:w="133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r>
      <w:tr w:rsidR="00C20651" w:rsidRPr="00C20651" w:rsidTr="00C20651">
        <w:trPr>
          <w:trHeight w:val="271"/>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r w:rsidRPr="00C20651">
              <w:rPr>
                <w:color w:val="000000"/>
                <w:szCs w:val="20"/>
                <w:lang w:eastAsia="en-GB"/>
              </w:rPr>
              <w:t>3</w:t>
            </w:r>
          </w:p>
        </w:tc>
        <w:tc>
          <w:tcPr>
            <w:tcW w:w="2674"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pStyle w:val="BodyText"/>
              <w:spacing w:before="120" w:after="120"/>
              <w:jc w:val="left"/>
              <w:rPr>
                <w:rFonts w:ascii="Verdana" w:hAnsi="Verdana"/>
                <w:sz w:val="20"/>
              </w:rPr>
            </w:pPr>
            <w:r w:rsidRPr="00C20651">
              <w:rPr>
                <w:rFonts w:ascii="Verdana" w:hAnsi="Verdana"/>
                <w:sz w:val="20"/>
              </w:rPr>
              <w:t>Decommissioning costs</w:t>
            </w:r>
          </w:p>
        </w:tc>
        <w:tc>
          <w:tcPr>
            <w:tcW w:w="76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c>
          <w:tcPr>
            <w:tcW w:w="133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r>
      <w:tr w:rsidR="00C20651" w:rsidRPr="00C20651" w:rsidTr="00C20651">
        <w:trPr>
          <w:trHeight w:val="64"/>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r w:rsidRPr="00C20651">
              <w:rPr>
                <w:color w:val="000000"/>
                <w:szCs w:val="20"/>
                <w:lang w:eastAsia="en-GB"/>
              </w:rPr>
              <w:t>4</w:t>
            </w:r>
          </w:p>
        </w:tc>
        <w:tc>
          <w:tcPr>
            <w:tcW w:w="2674"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921D60">
            <w:pPr>
              <w:spacing w:before="120" w:after="120"/>
              <w:rPr>
                <w:color w:val="000000"/>
                <w:szCs w:val="20"/>
                <w:lang w:eastAsia="en-GB"/>
              </w:rPr>
            </w:pPr>
            <w:r w:rsidRPr="00C20651">
              <w:rPr>
                <w:szCs w:val="20"/>
              </w:rPr>
              <w:t xml:space="preserve">Operational performance security package for the last five years of the project (in accordance with </w:t>
            </w:r>
            <w:r w:rsidR="00921D60">
              <w:rPr>
                <w:szCs w:val="20"/>
              </w:rPr>
              <w:t>part B of Amended Standard Condition E12-J4</w:t>
            </w:r>
            <w:r w:rsidRPr="00C20651">
              <w:rPr>
                <w:szCs w:val="20"/>
              </w:rPr>
              <w:t>)</w:t>
            </w:r>
          </w:p>
        </w:tc>
        <w:tc>
          <w:tcPr>
            <w:tcW w:w="76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c>
          <w:tcPr>
            <w:tcW w:w="133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r>
      <w:tr w:rsidR="00C20651" w:rsidRPr="00C20651" w:rsidTr="00C20651">
        <w:trPr>
          <w:trHeight w:val="183"/>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r w:rsidRPr="00C20651">
              <w:rPr>
                <w:color w:val="000000"/>
                <w:szCs w:val="20"/>
                <w:lang w:eastAsia="en-GB"/>
              </w:rPr>
              <w:t>5</w:t>
            </w:r>
          </w:p>
        </w:tc>
        <w:tc>
          <w:tcPr>
            <w:tcW w:w="2674"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3659C8">
            <w:pPr>
              <w:spacing w:before="120" w:after="120"/>
              <w:rPr>
                <w:color w:val="000000"/>
                <w:szCs w:val="20"/>
                <w:lang w:eastAsia="en-GB"/>
              </w:rPr>
            </w:pPr>
            <w:r w:rsidRPr="00C20651">
              <w:rPr>
                <w:color w:val="000000"/>
                <w:szCs w:val="20"/>
                <w:lang w:eastAsia="en-GB"/>
              </w:rPr>
              <w:t>Corporation tax</w:t>
            </w:r>
            <w:r w:rsidR="007F4BDA">
              <w:rPr>
                <w:color w:val="000000"/>
                <w:szCs w:val="20"/>
                <w:lang w:eastAsia="en-GB"/>
              </w:rPr>
              <w:t xml:space="preserve">, </w:t>
            </w:r>
            <w:r w:rsidR="007F4BDA" w:rsidRPr="003659C8">
              <w:rPr>
                <w:color w:val="000000"/>
                <w:szCs w:val="20"/>
                <w:lang w:eastAsia="en-GB"/>
              </w:rPr>
              <w:t>VAT and stamp duty land tax (SDLT)</w:t>
            </w:r>
          </w:p>
        </w:tc>
        <w:tc>
          <w:tcPr>
            <w:tcW w:w="76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c>
          <w:tcPr>
            <w:tcW w:w="133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r>
      <w:tr w:rsidR="00C20651" w:rsidRPr="00C20651" w:rsidTr="00C20651">
        <w:trPr>
          <w:trHeight w:val="64"/>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r w:rsidRPr="00C20651">
              <w:rPr>
                <w:color w:val="000000"/>
                <w:szCs w:val="20"/>
                <w:lang w:eastAsia="en-GB"/>
              </w:rPr>
              <w:t>6</w:t>
            </w:r>
          </w:p>
        </w:tc>
        <w:tc>
          <w:tcPr>
            <w:tcW w:w="2674"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rPr>
                <w:color w:val="000000"/>
                <w:szCs w:val="20"/>
                <w:lang w:eastAsia="en-GB"/>
              </w:rPr>
            </w:pPr>
            <w:r w:rsidRPr="00C20651">
              <w:rPr>
                <w:color w:val="000000"/>
                <w:szCs w:val="20"/>
                <w:lang w:eastAsia="en-GB"/>
              </w:rPr>
              <w:t>SPV and/or management costs</w:t>
            </w:r>
          </w:p>
        </w:tc>
        <w:tc>
          <w:tcPr>
            <w:tcW w:w="76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c>
          <w:tcPr>
            <w:tcW w:w="133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r>
      <w:tr w:rsidR="00C20651" w:rsidRPr="00C20651" w:rsidTr="00C20651">
        <w:trPr>
          <w:trHeight w:val="77"/>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r w:rsidRPr="00C20651">
              <w:rPr>
                <w:color w:val="000000"/>
                <w:szCs w:val="20"/>
                <w:lang w:eastAsia="en-GB"/>
              </w:rPr>
              <w:t>7</w:t>
            </w:r>
          </w:p>
        </w:tc>
        <w:tc>
          <w:tcPr>
            <w:tcW w:w="2674"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rPr>
                <w:color w:val="000000"/>
                <w:szCs w:val="20"/>
                <w:lang w:eastAsia="en-GB"/>
              </w:rPr>
            </w:pPr>
            <w:r w:rsidRPr="00C20651">
              <w:rPr>
                <w:color w:val="000000"/>
                <w:szCs w:val="20"/>
                <w:lang w:eastAsia="en-GB"/>
              </w:rPr>
              <w:t>Bid cost recoveries and/or development fees</w:t>
            </w:r>
          </w:p>
        </w:tc>
        <w:tc>
          <w:tcPr>
            <w:tcW w:w="76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c>
          <w:tcPr>
            <w:tcW w:w="133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r>
      <w:tr w:rsidR="00C20651" w:rsidRPr="00C20651" w:rsidTr="00C20651">
        <w:trPr>
          <w:trHeight w:val="64"/>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r w:rsidRPr="00C20651">
              <w:rPr>
                <w:color w:val="000000"/>
                <w:szCs w:val="20"/>
                <w:lang w:eastAsia="en-GB"/>
              </w:rPr>
              <w:lastRenderedPageBreak/>
              <w:t>8</w:t>
            </w:r>
          </w:p>
        </w:tc>
        <w:tc>
          <w:tcPr>
            <w:tcW w:w="2674"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rPr>
                <w:color w:val="000000"/>
                <w:szCs w:val="20"/>
                <w:lang w:eastAsia="en-GB"/>
              </w:rPr>
            </w:pPr>
            <w:r w:rsidRPr="00C20651">
              <w:rPr>
                <w:szCs w:val="20"/>
              </w:rPr>
              <w:t>Other income items, including any potential unregulated revenue and termina</w:t>
            </w:r>
            <w:r w:rsidR="00921D60">
              <w:rPr>
                <w:szCs w:val="20"/>
              </w:rPr>
              <w:t>l values (to be expressed as a ‘negative cost’</w:t>
            </w:r>
            <w:r w:rsidRPr="00C20651">
              <w:rPr>
                <w:szCs w:val="20"/>
              </w:rPr>
              <w:t>)</w:t>
            </w:r>
          </w:p>
        </w:tc>
        <w:tc>
          <w:tcPr>
            <w:tcW w:w="76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c>
          <w:tcPr>
            <w:tcW w:w="133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r>
      <w:tr w:rsidR="00C20651" w:rsidRPr="00C20651" w:rsidTr="00C20651">
        <w:trPr>
          <w:trHeight w:val="64"/>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r w:rsidRPr="00C20651">
              <w:rPr>
                <w:color w:val="000000"/>
                <w:szCs w:val="20"/>
                <w:lang w:eastAsia="en-GB"/>
              </w:rPr>
              <w:t>9</w:t>
            </w:r>
          </w:p>
        </w:tc>
        <w:tc>
          <w:tcPr>
            <w:tcW w:w="2674"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rPr>
                <w:color w:val="000000"/>
                <w:szCs w:val="20"/>
                <w:lang w:eastAsia="en-GB"/>
              </w:rPr>
            </w:pPr>
            <w:r w:rsidRPr="00C20651">
              <w:rPr>
                <w:szCs w:val="20"/>
              </w:rPr>
              <w:t>Cost of Equity Finance, Corporate Finance and Debt Finance service costs including all interest payments and fees (to reflect the Financing Strategy set out in your response to Section 4)</w:t>
            </w:r>
          </w:p>
        </w:tc>
        <w:tc>
          <w:tcPr>
            <w:tcW w:w="76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c>
          <w:tcPr>
            <w:tcW w:w="133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r>
      <w:tr w:rsidR="00C20651" w:rsidRPr="00C20651" w:rsidTr="00C20651">
        <w:trPr>
          <w:trHeight w:val="64"/>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r w:rsidRPr="00C20651">
              <w:rPr>
                <w:color w:val="000000"/>
                <w:szCs w:val="20"/>
                <w:lang w:eastAsia="en-GB"/>
              </w:rPr>
              <w:t>10</w:t>
            </w:r>
          </w:p>
        </w:tc>
        <w:tc>
          <w:tcPr>
            <w:tcW w:w="2674"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rPr>
                <w:color w:val="000000"/>
                <w:szCs w:val="20"/>
                <w:lang w:eastAsia="en-GB"/>
              </w:rPr>
            </w:pPr>
            <w:r w:rsidRPr="00C20651">
              <w:rPr>
                <w:color w:val="000000"/>
                <w:szCs w:val="20"/>
                <w:lang w:eastAsia="en-GB"/>
              </w:rPr>
              <w:t>An</w:t>
            </w:r>
            <w:r w:rsidR="007F4BDA">
              <w:rPr>
                <w:color w:val="000000"/>
                <w:szCs w:val="20"/>
                <w:lang w:eastAsia="en-GB"/>
              </w:rPr>
              <w:t>y other relevant foreseen costs</w:t>
            </w:r>
          </w:p>
        </w:tc>
        <w:tc>
          <w:tcPr>
            <w:tcW w:w="760" w:type="pct"/>
            <w:tcBorders>
              <w:top w:val="nil"/>
              <w:left w:val="nil"/>
              <w:bottom w:val="single" w:sz="4" w:space="0" w:color="auto"/>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c>
          <w:tcPr>
            <w:tcW w:w="1330" w:type="pct"/>
            <w:tcBorders>
              <w:top w:val="nil"/>
              <w:left w:val="nil"/>
              <w:bottom w:val="single" w:sz="4" w:space="0" w:color="000000"/>
              <w:right w:val="single" w:sz="4" w:space="0" w:color="auto"/>
            </w:tcBorders>
            <w:shd w:val="clear" w:color="auto" w:fill="auto"/>
            <w:vAlign w:val="center"/>
            <w:hideMark/>
          </w:tcPr>
          <w:p w:rsidR="00C20651" w:rsidRPr="00C20651" w:rsidRDefault="00C20651" w:rsidP="00BE69F6">
            <w:pPr>
              <w:spacing w:before="120" w:after="120"/>
              <w:jc w:val="center"/>
              <w:rPr>
                <w:color w:val="000000"/>
                <w:szCs w:val="20"/>
                <w:lang w:eastAsia="en-GB"/>
              </w:rPr>
            </w:pPr>
          </w:p>
        </w:tc>
      </w:tr>
      <w:tr w:rsidR="00C20651" w:rsidRPr="00C20651" w:rsidTr="00C20651">
        <w:trPr>
          <w:trHeight w:val="64"/>
        </w:trPr>
        <w:tc>
          <w:tcPr>
            <w:tcW w:w="236"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C20651" w:rsidRPr="00C20651" w:rsidRDefault="00C20651" w:rsidP="00BE69F6">
            <w:pPr>
              <w:spacing w:before="120" w:after="120"/>
              <w:rPr>
                <w:b/>
                <w:bCs/>
                <w:color w:val="000000"/>
                <w:szCs w:val="20"/>
                <w:lang w:eastAsia="en-GB"/>
              </w:rPr>
            </w:pPr>
          </w:p>
        </w:tc>
        <w:tc>
          <w:tcPr>
            <w:tcW w:w="2674" w:type="pct"/>
            <w:tcBorders>
              <w:top w:val="single" w:sz="4" w:space="0" w:color="auto"/>
              <w:left w:val="nil"/>
              <w:bottom w:val="single" w:sz="4" w:space="0" w:color="auto"/>
              <w:right w:val="single" w:sz="4" w:space="0" w:color="auto"/>
            </w:tcBorders>
            <w:shd w:val="clear" w:color="000000" w:fill="auto"/>
            <w:vAlign w:val="center"/>
            <w:hideMark/>
          </w:tcPr>
          <w:p w:rsidR="00C20651" w:rsidRPr="00C20651" w:rsidRDefault="00C20651" w:rsidP="00BE69F6">
            <w:pPr>
              <w:spacing w:before="120" w:after="120"/>
              <w:jc w:val="right"/>
              <w:rPr>
                <w:b/>
                <w:bCs/>
                <w:color w:val="000000"/>
                <w:szCs w:val="20"/>
                <w:lang w:eastAsia="en-GB"/>
              </w:rPr>
            </w:pPr>
            <w:r w:rsidRPr="00C20651">
              <w:rPr>
                <w:b/>
                <w:bCs/>
                <w:color w:val="000000"/>
                <w:szCs w:val="20"/>
                <w:lang w:eastAsia="en-GB"/>
              </w:rPr>
              <w:t>Total</w:t>
            </w:r>
          </w:p>
        </w:tc>
        <w:tc>
          <w:tcPr>
            <w:tcW w:w="760" w:type="pct"/>
            <w:tcBorders>
              <w:top w:val="single" w:sz="4" w:space="0" w:color="auto"/>
              <w:left w:val="nil"/>
              <w:bottom w:val="single" w:sz="4" w:space="0" w:color="auto"/>
              <w:right w:val="single" w:sz="4" w:space="0" w:color="000000"/>
            </w:tcBorders>
            <w:shd w:val="clear" w:color="000000" w:fill="C2D69B"/>
            <w:vAlign w:val="center"/>
            <w:hideMark/>
          </w:tcPr>
          <w:p w:rsidR="00C20651" w:rsidRPr="00C20651" w:rsidRDefault="00C20651" w:rsidP="00BE69F6">
            <w:pPr>
              <w:spacing w:before="120" w:after="120"/>
              <w:jc w:val="center"/>
              <w:rPr>
                <w:b/>
                <w:bCs/>
                <w:color w:val="000000"/>
                <w:szCs w:val="20"/>
                <w:lang w:eastAsia="en-GB"/>
              </w:rPr>
            </w:pPr>
          </w:p>
        </w:tc>
        <w:tc>
          <w:tcPr>
            <w:tcW w:w="13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0651" w:rsidRPr="00C20651" w:rsidRDefault="00C20651" w:rsidP="00BE69F6">
            <w:pPr>
              <w:spacing w:before="120" w:after="120"/>
              <w:jc w:val="center"/>
              <w:rPr>
                <w:b/>
                <w:bCs/>
                <w:color w:val="000000"/>
                <w:szCs w:val="20"/>
                <w:lang w:eastAsia="en-GB"/>
              </w:rPr>
            </w:pPr>
            <w:r w:rsidRPr="00C20651">
              <w:rPr>
                <w:b/>
                <w:bCs/>
                <w:color w:val="000000"/>
                <w:szCs w:val="20"/>
                <w:lang w:eastAsia="en-GB"/>
              </w:rPr>
              <w:t>100%</w:t>
            </w:r>
          </w:p>
        </w:tc>
      </w:tr>
    </w:tbl>
    <w:p w:rsidR="00C20651" w:rsidRPr="00C20651" w:rsidRDefault="00C20651" w:rsidP="00C20651">
      <w:pPr>
        <w:tabs>
          <w:tab w:val="left" w:pos="2948"/>
        </w:tabs>
        <w:contextualSpacing/>
        <w:rPr>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tblPr>
      <w:tblGrid>
        <w:gridCol w:w="8862"/>
      </w:tblGrid>
      <w:tr w:rsidR="00C20651" w:rsidRPr="00C20651" w:rsidTr="007F4BDA">
        <w:tc>
          <w:tcPr>
            <w:tcW w:w="9242" w:type="dxa"/>
            <w:tcBorders>
              <w:bottom w:val="single" w:sz="4" w:space="0" w:color="000000"/>
            </w:tcBorders>
            <w:shd w:val="pct5" w:color="auto" w:fill="auto"/>
          </w:tcPr>
          <w:p w:rsidR="00C20651" w:rsidRPr="00C20651" w:rsidRDefault="00C20651" w:rsidP="00BE69F6">
            <w:pPr>
              <w:tabs>
                <w:tab w:val="left" w:pos="2948"/>
              </w:tabs>
              <w:spacing w:before="120" w:after="120"/>
              <w:rPr>
                <w:szCs w:val="20"/>
              </w:rPr>
            </w:pPr>
            <w:r w:rsidRPr="00C20651">
              <w:rPr>
                <w:szCs w:val="20"/>
              </w:rPr>
              <w:t>Assumptions and und</w:t>
            </w:r>
            <w:r w:rsidR="00BE69F6">
              <w:rPr>
                <w:szCs w:val="20"/>
              </w:rPr>
              <w:t>erlying thinking in relation to</w:t>
            </w:r>
            <w:r w:rsidRPr="00C20651">
              <w:rPr>
                <w:szCs w:val="20"/>
              </w:rPr>
              <w:t xml:space="preserve"> each cost/revenue should be clearly set out below:</w:t>
            </w:r>
          </w:p>
        </w:tc>
      </w:tr>
      <w:tr w:rsidR="007F4BDA" w:rsidRPr="00C20651" w:rsidTr="007F4BDA">
        <w:tc>
          <w:tcPr>
            <w:tcW w:w="9242" w:type="dxa"/>
            <w:shd w:val="clear" w:color="auto" w:fill="auto"/>
          </w:tcPr>
          <w:p w:rsidR="007F4BDA" w:rsidRDefault="007F4BD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Default="00C8425A" w:rsidP="00BE69F6">
            <w:pPr>
              <w:tabs>
                <w:tab w:val="left" w:pos="2948"/>
              </w:tabs>
              <w:spacing w:before="120" w:after="120"/>
              <w:rPr>
                <w:szCs w:val="20"/>
              </w:rPr>
            </w:pPr>
          </w:p>
          <w:p w:rsidR="00C8425A" w:rsidRPr="00C20651" w:rsidRDefault="00C8425A" w:rsidP="00BE69F6">
            <w:pPr>
              <w:tabs>
                <w:tab w:val="left" w:pos="2948"/>
              </w:tabs>
              <w:spacing w:before="120" w:after="120"/>
              <w:rPr>
                <w:szCs w:val="20"/>
              </w:rPr>
            </w:pPr>
          </w:p>
        </w:tc>
      </w:tr>
    </w:tbl>
    <w:p w:rsidR="003B6B58" w:rsidRDefault="003B6B58" w:rsidP="006E7063">
      <w:pPr>
        <w:pStyle w:val="AppendixSection"/>
        <w:spacing w:before="360" w:after="360"/>
        <w:ind w:left="357" w:hanging="357"/>
      </w:pPr>
      <w:bookmarkStart w:id="78" w:name="_Toc283819682"/>
      <w:r>
        <w:lastRenderedPageBreak/>
        <w:t xml:space="preserve">Appendix </w:t>
      </w:r>
      <w:r w:rsidR="00F67441">
        <w:t>3</w:t>
      </w:r>
      <w:r>
        <w:t xml:space="preserve"> – Disclaimer and Notices</w:t>
      </w:r>
      <w:bookmarkEnd w:id="78"/>
    </w:p>
    <w:p w:rsidR="003B6B58" w:rsidRPr="00580E79" w:rsidRDefault="003B6B58" w:rsidP="001C7FC5">
      <w:pPr>
        <w:pStyle w:val="Heading1"/>
      </w:pPr>
      <w:bookmarkStart w:id="79" w:name="_Toc277232558"/>
      <w:bookmarkStart w:id="80" w:name="_Toc283819683"/>
      <w:r w:rsidRPr="00580E79">
        <w:t>Non-reliance, Accuracy of Information and Exclusion of Liability</w:t>
      </w:r>
      <w:bookmarkEnd w:id="79"/>
      <w:bookmarkEnd w:id="80"/>
    </w:p>
    <w:p w:rsidR="003B6B58" w:rsidRPr="00186660" w:rsidRDefault="003B6B58" w:rsidP="006E7063">
      <w:pPr>
        <w:pStyle w:val="Appendixtext-Numbered"/>
        <w:spacing w:before="360"/>
        <w:rPr>
          <w:szCs w:val="20"/>
        </w:rPr>
      </w:pPr>
      <w:r w:rsidRPr="00186660">
        <w:rPr>
          <w:szCs w:val="20"/>
        </w:rPr>
        <w:t xml:space="preserve">It is the responsibility of each </w:t>
      </w:r>
      <w:r w:rsidR="00C307EC">
        <w:rPr>
          <w:szCs w:val="20"/>
        </w:rPr>
        <w:t xml:space="preserve">Qualifying </w:t>
      </w:r>
      <w:r>
        <w:rPr>
          <w:szCs w:val="20"/>
        </w:rPr>
        <w:t xml:space="preserve">Bidder </w:t>
      </w:r>
      <w:r w:rsidRPr="00186660">
        <w:rPr>
          <w:szCs w:val="20"/>
        </w:rPr>
        <w:t xml:space="preserve">to ensure that it has all of the information it needs to </w:t>
      </w:r>
      <w:r>
        <w:rPr>
          <w:szCs w:val="20"/>
        </w:rPr>
        <w:t xml:space="preserve">prepare its </w:t>
      </w:r>
      <w:r w:rsidR="002A2AB8">
        <w:rPr>
          <w:szCs w:val="20"/>
        </w:rPr>
        <w:t>QTT</w:t>
      </w:r>
      <w:r>
        <w:rPr>
          <w:szCs w:val="20"/>
        </w:rPr>
        <w:t xml:space="preserve"> Submission.</w:t>
      </w:r>
    </w:p>
    <w:p w:rsidR="003B6B58" w:rsidRPr="00186660" w:rsidRDefault="003B6B58" w:rsidP="006E7063">
      <w:pPr>
        <w:pStyle w:val="Appendixtext-Numbered"/>
        <w:spacing w:before="360"/>
        <w:rPr>
          <w:szCs w:val="20"/>
        </w:rPr>
      </w:pPr>
      <w:r w:rsidRPr="00186660">
        <w:rPr>
          <w:szCs w:val="20"/>
        </w:rPr>
        <w:t xml:space="preserve"> While information provided by Ofgem and/or its Advisers in </w:t>
      </w:r>
      <w:r>
        <w:rPr>
          <w:szCs w:val="20"/>
        </w:rPr>
        <w:t xml:space="preserve">this </w:t>
      </w:r>
      <w:r w:rsidR="00DD0D83">
        <w:rPr>
          <w:szCs w:val="20"/>
        </w:rPr>
        <w:t>QTT</w:t>
      </w:r>
      <w:r>
        <w:rPr>
          <w:szCs w:val="20"/>
        </w:rPr>
        <w:t xml:space="preserve"> Document</w:t>
      </w:r>
      <w:r w:rsidRPr="00186660">
        <w:rPr>
          <w:szCs w:val="20"/>
        </w:rPr>
        <w:t xml:space="preserve"> or otherwise in relation to the </w:t>
      </w:r>
      <w:r>
        <w:rPr>
          <w:szCs w:val="20"/>
        </w:rPr>
        <w:t>Tender Round</w:t>
      </w:r>
      <w:r w:rsidRPr="00186660">
        <w:rPr>
          <w:szCs w:val="20"/>
        </w:rPr>
        <w:t xml:space="preserve"> has been prepared in good faith, it does not purport to be comprehensive or to hav</w:t>
      </w:r>
      <w:r w:rsidR="00C40F20">
        <w:rPr>
          <w:szCs w:val="20"/>
        </w:rPr>
        <w:t xml:space="preserve">e been independently verified. </w:t>
      </w:r>
      <w:r w:rsidRPr="00186660">
        <w:rPr>
          <w:szCs w:val="20"/>
        </w:rPr>
        <w:t>Neither Ofg</w:t>
      </w:r>
      <w:r>
        <w:rPr>
          <w:szCs w:val="20"/>
        </w:rPr>
        <w:t>em nor any of its Advisers make</w:t>
      </w:r>
      <w:r w:rsidRPr="00186660">
        <w:rPr>
          <w:szCs w:val="20"/>
        </w:rPr>
        <w:t xml:space="preserve"> any representation or warranty (express or implied) as to the accuracy, reasonableness or completeness of the information provided by it or its Advisers in th</w:t>
      </w:r>
      <w:r>
        <w:rPr>
          <w:szCs w:val="20"/>
        </w:rPr>
        <w:t xml:space="preserve">is </w:t>
      </w:r>
      <w:r w:rsidR="00DD0D83">
        <w:rPr>
          <w:szCs w:val="20"/>
        </w:rPr>
        <w:t>QTT</w:t>
      </w:r>
      <w:r>
        <w:rPr>
          <w:szCs w:val="20"/>
        </w:rPr>
        <w:t xml:space="preserve"> </w:t>
      </w:r>
      <w:r w:rsidR="00BE69F6">
        <w:rPr>
          <w:szCs w:val="20"/>
        </w:rPr>
        <w:t xml:space="preserve">Document </w:t>
      </w:r>
      <w:r w:rsidRPr="00186660">
        <w:rPr>
          <w:szCs w:val="20"/>
        </w:rPr>
        <w:t xml:space="preserve">or otherwise in relation to the </w:t>
      </w:r>
      <w:r>
        <w:rPr>
          <w:szCs w:val="20"/>
        </w:rPr>
        <w:t>Tender Round</w:t>
      </w:r>
      <w:r w:rsidRPr="00186660">
        <w:rPr>
          <w:szCs w:val="20"/>
        </w:rPr>
        <w:t xml:space="preserve"> or any information provided by Developers th</w:t>
      </w:r>
      <w:r w:rsidR="00C40F20">
        <w:rPr>
          <w:szCs w:val="20"/>
        </w:rPr>
        <w:t xml:space="preserve">rough Data Rooms or otherwise. </w:t>
      </w:r>
      <w:r w:rsidRPr="00186660">
        <w:rPr>
          <w:szCs w:val="20"/>
        </w:rPr>
        <w:t xml:space="preserve">Ofgem and its Advisers expressly disclaim any and all liability (other than in respect of fraudulent misrepresentation) based on or relating to any such information or representations or warranties (express or implied) contained in, or errors or omissions from, the information or based on or relating to its use by a </w:t>
      </w:r>
      <w:r w:rsidR="00DD0D83">
        <w:rPr>
          <w:szCs w:val="20"/>
        </w:rPr>
        <w:t xml:space="preserve">Qualifying </w:t>
      </w:r>
      <w:r>
        <w:rPr>
          <w:szCs w:val="20"/>
        </w:rPr>
        <w:t>Bidder</w:t>
      </w:r>
      <w:r w:rsidRPr="00186660">
        <w:rPr>
          <w:szCs w:val="20"/>
        </w:rPr>
        <w:t xml:space="preserve"> and/or any other interested party.</w:t>
      </w:r>
    </w:p>
    <w:p w:rsidR="003B6B58" w:rsidRPr="00580E79" w:rsidRDefault="003B6B58" w:rsidP="001C7FC5">
      <w:pPr>
        <w:pStyle w:val="Heading1"/>
      </w:pPr>
      <w:bookmarkStart w:id="81" w:name="_Toc277232559"/>
      <w:bookmarkStart w:id="82" w:name="_Toc283819684"/>
      <w:r w:rsidRPr="00580E79">
        <w:t>Use of Information</w:t>
      </w:r>
      <w:bookmarkEnd w:id="81"/>
      <w:bookmarkEnd w:id="82"/>
    </w:p>
    <w:p w:rsidR="003B6B58" w:rsidRPr="00186660" w:rsidRDefault="003B6B58" w:rsidP="006E7063">
      <w:pPr>
        <w:pStyle w:val="Appendixtext-Numbered"/>
        <w:spacing w:before="360"/>
        <w:rPr>
          <w:szCs w:val="20"/>
        </w:rPr>
      </w:pPr>
      <w:r>
        <w:rPr>
          <w:szCs w:val="20"/>
        </w:rPr>
        <w:t xml:space="preserve">This </w:t>
      </w:r>
      <w:r w:rsidR="00B54C15">
        <w:rPr>
          <w:szCs w:val="20"/>
        </w:rPr>
        <w:t>QTT</w:t>
      </w:r>
      <w:r>
        <w:rPr>
          <w:szCs w:val="20"/>
        </w:rPr>
        <w:t xml:space="preserve"> Document is</w:t>
      </w:r>
      <w:r w:rsidRPr="00186660">
        <w:rPr>
          <w:szCs w:val="20"/>
        </w:rPr>
        <w:t xml:space="preserve"> not intended to provide the basis of any investment decision, nor </w:t>
      </w:r>
      <w:r w:rsidR="00B54C15">
        <w:rPr>
          <w:szCs w:val="20"/>
        </w:rPr>
        <w:t>is it</w:t>
      </w:r>
      <w:r w:rsidRPr="00186660">
        <w:rPr>
          <w:szCs w:val="20"/>
        </w:rPr>
        <w:t xml:space="preserve"> intended to be considered as an investment recommendation by Of</w:t>
      </w:r>
      <w:r w:rsidR="00C40F20">
        <w:rPr>
          <w:szCs w:val="20"/>
        </w:rPr>
        <w:t xml:space="preserve">gem or by any of its Advisers. </w:t>
      </w:r>
      <w:r w:rsidRPr="00186660">
        <w:rPr>
          <w:szCs w:val="20"/>
        </w:rPr>
        <w:t>Each</w:t>
      </w:r>
      <w:r w:rsidR="00B54C15">
        <w:rPr>
          <w:szCs w:val="20"/>
        </w:rPr>
        <w:t xml:space="preserve"> Qualifying</w:t>
      </w:r>
      <w:r w:rsidRPr="00186660">
        <w:rPr>
          <w:szCs w:val="20"/>
        </w:rPr>
        <w:t xml:space="preserve"> </w:t>
      </w:r>
      <w:r>
        <w:rPr>
          <w:szCs w:val="20"/>
        </w:rPr>
        <w:t>Bidder a</w:t>
      </w:r>
      <w:r w:rsidRPr="00186660">
        <w:rPr>
          <w:szCs w:val="20"/>
        </w:rPr>
        <w:t xml:space="preserve">nd any other interested party must make its own independent assessment of the </w:t>
      </w:r>
      <w:r>
        <w:rPr>
          <w:szCs w:val="20"/>
        </w:rPr>
        <w:t>Qualifying Project</w:t>
      </w:r>
      <w:r w:rsidRPr="00186660">
        <w:rPr>
          <w:szCs w:val="20"/>
        </w:rPr>
        <w:t>(s) after making such investigation and taking such professional advice as it deems necessary.</w:t>
      </w:r>
    </w:p>
    <w:p w:rsidR="003B6B58" w:rsidRPr="00186660" w:rsidRDefault="003B6B58" w:rsidP="006E7063">
      <w:pPr>
        <w:pStyle w:val="Appendixtext-Numbered"/>
        <w:spacing w:before="360"/>
        <w:rPr>
          <w:szCs w:val="20"/>
        </w:rPr>
      </w:pPr>
      <w:r>
        <w:rPr>
          <w:szCs w:val="20"/>
        </w:rPr>
        <w:t xml:space="preserve">The material in this </w:t>
      </w:r>
      <w:r w:rsidR="00B54C15">
        <w:rPr>
          <w:szCs w:val="20"/>
        </w:rPr>
        <w:t>QTT</w:t>
      </w:r>
      <w:r>
        <w:rPr>
          <w:szCs w:val="20"/>
        </w:rPr>
        <w:t xml:space="preserve"> Document </w:t>
      </w:r>
      <w:r w:rsidRPr="00186660">
        <w:rPr>
          <w:szCs w:val="20"/>
        </w:rPr>
        <w:t>is not and should not be regarded as</w:t>
      </w:r>
      <w:r w:rsidR="00C40F20">
        <w:rPr>
          <w:szCs w:val="20"/>
        </w:rPr>
        <w:t xml:space="preserve"> legal or professional advice. </w:t>
      </w:r>
      <w:r w:rsidR="00B54C15">
        <w:rPr>
          <w:szCs w:val="20"/>
        </w:rPr>
        <w:t xml:space="preserve">Qualifying </w:t>
      </w:r>
      <w:r>
        <w:rPr>
          <w:szCs w:val="20"/>
        </w:rPr>
        <w:t xml:space="preserve">Bidders </w:t>
      </w:r>
      <w:r w:rsidRPr="00186660">
        <w:rPr>
          <w:szCs w:val="20"/>
        </w:rPr>
        <w:t xml:space="preserve">and other interested parties should seek their own legal or other professional advice where appropriate. </w:t>
      </w:r>
    </w:p>
    <w:p w:rsidR="003B6B58" w:rsidRPr="00186660" w:rsidRDefault="003B6B58" w:rsidP="006E7063">
      <w:pPr>
        <w:pStyle w:val="Appendixtext-Numbered"/>
        <w:spacing w:before="360"/>
        <w:rPr>
          <w:szCs w:val="20"/>
        </w:rPr>
      </w:pPr>
      <w:r>
        <w:rPr>
          <w:szCs w:val="20"/>
        </w:rPr>
        <w:t xml:space="preserve">Nothing in this </w:t>
      </w:r>
      <w:r w:rsidR="00B54C15">
        <w:rPr>
          <w:szCs w:val="20"/>
        </w:rPr>
        <w:t>QTT</w:t>
      </w:r>
      <w:r>
        <w:rPr>
          <w:szCs w:val="20"/>
        </w:rPr>
        <w:t xml:space="preserve"> Document </w:t>
      </w:r>
      <w:r w:rsidRPr="00186660">
        <w:rPr>
          <w:szCs w:val="20"/>
        </w:rPr>
        <w:t xml:space="preserve">is intended to, or shall be deemed to establish any partnership or joint venture between Ofgem and any </w:t>
      </w:r>
      <w:r w:rsidR="00B54C15">
        <w:rPr>
          <w:szCs w:val="20"/>
        </w:rPr>
        <w:t xml:space="preserve">Qualifying </w:t>
      </w:r>
      <w:r>
        <w:rPr>
          <w:szCs w:val="20"/>
        </w:rPr>
        <w:t>Bidder</w:t>
      </w:r>
      <w:r w:rsidRPr="00186660">
        <w:rPr>
          <w:szCs w:val="20"/>
        </w:rPr>
        <w:t>.</w:t>
      </w:r>
    </w:p>
    <w:p w:rsidR="003B6B58" w:rsidRPr="00186660" w:rsidRDefault="003B6B58" w:rsidP="006E7063">
      <w:pPr>
        <w:pStyle w:val="Appendixtext-Numbered"/>
        <w:spacing w:before="360"/>
        <w:rPr>
          <w:szCs w:val="20"/>
        </w:rPr>
      </w:pPr>
      <w:r w:rsidRPr="00186660">
        <w:rPr>
          <w:szCs w:val="20"/>
        </w:rPr>
        <w:t xml:space="preserve">Advisers acting for Ofgem in relation to the </w:t>
      </w:r>
      <w:r>
        <w:rPr>
          <w:szCs w:val="20"/>
        </w:rPr>
        <w:t>Tender Round</w:t>
      </w:r>
      <w:r w:rsidRPr="00186660">
        <w:rPr>
          <w:szCs w:val="20"/>
        </w:rPr>
        <w:t xml:space="preserve"> will not regard any </w:t>
      </w:r>
      <w:r w:rsidR="00B54C15">
        <w:rPr>
          <w:szCs w:val="20"/>
        </w:rPr>
        <w:t xml:space="preserve">Qualifying </w:t>
      </w:r>
      <w:r>
        <w:rPr>
          <w:szCs w:val="20"/>
        </w:rPr>
        <w:t>Bidder</w:t>
      </w:r>
      <w:r w:rsidRPr="00186660">
        <w:rPr>
          <w:szCs w:val="20"/>
        </w:rPr>
        <w:t xml:space="preserve"> or other interested party as their client or be responsible to anyone other than Ofgem for providing the protections afforded to their clients or for advising any other person on the </w:t>
      </w:r>
      <w:r>
        <w:rPr>
          <w:szCs w:val="20"/>
        </w:rPr>
        <w:t>Tender Round</w:t>
      </w:r>
      <w:r w:rsidRPr="00186660">
        <w:rPr>
          <w:szCs w:val="20"/>
        </w:rPr>
        <w:t xml:space="preserve"> or any matter related to it.</w:t>
      </w:r>
    </w:p>
    <w:p w:rsidR="003B6B58" w:rsidRPr="00580E79" w:rsidRDefault="003B6B58" w:rsidP="001C7FC5">
      <w:pPr>
        <w:pStyle w:val="Heading1"/>
      </w:pPr>
      <w:bookmarkStart w:id="83" w:name="_Toc277232560"/>
      <w:bookmarkStart w:id="84" w:name="_Toc283819685"/>
      <w:r w:rsidRPr="00580E79">
        <w:t>Freedom of Information</w:t>
      </w:r>
      <w:bookmarkEnd w:id="83"/>
      <w:bookmarkEnd w:id="84"/>
    </w:p>
    <w:p w:rsidR="003B6B58" w:rsidRPr="00186660" w:rsidRDefault="003B6B58" w:rsidP="006E7063">
      <w:pPr>
        <w:pStyle w:val="Appendixtext-Numbered"/>
        <w:spacing w:before="360"/>
        <w:rPr>
          <w:szCs w:val="20"/>
        </w:rPr>
      </w:pPr>
      <w:r w:rsidRPr="00186660">
        <w:rPr>
          <w:szCs w:val="20"/>
        </w:rPr>
        <w:t>The Freedom of Information Act 2000 provides a general right of access to all information held by public authorities</w:t>
      </w:r>
      <w:r>
        <w:rPr>
          <w:szCs w:val="20"/>
        </w:rPr>
        <w:t xml:space="preserve">. </w:t>
      </w:r>
      <w:r w:rsidRPr="00186660">
        <w:rPr>
          <w:szCs w:val="20"/>
        </w:rPr>
        <w:t xml:space="preserve">The Environmental Information Regulations </w:t>
      </w:r>
      <w:r w:rsidRPr="00186660">
        <w:rPr>
          <w:szCs w:val="20"/>
        </w:rPr>
        <w:lastRenderedPageBreak/>
        <w:t>2004 provide a general right of access to all environmental informati</w:t>
      </w:r>
      <w:r w:rsidR="00C40F20">
        <w:rPr>
          <w:szCs w:val="20"/>
        </w:rPr>
        <w:t xml:space="preserve">on held by public authorities. </w:t>
      </w:r>
      <w:r w:rsidRPr="00186660">
        <w:rPr>
          <w:szCs w:val="20"/>
        </w:rPr>
        <w:t xml:space="preserve">Ofgem is subject to the Freedom of Information Act 2000 and the Environmental Information Regulations 2004. </w:t>
      </w:r>
      <w:r w:rsidR="00036054">
        <w:rPr>
          <w:szCs w:val="20"/>
        </w:rPr>
        <w:t xml:space="preserve">Qualifying Bidders </w:t>
      </w:r>
      <w:r w:rsidRPr="00186660">
        <w:rPr>
          <w:szCs w:val="20"/>
        </w:rPr>
        <w:t xml:space="preserve">should identify which parts, if any, of their </w:t>
      </w:r>
      <w:r w:rsidR="00B32782">
        <w:rPr>
          <w:szCs w:val="20"/>
        </w:rPr>
        <w:t>s</w:t>
      </w:r>
      <w:r w:rsidRPr="00186660">
        <w:rPr>
          <w:szCs w:val="20"/>
        </w:rPr>
        <w:t xml:space="preserve">ubmissions are provided to Ofgem in confidence and provide reasons why they consider the information </w:t>
      </w:r>
      <w:r w:rsidR="00232740">
        <w:rPr>
          <w:szCs w:val="20"/>
        </w:rPr>
        <w:t>to be</w:t>
      </w:r>
      <w:r w:rsidRPr="00186660">
        <w:rPr>
          <w:szCs w:val="20"/>
        </w:rPr>
        <w:t xml:space="preserve"> eligible for exemption under the Freedom of Information Act 2000 or the Environmental Information Regulations 2004 and should be kept confidential. Ofgem will take any such statement of confidentiality into account in considering whether an exemption applies, but Ofgem is not bound by any such statement.</w:t>
      </w:r>
    </w:p>
    <w:p w:rsidR="003B6B58" w:rsidRDefault="003B6B58" w:rsidP="006E7063">
      <w:pPr>
        <w:pStyle w:val="Appendixtext-Numbered"/>
        <w:spacing w:before="360"/>
        <w:rPr>
          <w:szCs w:val="20"/>
        </w:rPr>
      </w:pPr>
      <w:r w:rsidRPr="00186660">
        <w:rPr>
          <w:szCs w:val="20"/>
        </w:rPr>
        <w:t xml:space="preserve">Although Ofgem is not under any statutory obligation to consult with a </w:t>
      </w:r>
      <w:r w:rsidR="00036054">
        <w:rPr>
          <w:szCs w:val="20"/>
        </w:rPr>
        <w:t>Qualifying Bidder</w:t>
      </w:r>
      <w:r w:rsidRPr="00186660">
        <w:rPr>
          <w:szCs w:val="20"/>
        </w:rPr>
        <w:t xml:space="preserve"> in relation to requests for information made under the Freedom of Information Act 2000 or the Environmental Information Regulations 2004, Ofgem will endeavour to inform the relevant </w:t>
      </w:r>
      <w:r w:rsidR="00036054">
        <w:rPr>
          <w:szCs w:val="20"/>
        </w:rPr>
        <w:t>Qualifying Bidder</w:t>
      </w:r>
      <w:r w:rsidRPr="00186660">
        <w:rPr>
          <w:szCs w:val="20"/>
        </w:rPr>
        <w:t xml:space="preserve"> of requests wherever it is reasonably practicabl</w:t>
      </w:r>
      <w:r w:rsidR="00C40F20">
        <w:rPr>
          <w:szCs w:val="20"/>
        </w:rPr>
        <w:t xml:space="preserve">e to do so. </w:t>
      </w:r>
      <w:r w:rsidRPr="00186660">
        <w:rPr>
          <w:szCs w:val="20"/>
        </w:rPr>
        <w:t xml:space="preserve">However, all decisions in respect of disclosure of information will be made at the sole discretion of Ofgem regardless of whether or not a </w:t>
      </w:r>
      <w:r w:rsidR="00036054">
        <w:rPr>
          <w:szCs w:val="20"/>
        </w:rPr>
        <w:t>Qualifying Bidder</w:t>
      </w:r>
      <w:r w:rsidRPr="00186660">
        <w:rPr>
          <w:szCs w:val="20"/>
        </w:rPr>
        <w:t xml:space="preserve"> has identified any information as being in its o</w:t>
      </w:r>
      <w:r w:rsidR="00C40F20">
        <w:rPr>
          <w:szCs w:val="20"/>
        </w:rPr>
        <w:t xml:space="preserve">pinion eligible for exemption. </w:t>
      </w:r>
      <w:r w:rsidRPr="00186660">
        <w:rPr>
          <w:szCs w:val="20"/>
        </w:rPr>
        <w:t xml:space="preserve">For further information and guidance, </w:t>
      </w:r>
      <w:r w:rsidR="00036054">
        <w:rPr>
          <w:szCs w:val="20"/>
        </w:rPr>
        <w:t>Qualifying Bidder’s</w:t>
      </w:r>
      <w:r w:rsidRPr="00186660">
        <w:rPr>
          <w:szCs w:val="20"/>
        </w:rPr>
        <w:t xml:space="preserve"> attention is drawn to the </w:t>
      </w:r>
      <w:r w:rsidR="00172E6E">
        <w:rPr>
          <w:szCs w:val="20"/>
        </w:rPr>
        <w:t xml:space="preserve">Lord Chancellor’s Code of Practice </w:t>
      </w:r>
      <w:r w:rsidR="00EC107A">
        <w:rPr>
          <w:szCs w:val="20"/>
        </w:rPr>
        <w:t>iss</w:t>
      </w:r>
      <w:r>
        <w:rPr>
          <w:szCs w:val="20"/>
        </w:rPr>
        <w:t>ued under S</w:t>
      </w:r>
      <w:r w:rsidRPr="00186660">
        <w:rPr>
          <w:szCs w:val="20"/>
        </w:rPr>
        <w:t>ection 45 of the Freedom of Information Act 2000</w:t>
      </w:r>
      <w:r w:rsidRPr="00186660">
        <w:rPr>
          <w:rStyle w:val="FootnoteReference"/>
          <w:szCs w:val="20"/>
        </w:rPr>
        <w:footnoteReference w:id="20"/>
      </w:r>
      <w:r w:rsidRPr="00186660">
        <w:rPr>
          <w:szCs w:val="20"/>
        </w:rPr>
        <w:t>.</w:t>
      </w:r>
    </w:p>
    <w:p w:rsidR="003B6B58" w:rsidRPr="00444136" w:rsidRDefault="003B6B58" w:rsidP="001C7FC5">
      <w:pPr>
        <w:pStyle w:val="Heading1"/>
      </w:pPr>
      <w:bookmarkStart w:id="85" w:name="_Toc277232561"/>
      <w:bookmarkStart w:id="86" w:name="_Toc283819686"/>
      <w:r w:rsidRPr="00580E79">
        <w:t>Data Protection</w:t>
      </w:r>
      <w:bookmarkEnd w:id="85"/>
      <w:bookmarkEnd w:id="86"/>
    </w:p>
    <w:p w:rsidR="000644D4" w:rsidRDefault="003B6B58" w:rsidP="006E7063">
      <w:pPr>
        <w:pStyle w:val="Appendixtext-Numbered"/>
        <w:spacing w:before="360"/>
        <w:rPr>
          <w:szCs w:val="20"/>
        </w:rPr>
      </w:pPr>
      <w:r w:rsidRPr="00444136">
        <w:rPr>
          <w:szCs w:val="20"/>
        </w:rPr>
        <w:t xml:space="preserve">In participating in the </w:t>
      </w:r>
      <w:r>
        <w:rPr>
          <w:szCs w:val="20"/>
        </w:rPr>
        <w:t>Tender Round</w:t>
      </w:r>
      <w:r w:rsidRPr="00444136">
        <w:rPr>
          <w:szCs w:val="20"/>
        </w:rPr>
        <w:t xml:space="preserve">, </w:t>
      </w:r>
      <w:r w:rsidR="00036054">
        <w:rPr>
          <w:szCs w:val="20"/>
        </w:rPr>
        <w:t xml:space="preserve">Qualifying </w:t>
      </w:r>
      <w:r>
        <w:rPr>
          <w:szCs w:val="20"/>
        </w:rPr>
        <w:t>Bidders</w:t>
      </w:r>
      <w:r w:rsidRPr="00444136">
        <w:rPr>
          <w:szCs w:val="20"/>
        </w:rPr>
        <w:t xml:space="preserve"> must comply with the Data Protection Act 1998 and all relevant regulations, together with any codes of conduct and guidance issued by the Information Commissioner</w:t>
      </w:r>
      <w:r w:rsidR="00232740">
        <w:rPr>
          <w:szCs w:val="20"/>
        </w:rPr>
        <w:t>. Qualifying Bidders</w:t>
      </w:r>
      <w:r w:rsidRPr="00444136">
        <w:rPr>
          <w:szCs w:val="20"/>
        </w:rPr>
        <w:t xml:space="preserve"> must not do</w:t>
      </w:r>
      <w:r w:rsidR="00232740">
        <w:rPr>
          <w:szCs w:val="20"/>
        </w:rPr>
        <w:t>,</w:t>
      </w:r>
      <w:r w:rsidRPr="00444136">
        <w:rPr>
          <w:szCs w:val="20"/>
        </w:rPr>
        <w:t xml:space="preserve"> or cause or permit to be done</w:t>
      </w:r>
      <w:r w:rsidR="00232740">
        <w:rPr>
          <w:szCs w:val="20"/>
        </w:rPr>
        <w:t>,</w:t>
      </w:r>
      <w:r w:rsidRPr="00444136">
        <w:rPr>
          <w:szCs w:val="20"/>
        </w:rPr>
        <w:t xml:space="preserve"> anything which may cause or otherwise result in a breach </w:t>
      </w:r>
      <w:r w:rsidR="00C40F20">
        <w:rPr>
          <w:szCs w:val="20"/>
        </w:rPr>
        <w:t xml:space="preserve">by Ofgem of such requirements. </w:t>
      </w:r>
      <w:r w:rsidRPr="00444136">
        <w:rPr>
          <w:szCs w:val="20"/>
        </w:rPr>
        <w:t xml:space="preserve">BravoSolution UK Ltd, on behalf of Ofgem, will collect, hold and use personal data obtained from and about </w:t>
      </w:r>
      <w:r w:rsidR="00036054">
        <w:rPr>
          <w:szCs w:val="20"/>
        </w:rPr>
        <w:t xml:space="preserve">Qualifying </w:t>
      </w:r>
      <w:r>
        <w:rPr>
          <w:szCs w:val="20"/>
        </w:rPr>
        <w:t>Bidders</w:t>
      </w:r>
      <w:r w:rsidRPr="00444136">
        <w:rPr>
          <w:szCs w:val="20"/>
        </w:rPr>
        <w:t xml:space="preserve">. In order to participate in the </w:t>
      </w:r>
      <w:r>
        <w:rPr>
          <w:szCs w:val="20"/>
        </w:rPr>
        <w:t>Tender Round</w:t>
      </w:r>
      <w:r w:rsidRPr="00444136">
        <w:rPr>
          <w:szCs w:val="20"/>
        </w:rPr>
        <w:t xml:space="preserve">, </w:t>
      </w:r>
      <w:r w:rsidR="00036054">
        <w:rPr>
          <w:szCs w:val="20"/>
        </w:rPr>
        <w:t xml:space="preserve">Qualifying </w:t>
      </w:r>
      <w:r>
        <w:rPr>
          <w:szCs w:val="20"/>
        </w:rPr>
        <w:t xml:space="preserve">Bidders </w:t>
      </w:r>
      <w:r w:rsidRPr="00444136">
        <w:rPr>
          <w:szCs w:val="20"/>
        </w:rPr>
        <w:t>must agree to such data being collected, held and used.</w:t>
      </w:r>
    </w:p>
    <w:p w:rsidR="00C55A3D" w:rsidRPr="00C55A3D" w:rsidRDefault="00C55A3D" w:rsidP="001C7FC5">
      <w:pPr>
        <w:pStyle w:val="Heading1"/>
      </w:pPr>
      <w:bookmarkStart w:id="87" w:name="_Toc283819687"/>
      <w:r>
        <w:t>Confidentiality and Publicity</w:t>
      </w:r>
      <w:bookmarkEnd w:id="87"/>
      <w:r>
        <w:t xml:space="preserve"> </w:t>
      </w:r>
    </w:p>
    <w:p w:rsidR="000644D4" w:rsidRDefault="00C55A3D" w:rsidP="006E7063">
      <w:pPr>
        <w:pStyle w:val="Appendixtext-Numbered"/>
        <w:spacing w:before="360"/>
      </w:pPr>
      <w:r>
        <w:t xml:space="preserve">Qualifying Bidders must comply with their obligations under </w:t>
      </w:r>
      <w:r w:rsidR="00036054">
        <w:t>the Confidentiality Agreement they are required to sign with the Developer of each relevant Qualifying Project at the start of the QTT Stage. Qualifying Bidders must</w:t>
      </w:r>
      <w:r>
        <w:t xml:space="preserve"> procure compliance by their directors, employees</w:t>
      </w:r>
      <w:r w:rsidR="00BE69F6">
        <w:t>, advisers, subcontractors, etc</w:t>
      </w:r>
      <w:r>
        <w:t xml:space="preserve">, as provided for under such agreements. </w:t>
      </w:r>
    </w:p>
    <w:p w:rsidR="000644D4" w:rsidRDefault="00036054" w:rsidP="006E7063">
      <w:pPr>
        <w:pStyle w:val="Appendixtext-Numbered"/>
        <w:spacing w:before="360"/>
      </w:pPr>
      <w:r>
        <w:t xml:space="preserve">Qualifying </w:t>
      </w:r>
      <w:r w:rsidR="00C55A3D">
        <w:t xml:space="preserve">Bidders shall not undertake (or permit to be undertaken) at any time during the Tender Round any publicity activity with any section of the media in </w:t>
      </w:r>
      <w:r w:rsidR="00C55A3D">
        <w:lastRenderedPageBreak/>
        <w:t>relation to any Qualifying Project(s) other than with the pri</w:t>
      </w:r>
      <w:r w:rsidR="00C40F20">
        <w:t xml:space="preserve">or written agreement of Ofgem. </w:t>
      </w:r>
      <w:r w:rsidR="00C55A3D">
        <w:t>Such agreement shall extend to</w:t>
      </w:r>
      <w:r w:rsidR="00C40F20">
        <w:t xml:space="preserve"> the content of any publicity. </w:t>
      </w:r>
      <w:r w:rsidR="00C55A3D">
        <w:t>In this paragraph the word 'media' includes (without limitation) radio, television, newspapers, trade and specialist press, the internet and e-mail accessible by the public at large and the representatives of such media.</w:t>
      </w:r>
    </w:p>
    <w:p w:rsidR="000644D4" w:rsidRDefault="000644D4" w:rsidP="001C7FC5">
      <w:pPr>
        <w:pStyle w:val="Heading1"/>
      </w:pPr>
      <w:bookmarkStart w:id="88" w:name="_Toc277232562"/>
      <w:bookmarkStart w:id="89" w:name="_Toc283819688"/>
      <w:r>
        <w:t>Copyright</w:t>
      </w:r>
      <w:bookmarkEnd w:id="88"/>
      <w:bookmarkEnd w:id="89"/>
    </w:p>
    <w:p w:rsidR="003B6B58" w:rsidRPr="00EC107A" w:rsidRDefault="000644D4" w:rsidP="006E7063">
      <w:pPr>
        <w:pStyle w:val="Appendixtext-Numbered"/>
        <w:spacing w:before="360"/>
        <w:rPr>
          <w:szCs w:val="20"/>
        </w:rPr>
      </w:pPr>
      <w:r w:rsidRPr="00186660">
        <w:t>The information contained within th</w:t>
      </w:r>
      <w:r>
        <w:t xml:space="preserve">is </w:t>
      </w:r>
      <w:r w:rsidR="00036054">
        <w:t>QTT</w:t>
      </w:r>
      <w:r>
        <w:t xml:space="preserve"> Document </w:t>
      </w:r>
      <w:r w:rsidRPr="00186660">
        <w:t xml:space="preserve">is subject to Crown copyright protection unless otherwise indicated. The Crown copyright protected material may be reproduced free of charge in any format or medium provided it is reproduced accurately and not in a misleading or derogatory manner. Where any of </w:t>
      </w:r>
      <w:r w:rsidRPr="000644D4">
        <w:t>the</w:t>
      </w:r>
      <w:r w:rsidRPr="00186660">
        <w:t xml:space="preserve"> Crown copyright material in </w:t>
      </w:r>
      <w:r>
        <w:t xml:space="preserve">this </w:t>
      </w:r>
      <w:r w:rsidR="00036054">
        <w:t>QTT</w:t>
      </w:r>
      <w:r>
        <w:t xml:space="preserve"> Document </w:t>
      </w:r>
      <w:r w:rsidRPr="00186660">
        <w:t>is being published or copied to others, the source of the material must be identified and th</w:t>
      </w:r>
      <w:r>
        <w:t>e copyright status acknowledged.</w:t>
      </w:r>
      <w:r w:rsidR="003B6B58">
        <w:br w:type="page"/>
      </w:r>
    </w:p>
    <w:p w:rsidR="00E6536D" w:rsidRDefault="00C55A3D" w:rsidP="006E7063">
      <w:pPr>
        <w:pStyle w:val="AppendixSection"/>
        <w:spacing w:before="360" w:after="360"/>
        <w:ind w:left="357" w:hanging="357"/>
      </w:pPr>
      <w:bookmarkStart w:id="90" w:name="_Toc283819689"/>
      <w:r>
        <w:lastRenderedPageBreak/>
        <w:t xml:space="preserve">Appendix </w:t>
      </w:r>
      <w:r w:rsidR="00F67441">
        <w:t>4</w:t>
      </w:r>
      <w:r w:rsidR="00E6536D">
        <w:t xml:space="preserve"> - The Authority’s Powers and Duties</w:t>
      </w:r>
      <w:bookmarkEnd w:id="76"/>
      <w:bookmarkEnd w:id="90"/>
    </w:p>
    <w:p w:rsidR="00E6536D" w:rsidRDefault="00E6536D" w:rsidP="00BC1C94">
      <w:pPr>
        <w:pStyle w:val="Appendixtext-Numbered"/>
        <w:spacing w:before="360"/>
      </w:pPr>
      <w:r>
        <w:t>Ofgem is the Office of Gas and Electricity Markets which supports the Gas and Electricity Markets Authority (the Authority), the regulator of the gas and electricit</w:t>
      </w:r>
      <w:r w:rsidR="00C40F20">
        <w:t xml:space="preserve">y industries in Great Britain. </w:t>
      </w:r>
      <w:r>
        <w:t>This appendix summarises the primary power</w:t>
      </w:r>
      <w:r w:rsidR="00C40F20">
        <w:t xml:space="preserve">s and duties of the Authority. </w:t>
      </w:r>
      <w:r>
        <w:t>It is not comprehensive and is not a substitute to reference to the relevant legal instruments (including, but not limited to, those referred to below).</w:t>
      </w:r>
    </w:p>
    <w:p w:rsidR="00E6536D" w:rsidRDefault="00E6536D" w:rsidP="00BC1C94">
      <w:pPr>
        <w:pStyle w:val="Appendixtext-Numbered"/>
        <w:spacing w:before="360"/>
      </w:pPr>
      <w:r>
        <w:t xml:space="preserve">The Authority's powers and duties are largely provided for in statute (such as the Gas Act 1986, the Electricity Act 1989, the Utilities Act 2000, the Competition Act 1998, the Enterprise Act 2002 and the Energy Acts of 2004, 2008 and 2010) as well as arising from directly effective European Community legislation.  </w:t>
      </w:r>
    </w:p>
    <w:p w:rsidR="00E6536D" w:rsidRDefault="00E6536D" w:rsidP="00BC1C94">
      <w:pPr>
        <w:pStyle w:val="Appendixtext-Numbered"/>
        <w:spacing w:before="360"/>
      </w:pPr>
      <w:r>
        <w:t>References to the Gas Act and the Electricity Act in this appendix are to Part 1 of those Acts.</w:t>
      </w:r>
      <w:r>
        <w:rPr>
          <w:vertAlign w:val="superscript"/>
        </w:rPr>
        <w:footnoteReference w:id="21"/>
      </w:r>
      <w:r w:rsidR="00C40F20">
        <w:t xml:space="preserve"> </w:t>
      </w:r>
      <w:r>
        <w:t>Duties and functions relating to gas are set out in the Gas Act and those relating to electricity are s</w:t>
      </w:r>
      <w:r w:rsidR="00C40F20">
        <w:t xml:space="preserve">et out in the Electricity Act. </w:t>
      </w:r>
      <w:r>
        <w:t>This appendix must be read accordingly.</w:t>
      </w:r>
      <w:r>
        <w:rPr>
          <w:vertAlign w:val="superscript"/>
        </w:rPr>
        <w:footnoteReference w:id="22"/>
      </w:r>
    </w:p>
    <w:p w:rsidR="00E6536D" w:rsidRDefault="00E6536D" w:rsidP="00BC1C94">
      <w:pPr>
        <w:pStyle w:val="Appendixtext-Numbered"/>
        <w:spacing w:before="360"/>
        <w:rPr>
          <w:shd w:val="clear" w:color="auto" w:fill="FFFFFF"/>
        </w:rPr>
      </w:pPr>
      <w:r>
        <w:t>The Authority’s principal objective</w:t>
      </w:r>
      <w:r>
        <w:rPr>
          <w:rStyle w:val="legamended2"/>
          <w:color w:val="auto"/>
          <w:szCs w:val="20"/>
        </w:rPr>
        <w:t xml:space="preserve"> is to protect the interests of existing and future consumers in relation to gas conveyed through pipes and</w:t>
      </w:r>
      <w:r>
        <w:rPr>
          <w:szCs w:val="20"/>
        </w:rPr>
        <w:t xml:space="preserve"> </w:t>
      </w:r>
      <w:r>
        <w:rPr>
          <w:rStyle w:val="legamended2"/>
          <w:color w:val="auto"/>
          <w:szCs w:val="20"/>
        </w:rPr>
        <w:t>electricity conveyed by distrib</w:t>
      </w:r>
      <w:r w:rsidR="00C40F20">
        <w:rPr>
          <w:rStyle w:val="legamended2"/>
          <w:color w:val="auto"/>
          <w:szCs w:val="20"/>
        </w:rPr>
        <w:t xml:space="preserve">ution or transmission systems. </w:t>
      </w:r>
      <w:r>
        <w:rPr>
          <w:rStyle w:val="legamended2"/>
          <w:color w:val="auto"/>
          <w:szCs w:val="20"/>
        </w:rPr>
        <w:t xml:space="preserve">The interests of such </w:t>
      </w:r>
      <w:r>
        <w:t>consumers are their interests taken as a whole, including</w:t>
      </w:r>
      <w:r>
        <w:rPr>
          <w:rStyle w:val="legamended2"/>
          <w:color w:val="auto"/>
          <w:szCs w:val="20"/>
        </w:rPr>
        <w:t xml:space="preserve"> their interests in </w:t>
      </w:r>
      <w:r>
        <w:t xml:space="preserve">the reduction of greenhouse gases and in the security of the supply of gas and electricity to them.  </w:t>
      </w:r>
    </w:p>
    <w:p w:rsidR="00E6536D" w:rsidRDefault="00E6536D" w:rsidP="00BE69F6">
      <w:pPr>
        <w:pStyle w:val="Appendixtext-Numbered"/>
        <w:spacing w:before="360" w:after="240"/>
        <w:rPr>
          <w:shd w:val="clear" w:color="auto" w:fill="FFFFFF"/>
        </w:rPr>
      </w:pPr>
      <w:r>
        <w:t>The Authority is generally required to carry out its functions in the manner it considers is best calculated to further the principal objective, wherever appropriate by promoting effective competition between persons engaged in, or comme</w:t>
      </w:r>
      <w:r w:rsidR="00BE0994">
        <w:t>rcial activities connected with:</w:t>
      </w:r>
    </w:p>
    <w:p w:rsidR="00E6536D" w:rsidRDefault="00E6536D" w:rsidP="00BE0994">
      <w:pPr>
        <w:pStyle w:val="Text-bulleted"/>
        <w:spacing w:before="120" w:after="120"/>
        <w:ind w:left="357" w:hanging="357"/>
        <w:rPr>
          <w:shd w:val="clear" w:color="auto" w:fill="FFFFFF"/>
        </w:rPr>
      </w:pPr>
      <w:r>
        <w:t>the shipping, transportation or supply of gas conveyed through pipes;</w:t>
      </w:r>
    </w:p>
    <w:p w:rsidR="00E6536D" w:rsidRDefault="00E6536D" w:rsidP="00BE0994">
      <w:pPr>
        <w:pStyle w:val="Text-bulleted"/>
        <w:spacing w:before="120" w:after="120"/>
        <w:ind w:left="357" w:hanging="357"/>
        <w:rPr>
          <w:shd w:val="clear" w:color="auto" w:fill="FFFFFF"/>
        </w:rPr>
      </w:pPr>
      <w:r>
        <w:t xml:space="preserve">the generation, transmission, distribution or supply of electricity; and </w:t>
      </w:r>
    </w:p>
    <w:p w:rsidR="00E6536D" w:rsidRPr="00BE69F6" w:rsidRDefault="00E6536D" w:rsidP="00BE69F6">
      <w:pPr>
        <w:pStyle w:val="Text-bulleted"/>
        <w:spacing w:before="120" w:after="120"/>
        <w:ind w:left="357" w:hanging="357"/>
        <w:rPr>
          <w:shd w:val="clear" w:color="auto" w:fill="FFFFFF"/>
        </w:rPr>
      </w:pPr>
      <w:r>
        <w:rPr>
          <w:bCs/>
          <w:szCs w:val="20"/>
        </w:rPr>
        <w:t>the provision or use of electricity interconnectors</w:t>
      </w:r>
      <w:r>
        <w:t xml:space="preserve">.  </w:t>
      </w:r>
    </w:p>
    <w:p w:rsidR="00E6536D" w:rsidRDefault="00E6536D" w:rsidP="00BC1C94">
      <w:pPr>
        <w:pStyle w:val="Appendixtext-Numbered"/>
        <w:spacing w:before="360"/>
        <w:rPr>
          <w:shd w:val="clear" w:color="auto" w:fill="FFFFFF"/>
        </w:rPr>
      </w:pPr>
      <w:r>
        <w:t>Before deciding to carry out its functions in a particular manner with a view to promoting competition, the Authority will have to consider the extent to which the interests of consumers would be protected by that manner of carrying out those functions and whether there is any other manner (whether or not it would promote competition) in which the Authority could carry out those functions which would better protect those interests.</w:t>
      </w:r>
    </w:p>
    <w:p w:rsidR="00E6536D" w:rsidRDefault="00E6536D" w:rsidP="00BE0994">
      <w:pPr>
        <w:pStyle w:val="Appendixtext-Numbered"/>
        <w:spacing w:after="240"/>
      </w:pPr>
      <w:r>
        <w:lastRenderedPageBreak/>
        <w:t>In performing these duties, the Authority must have regard to:</w:t>
      </w:r>
    </w:p>
    <w:p w:rsidR="00E6536D" w:rsidRDefault="00E6536D" w:rsidP="00BE0994">
      <w:pPr>
        <w:pStyle w:val="Text-bulleted"/>
        <w:spacing w:before="120" w:after="120"/>
        <w:ind w:left="357" w:hanging="357"/>
      </w:pPr>
      <w:r>
        <w:t>the need to secure that, so far as it is economical to meet them, all reasonable demands in Great Britain for gas conveyed through pipes are met;</w:t>
      </w:r>
    </w:p>
    <w:p w:rsidR="00E6536D" w:rsidRDefault="00E6536D" w:rsidP="00BE0994">
      <w:pPr>
        <w:pStyle w:val="Text-bulleted"/>
        <w:spacing w:before="120" w:after="120"/>
        <w:ind w:left="357" w:hanging="357"/>
      </w:pPr>
      <w:r>
        <w:t>the need to secure that all reasonable demands for electricity are met;</w:t>
      </w:r>
    </w:p>
    <w:p w:rsidR="00E6536D" w:rsidRDefault="00E6536D" w:rsidP="00BE0994">
      <w:pPr>
        <w:pStyle w:val="Text-bulleted"/>
        <w:spacing w:before="120" w:after="120"/>
        <w:ind w:left="357" w:hanging="357"/>
      </w:pPr>
      <w:r>
        <w:t>the need to secure that licence holders are able to finance the activities which are the subject of obligations on them</w:t>
      </w:r>
      <w:r>
        <w:rPr>
          <w:vertAlign w:val="superscript"/>
        </w:rPr>
        <w:footnoteReference w:id="23"/>
      </w:r>
      <w:r>
        <w:t>; and</w:t>
      </w:r>
    </w:p>
    <w:p w:rsidR="00E6536D" w:rsidRDefault="00E6536D" w:rsidP="00BE0994">
      <w:pPr>
        <w:pStyle w:val="Text-bulleted"/>
        <w:spacing w:before="120" w:after="120"/>
        <w:ind w:left="357" w:hanging="357"/>
      </w:pPr>
      <w:r>
        <w:t>the need to contribute to the achievement of sustainable development.</w:t>
      </w:r>
    </w:p>
    <w:p w:rsidR="00E6536D" w:rsidRDefault="00E6536D" w:rsidP="00BC1C94">
      <w:pPr>
        <w:pStyle w:val="Title1"/>
        <w:numPr>
          <w:ilvl w:val="1"/>
          <w:numId w:val="6"/>
        </w:numPr>
        <w:spacing w:before="360" w:after="360"/>
        <w:rPr>
          <w:sz w:val="20"/>
          <w:szCs w:val="20"/>
        </w:rPr>
      </w:pPr>
      <w:r>
        <w:rPr>
          <w:sz w:val="20"/>
          <w:szCs w:val="20"/>
        </w:rPr>
        <w:t>In performing these duties, the Authority must have regard to the interests of individuals who are disabled or chronically sick, of pensionable age, with low incomes, or residing in rural areas.</w:t>
      </w:r>
      <w:r>
        <w:rPr>
          <w:sz w:val="20"/>
          <w:szCs w:val="20"/>
          <w:vertAlign w:val="superscript"/>
        </w:rPr>
        <w:footnoteReference w:id="24"/>
      </w:r>
      <w:r>
        <w:rPr>
          <w:rFonts w:cs="Times New Roman"/>
          <w:sz w:val="20"/>
          <w:szCs w:val="20"/>
          <w:lang w:eastAsia="en-US"/>
        </w:rPr>
        <w:t xml:space="preserve">  </w:t>
      </w:r>
    </w:p>
    <w:p w:rsidR="00E6536D" w:rsidRDefault="00E6536D" w:rsidP="00BE0994">
      <w:pPr>
        <w:pStyle w:val="Title1"/>
        <w:numPr>
          <w:ilvl w:val="1"/>
          <w:numId w:val="6"/>
        </w:numPr>
        <w:spacing w:before="120" w:after="240"/>
        <w:rPr>
          <w:sz w:val="20"/>
          <w:szCs w:val="20"/>
        </w:rPr>
      </w:pPr>
      <w:r>
        <w:rPr>
          <w:sz w:val="20"/>
          <w:szCs w:val="20"/>
        </w:rPr>
        <w:t>Subject to the above, the Authority is required to carry out the functions referred to in the manner which it considers is best calculated to:</w:t>
      </w:r>
    </w:p>
    <w:p w:rsidR="00E6536D" w:rsidRDefault="00E6536D" w:rsidP="00BE0994">
      <w:pPr>
        <w:pStyle w:val="Text-bulleted"/>
        <w:spacing w:before="120" w:after="120"/>
        <w:ind w:left="357" w:hanging="357"/>
      </w:pPr>
      <w:r>
        <w:t>promote efficiency and economy on the part of those licensed</w:t>
      </w:r>
      <w:r>
        <w:rPr>
          <w:vertAlign w:val="superscript"/>
        </w:rPr>
        <w:footnoteReference w:id="25"/>
      </w:r>
      <w:r>
        <w:t xml:space="preserve"> under the relevant Act and the efficient use of gas conveyed through pipes and electricity conveyed by distribution systems or transmission systems;</w:t>
      </w:r>
    </w:p>
    <w:p w:rsidR="00E6536D" w:rsidRDefault="00E6536D" w:rsidP="00BE69F6">
      <w:pPr>
        <w:pStyle w:val="Text-bulleted"/>
        <w:spacing w:before="120" w:after="120"/>
        <w:ind w:left="357" w:hanging="357"/>
      </w:pPr>
      <w:r>
        <w:t xml:space="preserve">protect the public from dangers arising from the conveyance of gas through pipes or the use of gas conveyed through pipes and from the generation, transmission, distribution or supply of electricity; and secure a diverse and viable long-term energy supply, </w:t>
      </w:r>
      <w:r>
        <w:rPr>
          <w:rStyle w:val="legamended2"/>
          <w:color w:val="auto"/>
          <w:szCs w:val="20"/>
        </w:rPr>
        <w:t>and shall, in carrying out those functions, have regard to the effect on the environment</w:t>
      </w:r>
      <w:r>
        <w:t>.</w:t>
      </w:r>
    </w:p>
    <w:p w:rsidR="00E6536D" w:rsidRDefault="00E6536D" w:rsidP="00BE69F6">
      <w:pPr>
        <w:pStyle w:val="Appendixtext-Numbered"/>
        <w:spacing w:before="360" w:after="240"/>
      </w:pPr>
      <w:r>
        <w:t>In carrying out these functions the Authority must also have regard to:</w:t>
      </w:r>
    </w:p>
    <w:p w:rsidR="00E6536D" w:rsidRDefault="00E6536D" w:rsidP="00BE0994">
      <w:pPr>
        <w:pStyle w:val="Text-bulleted"/>
        <w:spacing w:before="120" w:after="120"/>
        <w:ind w:left="357" w:hanging="357"/>
      </w:pPr>
      <w:r>
        <w:t>the principles under which regulatory activities should be transparent, accountable, proportionate, consistent and targeted only at cases in which action is needed and any other principles that appear to it to represent the best regulatory practice; and</w:t>
      </w:r>
    </w:p>
    <w:p w:rsidR="00E6536D" w:rsidRDefault="00E6536D" w:rsidP="00BE0994">
      <w:pPr>
        <w:pStyle w:val="Text-bulleted"/>
        <w:spacing w:before="120" w:after="120"/>
        <w:ind w:left="357" w:hanging="357"/>
      </w:pPr>
      <w:r>
        <w:t>certain statutory guidance on social and environmental matters issued by the Secretary of State.</w:t>
      </w:r>
    </w:p>
    <w:p w:rsidR="00E6536D" w:rsidRDefault="00E6536D" w:rsidP="00A80443">
      <w:pPr>
        <w:pStyle w:val="Title1"/>
        <w:numPr>
          <w:ilvl w:val="1"/>
          <w:numId w:val="6"/>
        </w:numPr>
        <w:spacing w:before="360" w:after="360"/>
        <w:rPr>
          <w:rStyle w:val="legamended2"/>
          <w:color w:val="auto"/>
          <w:sz w:val="20"/>
          <w:szCs w:val="20"/>
        </w:rPr>
      </w:pPr>
      <w:r>
        <w:rPr>
          <w:sz w:val="20"/>
          <w:szCs w:val="20"/>
          <w:lang w:eastAsia="en-US"/>
        </w:rPr>
        <w:t xml:space="preserve">The </w:t>
      </w:r>
      <w:r>
        <w:rPr>
          <w:rStyle w:val="legamended2"/>
          <w:color w:val="auto"/>
          <w:sz w:val="20"/>
          <w:szCs w:val="20"/>
        </w:rPr>
        <w:t>Authority may, in carrying out a function under the Gas Act and the Electricity Act, have regard to any interests of consumers in relation to communications services and electronic communications apparatus or to water or sewerage services (within the meaning of the Water Industry Act 1991), which are affected by the carrying out of that function.</w:t>
      </w:r>
    </w:p>
    <w:p w:rsidR="00E6536D" w:rsidRDefault="00E6536D" w:rsidP="00A80443">
      <w:pPr>
        <w:pStyle w:val="Appendixtext-Numbered"/>
        <w:spacing w:before="360"/>
      </w:pPr>
      <w:r>
        <w:lastRenderedPageBreak/>
        <w:t>The Authority has powers under the Competition Act to investigate suspected anti-competitive activity and take action for breaches of the prohibitions in the legislation in respect of the gas and electricity sectors in Great Britain and is a designated National Competition Authority under the EC Modernisation Regulation</w:t>
      </w:r>
      <w:r>
        <w:rPr>
          <w:vertAlign w:val="superscript"/>
        </w:rPr>
        <w:footnoteReference w:id="26"/>
      </w:r>
      <w:r>
        <w:t xml:space="preserve"> and therefore part of the</w:t>
      </w:r>
      <w:r w:rsidR="00C40F20">
        <w:t xml:space="preserve"> European Competition Network. </w:t>
      </w:r>
      <w:r>
        <w:t xml:space="preserve">The Authority also has concurrent powers with the Office of Fair Trading in respect of market investigation references to the Competition Commission. </w:t>
      </w:r>
    </w:p>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E6536D" w:rsidRDefault="00E6536D"/>
    <w:p w:rsidR="00BA218B" w:rsidRDefault="00BA218B">
      <w:pPr>
        <w:rPr>
          <w:sz w:val="28"/>
          <w:szCs w:val="28"/>
        </w:rPr>
      </w:pPr>
      <w:bookmarkStart w:id="91" w:name="_Toc122252101"/>
      <w:bookmarkStart w:id="92" w:name="_Toc122265833"/>
      <w:bookmarkStart w:id="93" w:name="_Toc122509023"/>
      <w:bookmarkStart w:id="94" w:name="_Toc122842876"/>
      <w:r>
        <w:br w:type="page"/>
      </w:r>
    </w:p>
    <w:p w:rsidR="00E6536D" w:rsidRDefault="00C55A3D" w:rsidP="00A80443">
      <w:pPr>
        <w:pStyle w:val="AppendixSection"/>
        <w:spacing w:before="360" w:after="360"/>
        <w:ind w:left="357" w:hanging="357"/>
      </w:pPr>
      <w:bookmarkStart w:id="95" w:name="_Toc283819690"/>
      <w:r>
        <w:lastRenderedPageBreak/>
        <w:t xml:space="preserve">Appendix </w:t>
      </w:r>
      <w:r w:rsidR="00F67441">
        <w:t>5</w:t>
      </w:r>
      <w:r w:rsidR="00E6536D">
        <w:t xml:space="preserve"> - Glossary</w:t>
      </w:r>
      <w:bookmarkEnd w:id="91"/>
      <w:bookmarkEnd w:id="92"/>
      <w:bookmarkEnd w:id="93"/>
      <w:bookmarkEnd w:id="94"/>
      <w:bookmarkEnd w:id="95"/>
    </w:p>
    <w:p w:rsidR="0005204D" w:rsidRDefault="00B07F72">
      <w:pPr>
        <w:rPr>
          <w:bCs/>
        </w:rPr>
      </w:pPr>
      <w:r>
        <w:rPr>
          <w:b/>
          <w:bCs/>
        </w:rPr>
        <w:t>“</w:t>
      </w:r>
      <w:r w:rsidR="0005204D">
        <w:rPr>
          <w:b/>
          <w:bCs/>
        </w:rPr>
        <w:t xml:space="preserve">Advisers” </w:t>
      </w:r>
      <w:r w:rsidR="0005204D">
        <w:rPr>
          <w:bCs/>
        </w:rPr>
        <w:t>means in relation to Ofgem, its employees, officers, directors, officials, insurers, agents, consultants, advisers, contractors</w:t>
      </w:r>
      <w:r w:rsidR="002F1A3A">
        <w:rPr>
          <w:bCs/>
        </w:rPr>
        <w:t xml:space="preserve"> or</w:t>
      </w:r>
      <w:r w:rsidR="0005204D">
        <w:rPr>
          <w:bCs/>
        </w:rPr>
        <w:t xml:space="preserve"> sub-contractors (of any tier)</w:t>
      </w:r>
      <w:r w:rsidR="004E7333" w:rsidRPr="004E7333">
        <w:rPr>
          <w:szCs w:val="20"/>
        </w:rPr>
        <w:t xml:space="preserve"> </w:t>
      </w:r>
      <w:r w:rsidR="004E7333" w:rsidRPr="00580E79">
        <w:rPr>
          <w:szCs w:val="20"/>
        </w:rPr>
        <w:t>and affiliates</w:t>
      </w:r>
      <w:r w:rsidR="00431048">
        <w:rPr>
          <w:bCs/>
        </w:rPr>
        <w:t>;</w:t>
      </w:r>
    </w:p>
    <w:p w:rsidR="00E6536D" w:rsidRDefault="0005204D">
      <w:pPr>
        <w:rPr>
          <w:b/>
          <w:bCs/>
        </w:rPr>
      </w:pPr>
      <w:r>
        <w:rPr>
          <w:b/>
          <w:bCs/>
        </w:rPr>
        <w:t xml:space="preserve"> </w:t>
      </w:r>
    </w:p>
    <w:p w:rsidR="00E6536D" w:rsidRDefault="00B07F72">
      <w:r>
        <w:rPr>
          <w:b/>
          <w:bCs/>
        </w:rPr>
        <w:t>“</w:t>
      </w:r>
      <w:r w:rsidR="00E6536D">
        <w:rPr>
          <w:b/>
          <w:bCs/>
        </w:rPr>
        <w:t>Authority</w:t>
      </w:r>
      <w:r>
        <w:rPr>
          <w:b/>
          <w:bCs/>
        </w:rPr>
        <w:t>”</w:t>
      </w:r>
      <w:r w:rsidR="00E6536D">
        <w:t xml:space="preserve"> means the Gas and Electricity Markets Authority; </w:t>
      </w:r>
    </w:p>
    <w:p w:rsidR="00E6536D" w:rsidRDefault="00E6536D"/>
    <w:p w:rsidR="00E6536D" w:rsidRDefault="00B07F72">
      <w:r>
        <w:rPr>
          <w:b/>
          <w:bCs/>
        </w:rPr>
        <w:t>“</w:t>
      </w:r>
      <w:r w:rsidR="00E6536D">
        <w:rPr>
          <w:b/>
          <w:bCs/>
        </w:rPr>
        <w:t>Bid</w:t>
      </w:r>
      <w:r>
        <w:rPr>
          <w:b/>
          <w:bCs/>
        </w:rPr>
        <w:t>”</w:t>
      </w:r>
      <w:r w:rsidR="00E6536D">
        <w:t xml:space="preserve"> means each bid submitted to Ofgem in response to an ITT Document;</w:t>
      </w:r>
    </w:p>
    <w:p w:rsidR="00E6536D" w:rsidRDefault="00E6536D"/>
    <w:p w:rsidR="00E6536D" w:rsidRDefault="00E6536D">
      <w:pPr>
        <w:rPr>
          <w:szCs w:val="20"/>
        </w:rPr>
      </w:pPr>
      <w:r>
        <w:rPr>
          <w:b/>
          <w:bCs/>
        </w:rPr>
        <w:t>“Bidder Group”</w:t>
      </w:r>
      <w:r>
        <w:t xml:space="preserve"> </w:t>
      </w:r>
      <w:r w:rsidR="006D78F1">
        <w:rPr>
          <w:szCs w:val="20"/>
        </w:rPr>
        <w:t>means two or more persons acting together as a cons</w:t>
      </w:r>
      <w:r w:rsidR="00B32782">
        <w:rPr>
          <w:szCs w:val="20"/>
        </w:rPr>
        <w:t>ortium for the purposes of any s</w:t>
      </w:r>
      <w:r w:rsidR="006D78F1">
        <w:rPr>
          <w:szCs w:val="20"/>
        </w:rPr>
        <w:t>ubmission to Ofgem in accorda</w:t>
      </w:r>
      <w:r w:rsidR="00431048">
        <w:rPr>
          <w:szCs w:val="20"/>
        </w:rPr>
        <w:t>nce with the Tender Regulations;</w:t>
      </w:r>
    </w:p>
    <w:p w:rsidR="004F62BF" w:rsidRDefault="004F62BF">
      <w:pPr>
        <w:rPr>
          <w:szCs w:val="20"/>
        </w:rPr>
      </w:pPr>
    </w:p>
    <w:p w:rsidR="004F62BF" w:rsidRDefault="004F62BF">
      <w:r w:rsidRPr="00093B10">
        <w:t>“</w:t>
      </w:r>
      <w:r w:rsidRPr="00B9019A">
        <w:rPr>
          <w:b/>
        </w:rPr>
        <w:t>Competition Act</w:t>
      </w:r>
      <w:r w:rsidRPr="00093B10">
        <w:t>” means the Competition Act 1998 as amended from time to time;</w:t>
      </w:r>
    </w:p>
    <w:p w:rsidR="007F6639" w:rsidRDefault="007F6639"/>
    <w:p w:rsidR="007F6639" w:rsidRPr="007F6639" w:rsidRDefault="007F6639">
      <w:r>
        <w:rPr>
          <w:b/>
        </w:rPr>
        <w:t xml:space="preserve">“Confidentiality Agreement” </w:t>
      </w:r>
      <w:r w:rsidR="005806EF" w:rsidRPr="005806EF">
        <w:t>means the standard form agreement between a Developer and a Qualifying Bidder in respect of confidential information disclosed in connection with a Tender Exercise,</w:t>
      </w:r>
      <w:r w:rsidR="005806EF">
        <w:rPr>
          <w:b/>
        </w:rPr>
        <w:t xml:space="preserve"> </w:t>
      </w:r>
      <w:r>
        <w:t>in the same form as provided through the Portal;</w:t>
      </w:r>
    </w:p>
    <w:p w:rsidR="00E6536D" w:rsidRDefault="00E6536D"/>
    <w:p w:rsidR="00E6536D" w:rsidRDefault="00B07F72">
      <w:r>
        <w:rPr>
          <w:b/>
          <w:bCs/>
        </w:rPr>
        <w:t>“Corporate Finance”</w:t>
      </w:r>
      <w:r w:rsidR="00E6536D">
        <w:rPr>
          <w:b/>
          <w:bCs/>
        </w:rPr>
        <w:t xml:space="preserve"> </w:t>
      </w:r>
      <w:r w:rsidR="00E6536D">
        <w:t>means any finance provided by the company without recourse to external parties, e.g. intercompany loans, where the shareholders or parent company are the sole source of finance;</w:t>
      </w:r>
    </w:p>
    <w:p w:rsidR="00E6536D" w:rsidRDefault="00E6536D"/>
    <w:p w:rsidR="00E6536D" w:rsidRDefault="00B07F72">
      <w:pPr>
        <w:rPr>
          <w:szCs w:val="20"/>
        </w:rPr>
      </w:pPr>
      <w:r>
        <w:rPr>
          <w:b/>
          <w:bCs/>
        </w:rPr>
        <w:t>“</w:t>
      </w:r>
      <w:r w:rsidR="00E6536D">
        <w:rPr>
          <w:b/>
          <w:bCs/>
        </w:rPr>
        <w:t>Data Room</w:t>
      </w:r>
      <w:r>
        <w:rPr>
          <w:b/>
          <w:bCs/>
        </w:rPr>
        <w:t>”</w:t>
      </w:r>
      <w:r w:rsidR="00E6536D">
        <w:rPr>
          <w:b/>
          <w:bCs/>
        </w:rPr>
        <w:t xml:space="preserve"> </w:t>
      </w:r>
      <w:r w:rsidR="00896F53" w:rsidRPr="00580E79">
        <w:rPr>
          <w:szCs w:val="20"/>
        </w:rPr>
        <w:t xml:space="preserve">means, in respect of a </w:t>
      </w:r>
      <w:r w:rsidR="00896F53">
        <w:rPr>
          <w:szCs w:val="20"/>
        </w:rPr>
        <w:t>Qualifying Project</w:t>
      </w:r>
      <w:r w:rsidR="00896F53" w:rsidRPr="00580E79">
        <w:rPr>
          <w:szCs w:val="20"/>
        </w:rPr>
        <w:t>, a</w:t>
      </w:r>
      <w:r w:rsidR="00896F53">
        <w:rPr>
          <w:szCs w:val="20"/>
        </w:rPr>
        <w:t xml:space="preserve"> secure</w:t>
      </w:r>
      <w:r w:rsidR="00896F53" w:rsidRPr="00580E79">
        <w:rPr>
          <w:szCs w:val="20"/>
        </w:rPr>
        <w:t xml:space="preserve"> electronic data room populated </w:t>
      </w:r>
      <w:r w:rsidR="00896F53">
        <w:rPr>
          <w:szCs w:val="20"/>
        </w:rPr>
        <w:t xml:space="preserve">and maintained </w:t>
      </w:r>
      <w:r w:rsidR="00896F53" w:rsidRPr="00580E79">
        <w:rPr>
          <w:szCs w:val="20"/>
        </w:rPr>
        <w:t>by Ofgem with information provided by the relevant Developer</w:t>
      </w:r>
      <w:r w:rsidR="00896F53">
        <w:rPr>
          <w:szCs w:val="20"/>
        </w:rPr>
        <w:t>,</w:t>
      </w:r>
      <w:r w:rsidR="00896F53" w:rsidRPr="00580E79">
        <w:rPr>
          <w:szCs w:val="20"/>
        </w:rPr>
        <w:t xml:space="preserve"> which is made available to </w:t>
      </w:r>
      <w:r w:rsidR="00896F53">
        <w:rPr>
          <w:szCs w:val="20"/>
        </w:rPr>
        <w:t>relevant</w:t>
      </w:r>
      <w:r w:rsidR="00896F53" w:rsidRPr="00580E79">
        <w:rPr>
          <w:szCs w:val="20"/>
        </w:rPr>
        <w:t xml:space="preserve"> Qualifying Bidders through the Portal</w:t>
      </w:r>
      <w:r w:rsidR="00431048">
        <w:rPr>
          <w:szCs w:val="20"/>
        </w:rPr>
        <w:t>;</w:t>
      </w:r>
    </w:p>
    <w:p w:rsidR="00896F53" w:rsidRDefault="00896F53"/>
    <w:p w:rsidR="00CD3A59" w:rsidRDefault="00B07F72">
      <w:r>
        <w:rPr>
          <w:b/>
          <w:bCs/>
        </w:rPr>
        <w:t>“Debt Finance”</w:t>
      </w:r>
      <w:r w:rsidR="00E6536D">
        <w:rPr>
          <w:b/>
          <w:bCs/>
        </w:rPr>
        <w:t xml:space="preserve"> </w:t>
      </w:r>
      <w:r w:rsidR="00E6536D">
        <w:t>means non-recourse or limited recourse senior debt finance;</w:t>
      </w:r>
    </w:p>
    <w:p w:rsidR="00CD3A59" w:rsidRDefault="00CD3A59"/>
    <w:p w:rsidR="00CD3A59" w:rsidRDefault="00B07F72" w:rsidP="00CD3A59">
      <w:pPr>
        <w:rPr>
          <w:rStyle w:val="Text-Bold"/>
          <w:szCs w:val="20"/>
        </w:rPr>
      </w:pPr>
      <w:r>
        <w:rPr>
          <w:rStyle w:val="Text-Bold"/>
          <w:szCs w:val="20"/>
        </w:rPr>
        <w:t>“</w:t>
      </w:r>
      <w:r w:rsidR="00CD3A59">
        <w:rPr>
          <w:rStyle w:val="Text-Bold"/>
          <w:szCs w:val="20"/>
        </w:rPr>
        <w:t>DECC</w:t>
      </w:r>
      <w:r>
        <w:rPr>
          <w:rStyle w:val="Text-Bold"/>
          <w:szCs w:val="20"/>
        </w:rPr>
        <w:t>”</w:t>
      </w:r>
      <w:r w:rsidR="00CD3A59">
        <w:rPr>
          <w:rStyle w:val="Text-Bold"/>
          <w:szCs w:val="20"/>
        </w:rPr>
        <w:t xml:space="preserve"> </w:t>
      </w:r>
      <w:r w:rsidR="00CD3A59">
        <w:rPr>
          <w:rStyle w:val="Text-Bold"/>
          <w:b w:val="0"/>
          <w:szCs w:val="20"/>
        </w:rPr>
        <w:t>means</w:t>
      </w:r>
      <w:r w:rsidR="00CD3A59">
        <w:rPr>
          <w:rStyle w:val="Text-Bold"/>
          <w:szCs w:val="20"/>
        </w:rPr>
        <w:t xml:space="preserve"> </w:t>
      </w:r>
      <w:r w:rsidR="00CD3A59">
        <w:t>the government d</w:t>
      </w:r>
      <w:r w:rsidR="00CD3A59" w:rsidRPr="007A56E7">
        <w:t>epartment responsible</w:t>
      </w:r>
      <w:r w:rsidR="00CD3A59">
        <w:t>, among other things,</w:t>
      </w:r>
      <w:r w:rsidR="00CD3A59" w:rsidRPr="007A56E7">
        <w:t xml:space="preserve"> for the introduction of the regulatory regime for offshore electricity transmission.</w:t>
      </w:r>
      <w:r w:rsidR="00CD3A59">
        <w:t xml:space="preserve"> It has responsibility for commencing the relevant sections of primary legislation and approves new and amended tender regulations</w:t>
      </w:r>
      <w:r w:rsidR="00431048">
        <w:t>;</w:t>
      </w:r>
    </w:p>
    <w:p w:rsidR="00E6536D" w:rsidRDefault="00E6536D">
      <w:r>
        <w:t xml:space="preserve">  </w:t>
      </w:r>
    </w:p>
    <w:p w:rsidR="000202CE" w:rsidRPr="000202CE" w:rsidRDefault="000202CE">
      <w:r>
        <w:rPr>
          <w:b/>
        </w:rPr>
        <w:t xml:space="preserve">“Default Availability Standard” </w:t>
      </w:r>
      <w:r>
        <w:t>means 98% asset availability including planned/unplanned outages which is the default availability standard applicable under th</w:t>
      </w:r>
      <w:r w:rsidR="004F62BF">
        <w:t>e Tender Exercise</w:t>
      </w:r>
      <w:r>
        <w:t>;</w:t>
      </w:r>
    </w:p>
    <w:p w:rsidR="00E6536D" w:rsidRDefault="00E6536D"/>
    <w:p w:rsidR="00E6536D" w:rsidRDefault="00B07F72">
      <w:r>
        <w:rPr>
          <w:b/>
          <w:bCs/>
        </w:rPr>
        <w:t>“</w:t>
      </w:r>
      <w:r w:rsidR="00E6536D">
        <w:rPr>
          <w:b/>
          <w:bCs/>
        </w:rPr>
        <w:t>Developer</w:t>
      </w:r>
      <w:r>
        <w:rPr>
          <w:b/>
          <w:bCs/>
        </w:rPr>
        <w:t>”</w:t>
      </w:r>
      <w:r w:rsidR="00E6536D">
        <w:rPr>
          <w:b/>
          <w:bCs/>
        </w:rPr>
        <w:t xml:space="preserve"> </w:t>
      </w:r>
      <w:r w:rsidR="00E6536D">
        <w:t xml:space="preserve">means the person falling within sub-sections 6D(2)(a) and (4) of the Electricity Act which has developed or is developing an offshore generating station which requests that </w:t>
      </w:r>
      <w:r w:rsidR="004F62BF">
        <w:t>Ofgem commences a Tender Exercise</w:t>
      </w:r>
      <w:r w:rsidR="00E6536D">
        <w:t xml:space="preserve"> in respect of a proposed project;</w:t>
      </w:r>
    </w:p>
    <w:p w:rsidR="00E6536D" w:rsidRDefault="00E6536D"/>
    <w:p w:rsidR="00E6536D" w:rsidRDefault="00B07F72">
      <w:r>
        <w:rPr>
          <w:b/>
          <w:bCs/>
        </w:rPr>
        <w:t>“</w:t>
      </w:r>
      <w:r w:rsidR="00E6536D">
        <w:rPr>
          <w:b/>
          <w:bCs/>
        </w:rPr>
        <w:t>Electricity Act</w:t>
      </w:r>
      <w:r>
        <w:rPr>
          <w:b/>
          <w:bCs/>
        </w:rPr>
        <w:t>”</w:t>
      </w:r>
      <w:r w:rsidR="00E6536D">
        <w:rPr>
          <w:b/>
          <w:bCs/>
        </w:rPr>
        <w:t xml:space="preserve"> </w:t>
      </w:r>
      <w:r w:rsidR="00E6536D">
        <w:t>means the Electricity Act 1989 as amended from time to time;</w:t>
      </w:r>
    </w:p>
    <w:p w:rsidR="004F62BF" w:rsidRDefault="004F62BF"/>
    <w:p w:rsidR="004F62BF" w:rsidRDefault="004F62BF">
      <w:r w:rsidRPr="00093B10">
        <w:t>“</w:t>
      </w:r>
      <w:r w:rsidRPr="00B9019A">
        <w:rPr>
          <w:b/>
        </w:rPr>
        <w:t>Electricity Directive</w:t>
      </w:r>
      <w:r w:rsidRPr="00093B10">
        <w:t>” means Directive 2009/72/EC of the European Parliament and of the Council of 13 July 2009;</w:t>
      </w:r>
    </w:p>
    <w:p w:rsidR="009F5CEE" w:rsidRDefault="009F5CEE"/>
    <w:p w:rsidR="00E6536D" w:rsidRDefault="00B07F72">
      <w:r>
        <w:rPr>
          <w:b/>
          <w:bCs/>
        </w:rPr>
        <w:t>“</w:t>
      </w:r>
      <w:r w:rsidR="00E6536D">
        <w:rPr>
          <w:b/>
          <w:bCs/>
        </w:rPr>
        <w:t>Equity Finance</w:t>
      </w:r>
      <w:r>
        <w:rPr>
          <w:b/>
          <w:bCs/>
        </w:rPr>
        <w:t>”</w:t>
      </w:r>
      <w:r w:rsidR="00E6536D">
        <w:rPr>
          <w:bCs/>
        </w:rPr>
        <w:t xml:space="preserve"> </w:t>
      </w:r>
      <w:r w:rsidR="00E6536D">
        <w:t>means any direct equity and mezzanine finance;</w:t>
      </w:r>
    </w:p>
    <w:p w:rsidR="000202CE" w:rsidRDefault="000202CE"/>
    <w:p w:rsidR="000202CE" w:rsidRDefault="000202CE">
      <w:r>
        <w:rPr>
          <w:b/>
        </w:rPr>
        <w:lastRenderedPageBreak/>
        <w:t xml:space="preserve">“Estimated Transfer Date” </w:t>
      </w:r>
      <w:r>
        <w:t>means the expected date of transfer</w:t>
      </w:r>
      <w:r w:rsidR="00B25B6F">
        <w:t xml:space="preserve"> of the Transmission Assets for a Qualifying Project to the Successful Bidder for that Qualifying Project -</w:t>
      </w:r>
      <w:r>
        <w:t xml:space="preserve"> as set out </w:t>
      </w:r>
      <w:r w:rsidR="004F62BF">
        <w:t xml:space="preserve">in </w:t>
      </w:r>
      <w:r w:rsidR="004F62BF" w:rsidRPr="00695AD5">
        <w:t xml:space="preserve">paragraph </w:t>
      </w:r>
      <w:r w:rsidR="001F0D6B" w:rsidRPr="00695AD5">
        <w:t>1.19</w:t>
      </w:r>
      <w:r w:rsidRPr="00695AD5">
        <w:t xml:space="preserve"> </w:t>
      </w:r>
      <w:r w:rsidR="004F62BF" w:rsidRPr="00695AD5">
        <w:t>of this</w:t>
      </w:r>
      <w:r w:rsidR="004F62BF">
        <w:t xml:space="preserve"> document </w:t>
      </w:r>
      <w:r>
        <w:t>in relation to each Qualifying Project;</w:t>
      </w:r>
    </w:p>
    <w:p w:rsidR="000202CE" w:rsidRDefault="000202CE"/>
    <w:p w:rsidR="000202CE" w:rsidRDefault="000202CE">
      <w:r>
        <w:rPr>
          <w:b/>
        </w:rPr>
        <w:t xml:space="preserve">“Final Transfer Value” </w:t>
      </w:r>
      <w:r w:rsidR="00431048" w:rsidRPr="00431048">
        <w:t xml:space="preserve">means Ofgem’s assessment of the efficient and economic costs which ought to have been incurred in connection with the development and construction of the </w:t>
      </w:r>
      <w:r w:rsidR="00014742">
        <w:t>Transmission Assets</w:t>
      </w:r>
      <w:r w:rsidR="00431048" w:rsidRPr="00431048">
        <w:t xml:space="preserve"> for each Qualifying Project</w:t>
      </w:r>
      <w:r w:rsidR="00431048">
        <w:t>;</w:t>
      </w:r>
    </w:p>
    <w:p w:rsidR="004F62BF" w:rsidRDefault="004F62BF"/>
    <w:p w:rsidR="004F62BF" w:rsidRPr="004F62BF" w:rsidRDefault="004F62BF">
      <w:pPr>
        <w:rPr>
          <w:b/>
        </w:rPr>
      </w:pPr>
      <w:r w:rsidRPr="00093B10">
        <w:rPr>
          <w:b/>
        </w:rPr>
        <w:t xml:space="preserve">“Gas Act” </w:t>
      </w:r>
      <w:r w:rsidRPr="004F62BF">
        <w:t>means the Gas Act 1986 as amended from time to time;</w:t>
      </w:r>
    </w:p>
    <w:p w:rsidR="00AD7090" w:rsidRDefault="00AD7090"/>
    <w:p w:rsidR="00AD7090" w:rsidRPr="00AD7090" w:rsidRDefault="00AD7090">
      <w:r>
        <w:rPr>
          <w:b/>
        </w:rPr>
        <w:t xml:space="preserve">“Indicative Transfer Value” </w:t>
      </w:r>
      <w:r w:rsidR="009F5CEE">
        <w:t>means Ofgem’s estimate of the economic and efficient costs which ought to be incurred in connection with the development an</w:t>
      </w:r>
      <w:r w:rsidR="00014742">
        <w:t>d construction of the relevant Transmission Assets</w:t>
      </w:r>
      <w:r w:rsidR="00431048">
        <w:t>;</w:t>
      </w:r>
    </w:p>
    <w:p w:rsidR="00E6536D" w:rsidRDefault="00E6536D"/>
    <w:p w:rsidR="00E6536D" w:rsidRDefault="00B07F72">
      <w:r>
        <w:rPr>
          <w:b/>
          <w:bCs/>
        </w:rPr>
        <w:t>“Information Commissioner”</w:t>
      </w:r>
      <w:r w:rsidR="00E6536D">
        <w:rPr>
          <w:b/>
          <w:bCs/>
        </w:rPr>
        <w:t xml:space="preserve"> </w:t>
      </w:r>
      <w:r w:rsidR="00E6536D">
        <w:t xml:space="preserve">has the meaning given to that term in the Data Protection Act 1998 as amended from time to time;  </w:t>
      </w:r>
    </w:p>
    <w:p w:rsidR="000202CE" w:rsidRDefault="000202CE"/>
    <w:p w:rsidR="000202CE" w:rsidRPr="000202CE" w:rsidRDefault="000202CE">
      <w:r>
        <w:rPr>
          <w:b/>
        </w:rPr>
        <w:t>“Information Memorandum”</w:t>
      </w:r>
      <w:r w:rsidR="004F62BF">
        <w:rPr>
          <w:b/>
        </w:rPr>
        <w:t xml:space="preserve"> </w:t>
      </w:r>
      <w:r w:rsidR="004F62BF" w:rsidRPr="004F62BF">
        <w:t>or</w:t>
      </w:r>
      <w:r w:rsidR="004F62BF">
        <w:rPr>
          <w:b/>
        </w:rPr>
        <w:t xml:space="preserve"> “IM”</w:t>
      </w:r>
      <w:r>
        <w:rPr>
          <w:b/>
        </w:rPr>
        <w:t xml:space="preserve"> </w:t>
      </w:r>
      <w:r w:rsidR="005806EF">
        <w:rPr>
          <w:szCs w:val="20"/>
        </w:rPr>
        <w:t>means the document issued by Ofgem to a Qualifying Bidder at the QTT stage containing detailed information in relation to a Qualifying Project</w:t>
      </w:r>
      <w:r>
        <w:t>;</w:t>
      </w:r>
    </w:p>
    <w:p w:rsidR="00E6536D" w:rsidRDefault="00E6536D"/>
    <w:p w:rsidR="00E6536D" w:rsidRDefault="00E6536D">
      <w:pPr>
        <w:rPr>
          <w:shd w:val="clear" w:color="auto" w:fill="FFFF00"/>
        </w:rPr>
      </w:pPr>
      <w:r>
        <w:rPr>
          <w:b/>
          <w:bCs/>
          <w:shd w:val="clear" w:color="auto" w:fill="FFFFFF"/>
        </w:rPr>
        <w:t>“Initial Transfer Value”</w:t>
      </w:r>
      <w:r>
        <w:rPr>
          <w:shd w:val="clear" w:color="auto" w:fill="FFFFFF"/>
        </w:rPr>
        <w:t xml:space="preserve"> means the</w:t>
      </w:r>
      <w:r w:rsidR="00513523">
        <w:rPr>
          <w:shd w:val="clear" w:color="auto" w:fill="FFFFFF"/>
        </w:rPr>
        <w:t xml:space="preserve"> </w:t>
      </w:r>
      <w:r>
        <w:rPr>
          <w:shd w:val="clear" w:color="auto" w:fill="FFFFFF"/>
        </w:rPr>
        <w:t>initial transfer value for a Qualifyi</w:t>
      </w:r>
      <w:r w:rsidR="00513523">
        <w:rPr>
          <w:shd w:val="clear" w:color="auto" w:fill="FFFFFF"/>
        </w:rPr>
        <w:t xml:space="preserve">ng Project </w:t>
      </w:r>
      <w:r w:rsidR="00513523" w:rsidRPr="00513523">
        <w:rPr>
          <w:shd w:val="clear" w:color="auto" w:fill="FFFFFF"/>
        </w:rPr>
        <w:t>based on information provided by Developers</w:t>
      </w:r>
      <w:r w:rsidR="00513523">
        <w:rPr>
          <w:shd w:val="clear" w:color="auto" w:fill="FFFFFF"/>
        </w:rPr>
        <w:t xml:space="preserve"> and as set out in </w:t>
      </w:r>
      <w:r w:rsidR="00513523" w:rsidRPr="00695AD5">
        <w:rPr>
          <w:shd w:val="clear" w:color="auto" w:fill="FFFFFF"/>
        </w:rPr>
        <w:t xml:space="preserve">paragraph </w:t>
      </w:r>
      <w:r w:rsidR="001F0D6B" w:rsidRPr="00695AD5">
        <w:rPr>
          <w:shd w:val="clear" w:color="auto" w:fill="FFFFFF"/>
        </w:rPr>
        <w:t>1.19</w:t>
      </w:r>
      <w:r w:rsidR="00513523" w:rsidRPr="00695AD5">
        <w:rPr>
          <w:shd w:val="clear" w:color="auto" w:fill="FFFFFF"/>
        </w:rPr>
        <w:t xml:space="preserve"> of</w:t>
      </w:r>
      <w:r w:rsidR="00513523">
        <w:rPr>
          <w:shd w:val="clear" w:color="auto" w:fill="FFFFFF"/>
        </w:rPr>
        <w:t xml:space="preserve"> this document</w:t>
      </w:r>
      <w:r>
        <w:rPr>
          <w:shd w:val="clear" w:color="auto" w:fill="FFFFFF"/>
        </w:rPr>
        <w:t>;</w:t>
      </w:r>
    </w:p>
    <w:p w:rsidR="00E6536D" w:rsidRDefault="00E6536D"/>
    <w:p w:rsidR="00E6536D" w:rsidRDefault="00B07F72">
      <w:r>
        <w:rPr>
          <w:b/>
          <w:bCs/>
        </w:rPr>
        <w:t>“</w:t>
      </w:r>
      <w:r w:rsidR="00E6536D">
        <w:rPr>
          <w:b/>
          <w:bCs/>
        </w:rPr>
        <w:t>ITT Stage</w:t>
      </w:r>
      <w:r>
        <w:rPr>
          <w:b/>
          <w:bCs/>
        </w:rPr>
        <w:t>”</w:t>
      </w:r>
      <w:r w:rsidR="00E6536D">
        <w:t xml:space="preserve"> </w:t>
      </w:r>
      <w:r w:rsidR="00F9061F" w:rsidRPr="00EB0DA4">
        <w:rPr>
          <w:szCs w:val="20"/>
        </w:rPr>
        <w:t xml:space="preserve">means the period starting from the distribution of the ITT </w:t>
      </w:r>
      <w:r w:rsidR="00B8629D">
        <w:rPr>
          <w:szCs w:val="20"/>
        </w:rPr>
        <w:t>d</w:t>
      </w:r>
      <w:r w:rsidR="00F9061F">
        <w:rPr>
          <w:szCs w:val="20"/>
        </w:rPr>
        <w:t>ocumentation</w:t>
      </w:r>
      <w:r w:rsidR="00F9061F" w:rsidRPr="00EB0DA4">
        <w:rPr>
          <w:szCs w:val="20"/>
        </w:rPr>
        <w:t xml:space="preserve"> to Qualifying Bidders by Ofgem, and including </w:t>
      </w:r>
      <w:r w:rsidR="00F9061F">
        <w:rPr>
          <w:szCs w:val="20"/>
        </w:rPr>
        <w:t>tender</w:t>
      </w:r>
      <w:r w:rsidR="00F9061F" w:rsidRPr="00EB0DA4">
        <w:rPr>
          <w:szCs w:val="20"/>
        </w:rPr>
        <w:t xml:space="preserve"> preparation, </w:t>
      </w:r>
      <w:r w:rsidR="00B32782">
        <w:rPr>
          <w:szCs w:val="20"/>
        </w:rPr>
        <w:t>s</w:t>
      </w:r>
      <w:r w:rsidR="00F9061F">
        <w:rPr>
          <w:szCs w:val="20"/>
        </w:rPr>
        <w:t>ubmission</w:t>
      </w:r>
      <w:r w:rsidR="00F9061F" w:rsidRPr="00EB0DA4">
        <w:rPr>
          <w:szCs w:val="20"/>
        </w:rPr>
        <w:t xml:space="preserve"> and evaluation, and ending when either a Preferred Bidder is selected </w:t>
      </w:r>
      <w:r w:rsidR="00F9061F">
        <w:rPr>
          <w:szCs w:val="20"/>
        </w:rPr>
        <w:t xml:space="preserve">and notified, </w:t>
      </w:r>
      <w:r w:rsidR="00F9061F" w:rsidRPr="00EB0DA4">
        <w:rPr>
          <w:szCs w:val="20"/>
        </w:rPr>
        <w:t>or a B</w:t>
      </w:r>
      <w:r w:rsidR="00431048">
        <w:rPr>
          <w:szCs w:val="20"/>
        </w:rPr>
        <w:t xml:space="preserve">est and </w:t>
      </w:r>
      <w:r w:rsidR="00F9061F" w:rsidRPr="00EB0DA4">
        <w:rPr>
          <w:szCs w:val="20"/>
        </w:rPr>
        <w:t>F</w:t>
      </w:r>
      <w:r w:rsidR="00431048">
        <w:rPr>
          <w:szCs w:val="20"/>
        </w:rPr>
        <w:t xml:space="preserve">inal </w:t>
      </w:r>
      <w:r w:rsidR="00F9061F" w:rsidRPr="00EB0DA4">
        <w:rPr>
          <w:szCs w:val="20"/>
        </w:rPr>
        <w:t>O</w:t>
      </w:r>
      <w:r w:rsidR="00431048">
        <w:rPr>
          <w:szCs w:val="20"/>
        </w:rPr>
        <w:t>ffer</w:t>
      </w:r>
      <w:r w:rsidR="00F9061F" w:rsidRPr="00EB0DA4">
        <w:rPr>
          <w:szCs w:val="20"/>
        </w:rPr>
        <w:t xml:space="preserve"> </w:t>
      </w:r>
      <w:r w:rsidR="00F9061F">
        <w:rPr>
          <w:szCs w:val="20"/>
        </w:rPr>
        <w:t>Stage</w:t>
      </w:r>
      <w:r w:rsidR="00F9061F" w:rsidRPr="00EB0DA4">
        <w:rPr>
          <w:szCs w:val="20"/>
        </w:rPr>
        <w:t xml:space="preserve"> is commenced</w:t>
      </w:r>
      <w:r w:rsidR="00E6536D">
        <w:t>;</w:t>
      </w:r>
    </w:p>
    <w:p w:rsidR="002678AB" w:rsidRDefault="002678AB"/>
    <w:p w:rsidR="002678AB" w:rsidRPr="00580E79" w:rsidRDefault="00B07F72" w:rsidP="002678AB">
      <w:pPr>
        <w:rPr>
          <w:szCs w:val="20"/>
        </w:rPr>
      </w:pPr>
      <w:r>
        <w:rPr>
          <w:b/>
          <w:szCs w:val="20"/>
        </w:rPr>
        <w:t>“</w:t>
      </w:r>
      <w:r w:rsidR="004F62BF">
        <w:rPr>
          <w:b/>
          <w:szCs w:val="20"/>
        </w:rPr>
        <w:t>Licence G</w:t>
      </w:r>
      <w:r w:rsidR="002678AB" w:rsidRPr="002D3030">
        <w:rPr>
          <w:b/>
          <w:szCs w:val="20"/>
        </w:rPr>
        <w:t>rant</w:t>
      </w:r>
      <w:r>
        <w:rPr>
          <w:b/>
          <w:szCs w:val="20"/>
        </w:rPr>
        <w:t>”</w:t>
      </w:r>
      <w:r w:rsidR="002678AB" w:rsidRPr="002D3030">
        <w:rPr>
          <w:szCs w:val="20"/>
        </w:rPr>
        <w:t xml:space="preserve"> means the grant of the Offshore Transmission Licence by </w:t>
      </w:r>
      <w:r w:rsidR="002678AB">
        <w:rPr>
          <w:szCs w:val="20"/>
        </w:rPr>
        <w:t>the Authority</w:t>
      </w:r>
      <w:r w:rsidR="002678AB" w:rsidRPr="002D3030">
        <w:rPr>
          <w:szCs w:val="20"/>
        </w:rPr>
        <w:t xml:space="preserve"> to the Successful Bidder, pursuant to se</w:t>
      </w:r>
      <w:r w:rsidR="00431048">
        <w:rPr>
          <w:szCs w:val="20"/>
        </w:rPr>
        <w:t>ction 6C of the Electricity Act;</w:t>
      </w:r>
    </w:p>
    <w:p w:rsidR="000202CE" w:rsidRDefault="000202CE"/>
    <w:p w:rsidR="000202CE" w:rsidRPr="000202CE" w:rsidRDefault="000202CE">
      <w:pPr>
        <w:rPr>
          <w:szCs w:val="20"/>
        </w:rPr>
      </w:pPr>
      <w:r>
        <w:rPr>
          <w:b/>
        </w:rPr>
        <w:t xml:space="preserve">“NETSO” </w:t>
      </w:r>
      <w:r w:rsidR="005F2CA0" w:rsidRPr="00EB0DA4">
        <w:rPr>
          <w:szCs w:val="20"/>
        </w:rPr>
        <w:t>means the National Electricity Transmission System Operator</w:t>
      </w:r>
      <w:r w:rsidR="005F2CA0">
        <w:rPr>
          <w:szCs w:val="20"/>
        </w:rPr>
        <w:t xml:space="preserve"> </w:t>
      </w:r>
      <w:r w:rsidR="005F2CA0" w:rsidRPr="007A56E7">
        <w:t>(formally known as the GB System Operator)</w:t>
      </w:r>
      <w:r w:rsidR="005F2CA0" w:rsidRPr="00EB0DA4">
        <w:rPr>
          <w:szCs w:val="20"/>
        </w:rPr>
        <w:t xml:space="preserve">. This role is fulfilled by </w:t>
      </w:r>
      <w:r w:rsidR="005F2CA0">
        <w:rPr>
          <w:szCs w:val="20"/>
        </w:rPr>
        <w:t>NGET in accordance with its Electricity Transmission L</w:t>
      </w:r>
      <w:r w:rsidR="005F2CA0" w:rsidRPr="00EB0DA4">
        <w:rPr>
          <w:szCs w:val="20"/>
        </w:rPr>
        <w:t>icence</w:t>
      </w:r>
      <w:r w:rsidR="005F2CA0">
        <w:rPr>
          <w:szCs w:val="20"/>
        </w:rPr>
        <w:t xml:space="preserve">. </w:t>
      </w:r>
      <w:r w:rsidR="005F2CA0" w:rsidRPr="007A56E7">
        <w:t xml:space="preserve">Under its standard licence conditions, NGET is required to provide Ofgem with certain information and assistance in relation to any </w:t>
      </w:r>
      <w:r w:rsidR="005F2CA0">
        <w:t>Tender Exercise</w:t>
      </w:r>
      <w:r w:rsidR="005F2CA0" w:rsidRPr="007A56E7">
        <w:t xml:space="preserve"> and the Offshore Electricity Transmis</w:t>
      </w:r>
      <w:r w:rsidR="00431048">
        <w:t>sion System to which it relates;</w:t>
      </w:r>
    </w:p>
    <w:p w:rsidR="00E6536D" w:rsidRDefault="00E6536D"/>
    <w:p w:rsidR="00E6536D" w:rsidRDefault="00E6536D">
      <w:r>
        <w:rPr>
          <w:b/>
          <w:bCs/>
        </w:rPr>
        <w:t>“NGET”</w:t>
      </w:r>
      <w:r>
        <w:t xml:space="preserve"> means National Gr</w:t>
      </w:r>
      <w:r w:rsidR="00431048">
        <w:t>id Electricity Transmission PLC;</w:t>
      </w:r>
    </w:p>
    <w:p w:rsidR="00E6536D" w:rsidRDefault="00E6536D"/>
    <w:p w:rsidR="00E6536D" w:rsidRDefault="00B07F72">
      <w:r>
        <w:rPr>
          <w:b/>
          <w:bCs/>
        </w:rPr>
        <w:t>“</w:t>
      </w:r>
      <w:r w:rsidR="00E6536D">
        <w:rPr>
          <w:b/>
          <w:bCs/>
        </w:rPr>
        <w:t>Offshore Transmission Licence</w:t>
      </w:r>
      <w:r>
        <w:rPr>
          <w:b/>
          <w:bCs/>
        </w:rPr>
        <w:t>”</w:t>
      </w:r>
      <w:r w:rsidR="00E6536D">
        <w:t xml:space="preserve"> means a licence granted</w:t>
      </w:r>
      <w:r w:rsidR="00E6536D">
        <w:rPr>
          <w:b/>
          <w:bCs/>
        </w:rPr>
        <w:t xml:space="preserve"> </w:t>
      </w:r>
      <w:r w:rsidR="00E6536D">
        <w:t>pursuant to section 6(1</w:t>
      </w:r>
      <w:r w:rsidR="00B32782">
        <w:t>)</w:t>
      </w:r>
      <w:r w:rsidR="005B2CBF">
        <w:t>(</w:t>
      </w:r>
      <w:r w:rsidR="00E6536D">
        <w:t>b) of the Electricity Act in relation to the transmission of electricity offshore, where offshore means:</w:t>
      </w:r>
    </w:p>
    <w:p w:rsidR="00E6536D" w:rsidRDefault="00E6536D"/>
    <w:p w:rsidR="00E6536D" w:rsidRDefault="00E6536D" w:rsidP="00771E3E">
      <w:pPr>
        <w:numPr>
          <w:ilvl w:val="0"/>
          <w:numId w:val="9"/>
        </w:numPr>
        <w:spacing w:after="120"/>
        <w:ind w:hanging="1069"/>
      </w:pPr>
      <w:r>
        <w:t xml:space="preserve">waters in or adjacent to Great Britain which are between the mean low water mark and the seaward limits of the territorial sea; </w:t>
      </w:r>
    </w:p>
    <w:p w:rsidR="00E6536D" w:rsidRDefault="00E6536D" w:rsidP="00771E3E">
      <w:pPr>
        <w:numPr>
          <w:ilvl w:val="0"/>
          <w:numId w:val="9"/>
        </w:numPr>
        <w:spacing w:after="120"/>
        <w:ind w:hanging="1069"/>
      </w:pPr>
      <w:r>
        <w:t>waters within an area designated under section 1(7) of the Continental Shelf Act 1964</w:t>
      </w:r>
    </w:p>
    <w:p w:rsidR="00E6536D" w:rsidRDefault="00E6536D" w:rsidP="00771E3E">
      <w:pPr>
        <w:numPr>
          <w:ilvl w:val="0"/>
          <w:numId w:val="9"/>
        </w:numPr>
        <w:spacing w:after="120"/>
        <w:ind w:hanging="1069"/>
      </w:pPr>
      <w:r>
        <w:lastRenderedPageBreak/>
        <w:t>waters within an area designated under secti</w:t>
      </w:r>
      <w:r w:rsidR="00431048">
        <w:t>on 84(4) of the Energy Act 2004;</w:t>
      </w:r>
    </w:p>
    <w:p w:rsidR="00E6536D" w:rsidRDefault="00E6536D">
      <w:pPr>
        <w:rPr>
          <w:b/>
          <w:bCs/>
        </w:rPr>
      </w:pPr>
    </w:p>
    <w:p w:rsidR="00E6536D" w:rsidRDefault="00B07F72">
      <w:r>
        <w:rPr>
          <w:b/>
          <w:bCs/>
        </w:rPr>
        <w:t>“Offshore Transmission System”</w:t>
      </w:r>
      <w:r w:rsidR="00E6536D">
        <w:rPr>
          <w:b/>
          <w:bCs/>
        </w:rPr>
        <w:t xml:space="preserve"> </w:t>
      </w:r>
      <w:r w:rsidR="00E6536D">
        <w:t>means the</w:t>
      </w:r>
      <w:r w:rsidR="00E6536D">
        <w:rPr>
          <w:b/>
          <w:bCs/>
        </w:rPr>
        <w:t xml:space="preserve"> </w:t>
      </w:r>
      <w:r w:rsidR="00E6536D">
        <w:t>onshore and offshore transmission system in respect of which an Offshore Transmission Licence is (or is to be) granted or anything which forms part of that system;</w:t>
      </w:r>
    </w:p>
    <w:p w:rsidR="00E6536D" w:rsidRDefault="00B07F72">
      <w:r>
        <w:rPr>
          <w:b/>
          <w:bCs/>
        </w:rPr>
        <w:br/>
        <w:t>“</w:t>
      </w:r>
      <w:r w:rsidR="00E6536D">
        <w:rPr>
          <w:b/>
          <w:bCs/>
        </w:rPr>
        <w:t>Ofgem</w:t>
      </w:r>
      <w:r>
        <w:rPr>
          <w:b/>
          <w:bCs/>
        </w:rPr>
        <w:t>”</w:t>
      </w:r>
      <w:r w:rsidR="00E6536D">
        <w:t xml:space="preserve"> means the office of Gas and Electricity Markets;</w:t>
      </w:r>
    </w:p>
    <w:p w:rsidR="00E6536D" w:rsidRDefault="00E6536D">
      <w:pPr>
        <w:rPr>
          <w:b/>
          <w:bCs/>
        </w:rPr>
      </w:pPr>
    </w:p>
    <w:p w:rsidR="00324AF7" w:rsidRPr="00580E79" w:rsidRDefault="00324AF7" w:rsidP="00324AF7">
      <w:pPr>
        <w:rPr>
          <w:szCs w:val="20"/>
        </w:rPr>
      </w:pPr>
      <w:r>
        <w:rPr>
          <w:rStyle w:val="Text-Bold"/>
          <w:szCs w:val="20"/>
        </w:rPr>
        <w:t>“</w:t>
      </w:r>
      <w:r w:rsidRPr="00EB0DA4">
        <w:rPr>
          <w:rStyle w:val="Text-Bold"/>
          <w:szCs w:val="20"/>
        </w:rPr>
        <w:t>OFTO</w:t>
      </w:r>
      <w:r>
        <w:rPr>
          <w:rStyle w:val="Text-Bold"/>
          <w:szCs w:val="20"/>
        </w:rPr>
        <w:t>”</w:t>
      </w:r>
      <w:r w:rsidRPr="00EB0DA4">
        <w:rPr>
          <w:rStyle w:val="Text-Bold"/>
          <w:szCs w:val="20"/>
        </w:rPr>
        <w:t xml:space="preserve"> </w:t>
      </w:r>
      <w:r w:rsidRPr="00EB0DA4">
        <w:rPr>
          <w:szCs w:val="20"/>
        </w:rPr>
        <w:t>means the holder of an Offshore Transmission Licence</w:t>
      </w:r>
      <w:r w:rsidR="00431048">
        <w:rPr>
          <w:szCs w:val="20"/>
        </w:rPr>
        <w:t>;</w:t>
      </w:r>
    </w:p>
    <w:p w:rsidR="00E6536D" w:rsidRDefault="00E6536D">
      <w:pPr>
        <w:rPr>
          <w:bCs/>
        </w:rPr>
      </w:pPr>
    </w:p>
    <w:p w:rsidR="00E6536D" w:rsidRDefault="00B07F72">
      <w:pPr>
        <w:rPr>
          <w:bCs/>
        </w:rPr>
      </w:pPr>
      <w:r>
        <w:rPr>
          <w:b/>
        </w:rPr>
        <w:t>“</w:t>
      </w:r>
      <w:r w:rsidR="00E6536D">
        <w:rPr>
          <w:b/>
        </w:rPr>
        <w:t>Portal</w:t>
      </w:r>
      <w:r>
        <w:rPr>
          <w:b/>
        </w:rPr>
        <w:t>”</w:t>
      </w:r>
      <w:r w:rsidR="00E6536D">
        <w:rPr>
          <w:b/>
        </w:rPr>
        <w:t xml:space="preserve"> </w:t>
      </w:r>
      <w:r w:rsidR="00E6536D">
        <w:rPr>
          <w:bCs/>
        </w:rPr>
        <w:t xml:space="preserve">means the Offshore Transmission Electronic Tendering Portal described in section 4 of the Tender Rules; </w:t>
      </w:r>
    </w:p>
    <w:p w:rsidR="00E6536D" w:rsidRDefault="00E6536D">
      <w:pPr>
        <w:rPr>
          <w:bCs/>
        </w:rPr>
      </w:pPr>
    </w:p>
    <w:p w:rsidR="000202CE" w:rsidRDefault="00B07F72">
      <w:r>
        <w:rPr>
          <w:b/>
          <w:bCs/>
        </w:rPr>
        <w:t>“</w:t>
      </w:r>
      <w:r w:rsidR="00E6536D">
        <w:rPr>
          <w:b/>
          <w:bCs/>
        </w:rPr>
        <w:t>Preferred Bidder</w:t>
      </w:r>
      <w:r>
        <w:rPr>
          <w:b/>
          <w:bCs/>
        </w:rPr>
        <w:t>”</w:t>
      </w:r>
      <w:r w:rsidR="00E6536D">
        <w:rPr>
          <w:b/>
          <w:bCs/>
        </w:rPr>
        <w:t xml:space="preserve"> </w:t>
      </w:r>
      <w:r w:rsidR="00E6536D">
        <w:t>means, in relation to a Qualifying Project,</w:t>
      </w:r>
      <w:r w:rsidR="00E6536D">
        <w:rPr>
          <w:b/>
          <w:bCs/>
        </w:rPr>
        <w:t xml:space="preserve"> </w:t>
      </w:r>
      <w:r w:rsidR="00E6536D">
        <w:t>the Qualifying Bidder determined by</w:t>
      </w:r>
      <w:r w:rsidR="00E6536D">
        <w:rPr>
          <w:b/>
          <w:bCs/>
        </w:rPr>
        <w:t xml:space="preserve"> </w:t>
      </w:r>
      <w:r w:rsidR="00E6536D">
        <w:t>Ofgem, in its sole discretion and following its evaluation of the Bids received (and any B</w:t>
      </w:r>
      <w:r w:rsidR="00431048">
        <w:t xml:space="preserve">est and Final Offer </w:t>
      </w:r>
      <w:r w:rsidR="00E6536D">
        <w:t>Submissions requested), as the Qualifying Bidder to which it intends (subject to the satisfaction of the conditions specified by Ofgem) to grant the Offshore Transmission Licence;</w:t>
      </w:r>
    </w:p>
    <w:p w:rsidR="000202CE" w:rsidRDefault="000202CE" w:rsidP="000202CE">
      <w:pPr>
        <w:rPr>
          <w:b/>
          <w:bCs/>
        </w:rPr>
      </w:pPr>
    </w:p>
    <w:p w:rsidR="000202CE" w:rsidRPr="00B730ED" w:rsidRDefault="00B07F72" w:rsidP="000202CE">
      <w:r>
        <w:rPr>
          <w:b/>
          <w:bCs/>
        </w:rPr>
        <w:t>“</w:t>
      </w:r>
      <w:r w:rsidR="000202CE" w:rsidRPr="00B730ED">
        <w:rPr>
          <w:b/>
          <w:bCs/>
        </w:rPr>
        <w:t>Pre-Qualification Document</w:t>
      </w:r>
      <w:r>
        <w:rPr>
          <w:b/>
          <w:bCs/>
        </w:rPr>
        <w:t>”</w:t>
      </w:r>
      <w:r w:rsidR="000202CE" w:rsidRPr="00B730ED">
        <w:t xml:space="preserve"> </w:t>
      </w:r>
      <w:r w:rsidR="00B8629D">
        <w:t>or “</w:t>
      </w:r>
      <w:r w:rsidR="00B8629D" w:rsidRPr="00B8629D">
        <w:rPr>
          <w:b/>
        </w:rPr>
        <w:t>PQ Document</w:t>
      </w:r>
      <w:r w:rsidR="00B8629D">
        <w:t xml:space="preserve">” </w:t>
      </w:r>
      <w:r w:rsidR="000202CE" w:rsidRPr="00B730ED">
        <w:t>means the document</w:t>
      </w:r>
      <w:r w:rsidR="00B8629D">
        <w:t>ation</w:t>
      </w:r>
      <w:r w:rsidR="000202CE" w:rsidRPr="00B730ED">
        <w:t xml:space="preserve"> prepared and issued by Ofgem for the purpose of selecting a longlist of Qualifying </w:t>
      </w:r>
      <w:r w:rsidR="00AC2F97">
        <w:t>Bidder</w:t>
      </w:r>
      <w:r w:rsidR="000202CE" w:rsidRPr="00B730ED">
        <w:t xml:space="preserve">s to progress to the </w:t>
      </w:r>
      <w:r w:rsidR="000202CE">
        <w:t xml:space="preserve">QTT </w:t>
      </w:r>
      <w:r w:rsidR="000202CE" w:rsidRPr="00B730ED">
        <w:t xml:space="preserve">Stage and which sets out the rules and requirements of the PQ Stage; </w:t>
      </w:r>
    </w:p>
    <w:p w:rsidR="000202CE" w:rsidRPr="00B730ED" w:rsidRDefault="000202CE" w:rsidP="000202CE"/>
    <w:p w:rsidR="000202CE" w:rsidRPr="00B730ED" w:rsidRDefault="00B07F72" w:rsidP="000202CE">
      <w:r>
        <w:rPr>
          <w:b/>
          <w:bCs/>
        </w:rPr>
        <w:t>“</w:t>
      </w:r>
      <w:r w:rsidR="000202CE" w:rsidRPr="00B730ED">
        <w:rPr>
          <w:b/>
          <w:bCs/>
        </w:rPr>
        <w:t>Pre-Qualification</w:t>
      </w:r>
      <w:r w:rsidR="000202CE">
        <w:rPr>
          <w:b/>
          <w:bCs/>
        </w:rPr>
        <w:t xml:space="preserve"> </w:t>
      </w:r>
      <w:r>
        <w:rPr>
          <w:b/>
          <w:bCs/>
        </w:rPr>
        <w:t>Questionnaire”</w:t>
      </w:r>
      <w:r w:rsidR="000202CE" w:rsidRPr="00B730ED">
        <w:rPr>
          <w:b/>
          <w:bCs/>
        </w:rPr>
        <w:t xml:space="preserve"> </w:t>
      </w:r>
      <w:r w:rsidR="004857B8" w:rsidRPr="004857B8">
        <w:rPr>
          <w:bCs/>
        </w:rPr>
        <w:t>or</w:t>
      </w:r>
      <w:r w:rsidR="004857B8">
        <w:rPr>
          <w:b/>
          <w:bCs/>
        </w:rPr>
        <w:t xml:space="preserve"> “PQ Questionnaire”</w:t>
      </w:r>
      <w:r w:rsidR="00345C75">
        <w:rPr>
          <w:b/>
          <w:bCs/>
        </w:rPr>
        <w:t xml:space="preserve"> </w:t>
      </w:r>
      <w:r w:rsidR="000202CE" w:rsidRPr="00B730ED">
        <w:t xml:space="preserve">means the Pre-Qualification questionnaire made available at the Pre-Qualification Stage, as part of the Pre-Qualification Document, to entities which have registered on the Portal; </w:t>
      </w:r>
    </w:p>
    <w:p w:rsidR="000202CE" w:rsidRPr="00B730ED" w:rsidRDefault="000202CE" w:rsidP="000202CE"/>
    <w:p w:rsidR="000202CE" w:rsidRPr="00B730ED" w:rsidRDefault="00B07F72" w:rsidP="000202CE">
      <w:r>
        <w:rPr>
          <w:b/>
          <w:bCs/>
        </w:rPr>
        <w:t>“</w:t>
      </w:r>
      <w:r w:rsidR="000202CE" w:rsidRPr="00B730ED">
        <w:rPr>
          <w:b/>
          <w:bCs/>
        </w:rPr>
        <w:t>Pre-Qualification Stage</w:t>
      </w:r>
      <w:r>
        <w:rPr>
          <w:b/>
          <w:bCs/>
        </w:rPr>
        <w:t>”</w:t>
      </w:r>
      <w:r w:rsidR="000202CE" w:rsidRPr="00B730ED">
        <w:t xml:space="preserve"> </w:t>
      </w:r>
      <w:r w:rsidR="00345C75">
        <w:t>or “</w:t>
      </w:r>
      <w:r w:rsidR="00345C75" w:rsidRPr="00345C75">
        <w:rPr>
          <w:b/>
        </w:rPr>
        <w:t>PQ Stage</w:t>
      </w:r>
      <w:r w:rsidR="00345C75">
        <w:t xml:space="preserve">” </w:t>
      </w:r>
      <w:r w:rsidR="000202CE" w:rsidRPr="00B730ED">
        <w:t xml:space="preserve">means the period starting from the publication of the Pre-Qualification Document, including the preparation, submission and evaluation of Pre-Qualification Submissions and ending once Ofgem has published the longlist of Qualifying </w:t>
      </w:r>
      <w:r w:rsidR="00AC2F97">
        <w:t>Bidder</w:t>
      </w:r>
      <w:r w:rsidR="000202CE" w:rsidRPr="00B730ED">
        <w:t xml:space="preserve">s who have prequalified for the </w:t>
      </w:r>
      <w:r w:rsidR="000202CE">
        <w:t xml:space="preserve">QTT </w:t>
      </w:r>
      <w:r w:rsidR="000202CE" w:rsidRPr="00B730ED">
        <w:t xml:space="preserve">Stage; </w:t>
      </w:r>
    </w:p>
    <w:p w:rsidR="000202CE" w:rsidRPr="00B730ED" w:rsidRDefault="000202CE" w:rsidP="000202CE"/>
    <w:p w:rsidR="000202CE" w:rsidRDefault="00305572" w:rsidP="000202CE">
      <w:r>
        <w:rPr>
          <w:b/>
          <w:bCs/>
        </w:rPr>
        <w:t>“</w:t>
      </w:r>
      <w:r w:rsidR="000202CE" w:rsidRPr="00B730ED">
        <w:rPr>
          <w:b/>
          <w:bCs/>
        </w:rPr>
        <w:t>Pre-Qualification Submission</w:t>
      </w:r>
      <w:r>
        <w:rPr>
          <w:b/>
          <w:bCs/>
        </w:rPr>
        <w:t>”</w:t>
      </w:r>
      <w:r w:rsidR="00C307EC">
        <w:t xml:space="preserve"> </w:t>
      </w:r>
      <w:r w:rsidR="00345C75">
        <w:t>or “</w:t>
      </w:r>
      <w:r w:rsidR="00345C75" w:rsidRPr="00345C75">
        <w:rPr>
          <w:b/>
        </w:rPr>
        <w:t>PQ Submission</w:t>
      </w:r>
      <w:r w:rsidR="00345C75">
        <w:t xml:space="preserve">” </w:t>
      </w:r>
      <w:r w:rsidR="00C307EC">
        <w:t>means a</w:t>
      </w:r>
      <w:r w:rsidR="000202CE" w:rsidRPr="00B730ED">
        <w:t xml:space="preserve"> </w:t>
      </w:r>
      <w:r w:rsidR="00AC2F97">
        <w:t>Bidder</w:t>
      </w:r>
      <w:r w:rsidR="000202CE" w:rsidRPr="00B730ED">
        <w:t xml:space="preserve">'s response to the Pre-Qualification Document; </w:t>
      </w:r>
    </w:p>
    <w:p w:rsidR="002678AB" w:rsidRDefault="002678AB" w:rsidP="000202CE"/>
    <w:p w:rsidR="002678AB" w:rsidRDefault="002678AB" w:rsidP="000202CE">
      <w:r>
        <w:rPr>
          <w:b/>
        </w:rPr>
        <w:t>“</w:t>
      </w:r>
      <w:r w:rsidR="00674A37">
        <w:rPr>
          <w:b/>
        </w:rPr>
        <w:t>Project</w:t>
      </w:r>
      <w:r>
        <w:rPr>
          <w:b/>
        </w:rPr>
        <w:t xml:space="preserve"> Transfer Agreement” </w:t>
      </w:r>
      <w:r w:rsidR="009F5CEE">
        <w:t>means the Transfer Agreement filled in by the Developer, as far as possible, with all relevant information available to it at the time, for their Qualifying Project;</w:t>
      </w:r>
    </w:p>
    <w:p w:rsidR="00AD7090" w:rsidRDefault="00AD7090" w:rsidP="000202CE"/>
    <w:p w:rsidR="00AD7090" w:rsidRPr="00AD7090" w:rsidRDefault="00AD7090" w:rsidP="000202CE">
      <w:r>
        <w:rPr>
          <w:b/>
        </w:rPr>
        <w:t xml:space="preserve">“Project IRR” </w:t>
      </w:r>
      <w:r w:rsidR="009F5CEE" w:rsidRPr="009F5CEE">
        <w:t>means the internal-post-tax, real forecast p</w:t>
      </w:r>
      <w:r w:rsidR="009F5CEE">
        <w:t>roject cash flow rate of return;</w:t>
      </w:r>
    </w:p>
    <w:p w:rsidR="00E6536D" w:rsidRDefault="00E6536D"/>
    <w:p w:rsidR="00E6536D" w:rsidRDefault="00305572">
      <w:r>
        <w:rPr>
          <w:b/>
          <w:bCs/>
          <w:shd w:val="clear" w:color="auto" w:fill="FFFFFF"/>
        </w:rPr>
        <w:t>“</w:t>
      </w:r>
      <w:r w:rsidR="002A2AB8">
        <w:rPr>
          <w:b/>
          <w:bCs/>
          <w:shd w:val="clear" w:color="auto" w:fill="FFFFFF"/>
        </w:rPr>
        <w:t>Qualification to Tender</w:t>
      </w:r>
      <w:r>
        <w:rPr>
          <w:b/>
          <w:bCs/>
          <w:shd w:val="clear" w:color="auto" w:fill="FFFFFF"/>
        </w:rPr>
        <w:t xml:space="preserve"> Certificate”</w:t>
      </w:r>
      <w:r w:rsidR="00E6536D" w:rsidRPr="00A67A1E">
        <w:rPr>
          <w:b/>
          <w:bCs/>
          <w:shd w:val="clear" w:color="auto" w:fill="FFFFFF"/>
        </w:rPr>
        <w:t xml:space="preserve"> </w:t>
      </w:r>
      <w:r w:rsidR="00E6536D" w:rsidRPr="00A67A1E">
        <w:rPr>
          <w:shd w:val="clear" w:color="auto" w:fill="FFFFFF"/>
        </w:rPr>
        <w:t>or</w:t>
      </w:r>
      <w:r w:rsidR="002A2AB8">
        <w:rPr>
          <w:b/>
          <w:bCs/>
          <w:shd w:val="clear" w:color="auto" w:fill="FFFFFF"/>
        </w:rPr>
        <w:t xml:space="preserve"> “QTT</w:t>
      </w:r>
      <w:r w:rsidR="00E6536D" w:rsidRPr="00A67A1E">
        <w:rPr>
          <w:b/>
          <w:bCs/>
          <w:shd w:val="clear" w:color="auto" w:fill="FFFFFF"/>
        </w:rPr>
        <w:t xml:space="preserve"> Certificate” </w:t>
      </w:r>
      <w:r w:rsidR="00E6536D" w:rsidRPr="00A67A1E">
        <w:rPr>
          <w:shd w:val="clear" w:color="auto" w:fill="FFFFFF"/>
        </w:rPr>
        <w:t xml:space="preserve">means the certificate set out in </w:t>
      </w:r>
      <w:r w:rsidR="009F5CEE">
        <w:rPr>
          <w:shd w:val="clear" w:color="auto" w:fill="FFFFFF"/>
        </w:rPr>
        <w:t>Chapter 3, Section 10 to the QTT</w:t>
      </w:r>
      <w:r w:rsidR="00E6536D" w:rsidRPr="00A67A1E">
        <w:rPr>
          <w:shd w:val="clear" w:color="auto" w:fill="FFFFFF"/>
        </w:rPr>
        <w:t xml:space="preserve"> Document;</w:t>
      </w:r>
    </w:p>
    <w:p w:rsidR="00E6536D" w:rsidRDefault="00E6536D"/>
    <w:p w:rsidR="00E6536D" w:rsidRDefault="00305572">
      <w:r>
        <w:rPr>
          <w:b/>
          <w:bCs/>
        </w:rPr>
        <w:t>“</w:t>
      </w:r>
      <w:r w:rsidR="002A2AB8">
        <w:rPr>
          <w:b/>
          <w:bCs/>
        </w:rPr>
        <w:t>Qualification to Tender</w:t>
      </w:r>
      <w:r>
        <w:rPr>
          <w:b/>
          <w:bCs/>
        </w:rPr>
        <w:t xml:space="preserve"> Document”</w:t>
      </w:r>
      <w:r w:rsidR="00E6536D">
        <w:rPr>
          <w:b/>
          <w:bCs/>
        </w:rPr>
        <w:t xml:space="preserve"> </w:t>
      </w:r>
      <w:r w:rsidR="00E6536D">
        <w:t>or</w:t>
      </w:r>
      <w:r w:rsidR="002A2AB8">
        <w:rPr>
          <w:b/>
          <w:bCs/>
        </w:rPr>
        <w:t xml:space="preserve"> “</w:t>
      </w:r>
      <w:r w:rsidR="00E6536D">
        <w:rPr>
          <w:b/>
          <w:bCs/>
        </w:rPr>
        <w:t>Q</w:t>
      </w:r>
      <w:r w:rsidR="002A2AB8">
        <w:rPr>
          <w:b/>
          <w:bCs/>
        </w:rPr>
        <w:t>TT</w:t>
      </w:r>
      <w:r w:rsidR="00E6536D">
        <w:rPr>
          <w:b/>
          <w:bCs/>
        </w:rPr>
        <w:t xml:space="preserve"> Document”</w:t>
      </w:r>
      <w:r w:rsidR="00E6536D">
        <w:t xml:space="preserve"> </w:t>
      </w:r>
      <w:r w:rsidR="00F9061F" w:rsidRPr="00EB0DA4">
        <w:rPr>
          <w:szCs w:val="20"/>
        </w:rPr>
        <w:t xml:space="preserve">means the </w:t>
      </w:r>
      <w:r w:rsidR="00F9061F">
        <w:rPr>
          <w:szCs w:val="20"/>
        </w:rPr>
        <w:t>documentation</w:t>
      </w:r>
      <w:r w:rsidR="00F9061F" w:rsidRPr="00EB0DA4">
        <w:rPr>
          <w:szCs w:val="20"/>
        </w:rPr>
        <w:t xml:space="preserve"> prepared and issued by Ofgem for the purpose of selecting a </w:t>
      </w:r>
      <w:r w:rsidR="002A2AB8">
        <w:rPr>
          <w:szCs w:val="20"/>
        </w:rPr>
        <w:t>shortlist</w:t>
      </w:r>
      <w:r w:rsidR="00F9061F" w:rsidRPr="00EB0DA4">
        <w:rPr>
          <w:szCs w:val="20"/>
        </w:rPr>
        <w:t xml:space="preserve"> of Qualifying Bidders to progress to the </w:t>
      </w:r>
      <w:r w:rsidR="002A2AB8">
        <w:rPr>
          <w:szCs w:val="20"/>
        </w:rPr>
        <w:t>I</w:t>
      </w:r>
      <w:r w:rsidR="00F9061F">
        <w:rPr>
          <w:szCs w:val="20"/>
        </w:rPr>
        <w:t>TT</w:t>
      </w:r>
      <w:r w:rsidR="00F9061F" w:rsidRPr="00EB0DA4">
        <w:rPr>
          <w:szCs w:val="20"/>
        </w:rPr>
        <w:t xml:space="preserve"> </w:t>
      </w:r>
      <w:r w:rsidR="00F9061F">
        <w:rPr>
          <w:szCs w:val="20"/>
        </w:rPr>
        <w:t>Stage</w:t>
      </w:r>
      <w:r w:rsidR="00F9061F" w:rsidRPr="00EB0DA4">
        <w:rPr>
          <w:szCs w:val="20"/>
        </w:rPr>
        <w:t xml:space="preserve"> and which sets out the rules and requirements of the </w:t>
      </w:r>
      <w:r w:rsidR="002A2AB8">
        <w:rPr>
          <w:szCs w:val="20"/>
        </w:rPr>
        <w:t>QTT</w:t>
      </w:r>
      <w:r w:rsidR="00F9061F" w:rsidRPr="00EB0DA4">
        <w:rPr>
          <w:szCs w:val="20"/>
        </w:rPr>
        <w:t xml:space="preserve"> </w:t>
      </w:r>
      <w:r w:rsidR="00F9061F">
        <w:rPr>
          <w:szCs w:val="20"/>
        </w:rPr>
        <w:t>Stage;</w:t>
      </w:r>
    </w:p>
    <w:p w:rsidR="00E6536D" w:rsidRDefault="00E6536D"/>
    <w:p w:rsidR="00E6536D" w:rsidRDefault="00305572">
      <w:r>
        <w:rPr>
          <w:b/>
          <w:bCs/>
        </w:rPr>
        <w:t>“</w:t>
      </w:r>
      <w:r w:rsidR="002A2AB8">
        <w:rPr>
          <w:b/>
          <w:bCs/>
        </w:rPr>
        <w:t>Qualification to Tender</w:t>
      </w:r>
      <w:r>
        <w:rPr>
          <w:b/>
          <w:bCs/>
        </w:rPr>
        <w:t xml:space="preserve"> Questionnaire”</w:t>
      </w:r>
      <w:r w:rsidR="00E6536D">
        <w:rPr>
          <w:b/>
          <w:bCs/>
        </w:rPr>
        <w:t xml:space="preserve"> </w:t>
      </w:r>
      <w:r w:rsidR="00E6536D">
        <w:t>or</w:t>
      </w:r>
      <w:r w:rsidR="002A2AB8">
        <w:rPr>
          <w:b/>
          <w:bCs/>
        </w:rPr>
        <w:t xml:space="preserve"> “</w:t>
      </w:r>
      <w:r w:rsidR="00E6536D">
        <w:rPr>
          <w:b/>
          <w:bCs/>
        </w:rPr>
        <w:t>Q</w:t>
      </w:r>
      <w:r w:rsidR="002A2AB8">
        <w:rPr>
          <w:b/>
          <w:bCs/>
        </w:rPr>
        <w:t>TT</w:t>
      </w:r>
      <w:r w:rsidR="00E6536D">
        <w:rPr>
          <w:b/>
          <w:bCs/>
        </w:rPr>
        <w:t xml:space="preserve"> Questionnaire” </w:t>
      </w:r>
      <w:r w:rsidR="00F9061F" w:rsidRPr="00EB0DA4">
        <w:rPr>
          <w:szCs w:val="20"/>
        </w:rPr>
        <w:t xml:space="preserve">means the </w:t>
      </w:r>
      <w:r w:rsidR="00AD7EE2">
        <w:rPr>
          <w:szCs w:val="20"/>
        </w:rPr>
        <w:t>QTT</w:t>
      </w:r>
      <w:r w:rsidR="00F9061F">
        <w:rPr>
          <w:szCs w:val="20"/>
        </w:rPr>
        <w:t xml:space="preserve"> Q</w:t>
      </w:r>
      <w:r w:rsidR="00F9061F" w:rsidRPr="00EB0DA4">
        <w:rPr>
          <w:szCs w:val="20"/>
        </w:rPr>
        <w:t xml:space="preserve">uestionnaire </w:t>
      </w:r>
      <w:r w:rsidR="00F9061F">
        <w:rPr>
          <w:szCs w:val="20"/>
        </w:rPr>
        <w:t>published by Ofgem</w:t>
      </w:r>
      <w:r w:rsidR="00F9061F" w:rsidRPr="00EB0DA4">
        <w:rPr>
          <w:szCs w:val="20"/>
        </w:rPr>
        <w:t xml:space="preserve"> at the </w:t>
      </w:r>
      <w:r w:rsidR="00F9061F">
        <w:rPr>
          <w:szCs w:val="20"/>
        </w:rPr>
        <w:t>Q</w:t>
      </w:r>
      <w:r w:rsidR="00AD7EE2">
        <w:rPr>
          <w:szCs w:val="20"/>
        </w:rPr>
        <w:t>TT</w:t>
      </w:r>
      <w:r w:rsidR="00F9061F" w:rsidRPr="00EB0DA4">
        <w:rPr>
          <w:szCs w:val="20"/>
        </w:rPr>
        <w:t xml:space="preserve"> </w:t>
      </w:r>
      <w:r w:rsidR="00F9061F">
        <w:rPr>
          <w:szCs w:val="20"/>
        </w:rPr>
        <w:t>Stage</w:t>
      </w:r>
      <w:r w:rsidR="00F9061F" w:rsidRPr="00EB0DA4">
        <w:rPr>
          <w:szCs w:val="20"/>
        </w:rPr>
        <w:t xml:space="preserve">, as part of the </w:t>
      </w:r>
      <w:r w:rsidR="00AD7EE2">
        <w:rPr>
          <w:szCs w:val="20"/>
        </w:rPr>
        <w:t>QTT</w:t>
      </w:r>
      <w:r w:rsidR="00F9061F" w:rsidRPr="00EB0DA4">
        <w:rPr>
          <w:szCs w:val="20"/>
        </w:rPr>
        <w:t xml:space="preserve"> </w:t>
      </w:r>
      <w:r w:rsidR="00B8629D">
        <w:rPr>
          <w:szCs w:val="20"/>
        </w:rPr>
        <w:t>d</w:t>
      </w:r>
      <w:r w:rsidR="00F9061F">
        <w:rPr>
          <w:szCs w:val="20"/>
        </w:rPr>
        <w:t>ocumentation</w:t>
      </w:r>
      <w:r w:rsidR="005806EF">
        <w:rPr>
          <w:szCs w:val="20"/>
        </w:rPr>
        <w:t xml:space="preserve"> (chapter 3 of this document)</w:t>
      </w:r>
      <w:r w:rsidR="00F9061F" w:rsidRPr="00EB0DA4">
        <w:rPr>
          <w:szCs w:val="20"/>
        </w:rPr>
        <w:t xml:space="preserve">, to entities </w:t>
      </w:r>
      <w:r w:rsidR="00F9061F">
        <w:rPr>
          <w:szCs w:val="20"/>
        </w:rPr>
        <w:t>that</w:t>
      </w:r>
      <w:r w:rsidR="00F9061F" w:rsidRPr="00EB0DA4">
        <w:rPr>
          <w:szCs w:val="20"/>
        </w:rPr>
        <w:t xml:space="preserve"> have registered on the Portal</w:t>
      </w:r>
      <w:r w:rsidR="00E6536D">
        <w:t xml:space="preserve">; </w:t>
      </w:r>
    </w:p>
    <w:p w:rsidR="00E6536D" w:rsidRDefault="00E6536D">
      <w:pPr>
        <w:pStyle w:val="CommentText"/>
      </w:pPr>
    </w:p>
    <w:p w:rsidR="00E6536D" w:rsidRDefault="00305572">
      <w:r>
        <w:rPr>
          <w:b/>
          <w:bCs/>
        </w:rPr>
        <w:t>“</w:t>
      </w:r>
      <w:r w:rsidR="002A2AB8">
        <w:rPr>
          <w:b/>
          <w:bCs/>
        </w:rPr>
        <w:t>Qualification to Tender</w:t>
      </w:r>
      <w:r>
        <w:rPr>
          <w:b/>
          <w:bCs/>
        </w:rPr>
        <w:t xml:space="preserve"> Stage”</w:t>
      </w:r>
      <w:r w:rsidR="00E6536D">
        <w:rPr>
          <w:b/>
          <w:bCs/>
        </w:rPr>
        <w:t xml:space="preserve"> </w:t>
      </w:r>
      <w:r w:rsidR="00E6536D">
        <w:t>or</w:t>
      </w:r>
      <w:r w:rsidR="002A2AB8">
        <w:rPr>
          <w:b/>
          <w:bCs/>
        </w:rPr>
        <w:t xml:space="preserve"> “QTT</w:t>
      </w:r>
      <w:r w:rsidR="00E6536D">
        <w:rPr>
          <w:b/>
          <w:bCs/>
        </w:rPr>
        <w:t xml:space="preserve"> Stage”</w:t>
      </w:r>
      <w:r w:rsidR="00E6536D">
        <w:t xml:space="preserve"> </w:t>
      </w:r>
      <w:r w:rsidR="00F9061F" w:rsidRPr="00EB0DA4">
        <w:rPr>
          <w:szCs w:val="20"/>
        </w:rPr>
        <w:t xml:space="preserve">means the period starting from the publication of the </w:t>
      </w:r>
      <w:r w:rsidR="00AD7EE2">
        <w:rPr>
          <w:szCs w:val="20"/>
        </w:rPr>
        <w:t>QTT</w:t>
      </w:r>
      <w:r w:rsidR="00F9061F" w:rsidRPr="00EB0DA4">
        <w:rPr>
          <w:szCs w:val="20"/>
        </w:rPr>
        <w:t xml:space="preserve"> </w:t>
      </w:r>
      <w:r w:rsidR="00B8629D">
        <w:rPr>
          <w:szCs w:val="20"/>
        </w:rPr>
        <w:t>d</w:t>
      </w:r>
      <w:r w:rsidR="00F9061F">
        <w:rPr>
          <w:szCs w:val="20"/>
        </w:rPr>
        <w:t>ocumentation</w:t>
      </w:r>
      <w:r w:rsidR="00F9061F" w:rsidRPr="00EB0DA4">
        <w:rPr>
          <w:szCs w:val="20"/>
        </w:rPr>
        <w:t xml:space="preserve">, including the preparation, </w:t>
      </w:r>
      <w:r w:rsidR="00A910F7">
        <w:rPr>
          <w:szCs w:val="20"/>
        </w:rPr>
        <w:t>s</w:t>
      </w:r>
      <w:r w:rsidR="00F9061F">
        <w:rPr>
          <w:szCs w:val="20"/>
        </w:rPr>
        <w:t>ubmission</w:t>
      </w:r>
      <w:r w:rsidR="00F9061F" w:rsidRPr="00EB0DA4">
        <w:rPr>
          <w:szCs w:val="20"/>
        </w:rPr>
        <w:t xml:space="preserve"> and evaluation of </w:t>
      </w:r>
      <w:r w:rsidR="00F9061F">
        <w:rPr>
          <w:szCs w:val="20"/>
        </w:rPr>
        <w:t xml:space="preserve">PQ </w:t>
      </w:r>
      <w:r w:rsidR="00F9061F" w:rsidRPr="00EB0DA4">
        <w:rPr>
          <w:szCs w:val="20"/>
        </w:rPr>
        <w:t>Submissions and ending o</w:t>
      </w:r>
      <w:r w:rsidR="00B32782">
        <w:rPr>
          <w:szCs w:val="20"/>
        </w:rPr>
        <w:t>nce Ofgem has published the short</w:t>
      </w:r>
      <w:r w:rsidR="00F9061F" w:rsidRPr="00EB0DA4">
        <w:rPr>
          <w:szCs w:val="20"/>
        </w:rPr>
        <w:t>list of Qualifying Bidde</w:t>
      </w:r>
      <w:r w:rsidR="00F9061F">
        <w:rPr>
          <w:szCs w:val="20"/>
        </w:rPr>
        <w:t xml:space="preserve">rs who are invited to participate in </w:t>
      </w:r>
      <w:r w:rsidR="00F9061F" w:rsidRPr="00EB0DA4">
        <w:rPr>
          <w:szCs w:val="20"/>
        </w:rPr>
        <w:t xml:space="preserve">the </w:t>
      </w:r>
      <w:r w:rsidR="00B32782">
        <w:rPr>
          <w:szCs w:val="20"/>
        </w:rPr>
        <w:t>I</w:t>
      </w:r>
      <w:r w:rsidR="00F9061F">
        <w:rPr>
          <w:szCs w:val="20"/>
        </w:rPr>
        <w:t>TT</w:t>
      </w:r>
      <w:r w:rsidR="00F9061F" w:rsidRPr="00EB0DA4">
        <w:rPr>
          <w:szCs w:val="20"/>
        </w:rPr>
        <w:t xml:space="preserve"> </w:t>
      </w:r>
      <w:r w:rsidR="00F9061F">
        <w:rPr>
          <w:szCs w:val="20"/>
        </w:rPr>
        <w:t>Stage;</w:t>
      </w:r>
    </w:p>
    <w:p w:rsidR="00E6536D" w:rsidRDefault="00E6536D"/>
    <w:p w:rsidR="00E6536D" w:rsidRDefault="00305572">
      <w:r>
        <w:rPr>
          <w:b/>
          <w:bCs/>
        </w:rPr>
        <w:t>“</w:t>
      </w:r>
      <w:r w:rsidR="002A2AB8">
        <w:rPr>
          <w:b/>
          <w:bCs/>
        </w:rPr>
        <w:t>Qualification to Tender</w:t>
      </w:r>
      <w:r>
        <w:rPr>
          <w:b/>
          <w:bCs/>
        </w:rPr>
        <w:t xml:space="preserve"> Submission”</w:t>
      </w:r>
      <w:r w:rsidR="00E6536D">
        <w:rPr>
          <w:b/>
          <w:bCs/>
        </w:rPr>
        <w:t xml:space="preserve"> </w:t>
      </w:r>
      <w:r w:rsidR="00E6536D">
        <w:t xml:space="preserve">or </w:t>
      </w:r>
      <w:r w:rsidR="002A2AB8">
        <w:rPr>
          <w:b/>
          <w:bCs/>
        </w:rPr>
        <w:t>“</w:t>
      </w:r>
      <w:r w:rsidR="00E6536D">
        <w:rPr>
          <w:b/>
          <w:bCs/>
        </w:rPr>
        <w:t>Q</w:t>
      </w:r>
      <w:r w:rsidR="002A2AB8">
        <w:rPr>
          <w:b/>
          <w:bCs/>
        </w:rPr>
        <w:t>TT</w:t>
      </w:r>
      <w:r w:rsidR="00E6536D">
        <w:rPr>
          <w:b/>
          <w:bCs/>
        </w:rPr>
        <w:t xml:space="preserve"> Submission”</w:t>
      </w:r>
      <w:r w:rsidR="00E6536D">
        <w:t xml:space="preserve"> </w:t>
      </w:r>
      <w:r w:rsidR="00F9061F" w:rsidRPr="00EB0DA4">
        <w:rPr>
          <w:szCs w:val="20"/>
        </w:rPr>
        <w:t xml:space="preserve">means a </w:t>
      </w:r>
      <w:r w:rsidR="00C307EC">
        <w:rPr>
          <w:szCs w:val="20"/>
        </w:rPr>
        <w:t xml:space="preserve">Qualifying </w:t>
      </w:r>
      <w:r w:rsidR="00F9061F">
        <w:rPr>
          <w:szCs w:val="20"/>
        </w:rPr>
        <w:t>Bidder</w:t>
      </w:r>
      <w:r w:rsidR="00F9061F" w:rsidRPr="00EB0DA4">
        <w:rPr>
          <w:szCs w:val="20"/>
        </w:rPr>
        <w:t xml:space="preserve">'s response to the </w:t>
      </w:r>
      <w:r w:rsidR="00AD7EE2">
        <w:rPr>
          <w:szCs w:val="20"/>
        </w:rPr>
        <w:t>QTT</w:t>
      </w:r>
      <w:r w:rsidR="00F9061F" w:rsidRPr="00EB0DA4">
        <w:rPr>
          <w:szCs w:val="20"/>
        </w:rPr>
        <w:t xml:space="preserve"> </w:t>
      </w:r>
      <w:r w:rsidR="00F9061F">
        <w:rPr>
          <w:szCs w:val="20"/>
        </w:rPr>
        <w:t>Document</w:t>
      </w:r>
      <w:r w:rsidR="00E6536D">
        <w:t xml:space="preserve">; </w:t>
      </w:r>
    </w:p>
    <w:p w:rsidR="00E6536D" w:rsidRDefault="00E6536D"/>
    <w:p w:rsidR="00E6536D" w:rsidRDefault="00305572">
      <w:r>
        <w:rPr>
          <w:b/>
          <w:bCs/>
        </w:rPr>
        <w:t>“</w:t>
      </w:r>
      <w:r w:rsidR="00E6536D">
        <w:rPr>
          <w:b/>
          <w:bCs/>
        </w:rPr>
        <w:t xml:space="preserve">Qualifying </w:t>
      </w:r>
      <w:r w:rsidR="0093477E">
        <w:rPr>
          <w:b/>
          <w:bCs/>
        </w:rPr>
        <w:t>Bidder</w:t>
      </w:r>
      <w:r>
        <w:rPr>
          <w:b/>
          <w:bCs/>
        </w:rPr>
        <w:t>”</w:t>
      </w:r>
      <w:r w:rsidR="00E6536D">
        <w:t xml:space="preserve"> </w:t>
      </w:r>
      <w:r w:rsidR="00F9061F" w:rsidRPr="00EB0DA4">
        <w:rPr>
          <w:szCs w:val="20"/>
        </w:rPr>
        <w:t xml:space="preserve">means a </w:t>
      </w:r>
      <w:r w:rsidR="00F9061F">
        <w:rPr>
          <w:szCs w:val="20"/>
        </w:rPr>
        <w:t>Bidder or Bidder Group</w:t>
      </w:r>
      <w:r w:rsidR="00F9061F" w:rsidRPr="00EB0DA4">
        <w:rPr>
          <w:szCs w:val="20"/>
        </w:rPr>
        <w:t xml:space="preserve"> invited to </w:t>
      </w:r>
      <w:r w:rsidR="00F9061F">
        <w:rPr>
          <w:szCs w:val="20"/>
        </w:rPr>
        <w:t>make</w:t>
      </w:r>
      <w:r w:rsidR="00F9061F" w:rsidRPr="00EB0DA4">
        <w:rPr>
          <w:szCs w:val="20"/>
        </w:rPr>
        <w:t xml:space="preserve"> a </w:t>
      </w:r>
      <w:r w:rsidR="00F9061F">
        <w:rPr>
          <w:szCs w:val="20"/>
        </w:rPr>
        <w:t>QTT</w:t>
      </w:r>
      <w:r w:rsidR="00F9061F" w:rsidRPr="00EB0DA4">
        <w:rPr>
          <w:szCs w:val="20"/>
        </w:rPr>
        <w:t xml:space="preserve"> Submission</w:t>
      </w:r>
      <w:r w:rsidR="00F9061F">
        <w:rPr>
          <w:szCs w:val="20"/>
        </w:rPr>
        <w:t xml:space="preserve"> or an ITT Submission</w:t>
      </w:r>
      <w:r w:rsidR="00E6536D">
        <w:t>;</w:t>
      </w:r>
    </w:p>
    <w:p w:rsidR="00E6536D" w:rsidRDefault="00E6536D">
      <w:pPr>
        <w:rPr>
          <w:b/>
          <w:bCs/>
        </w:rPr>
      </w:pPr>
    </w:p>
    <w:p w:rsidR="00E6536D" w:rsidRDefault="00305572">
      <w:pPr>
        <w:rPr>
          <w:b/>
          <w:bCs/>
        </w:rPr>
      </w:pPr>
      <w:r>
        <w:rPr>
          <w:b/>
          <w:bCs/>
        </w:rPr>
        <w:t>“Qualifying Project”</w:t>
      </w:r>
      <w:r w:rsidR="00E6536D">
        <w:rPr>
          <w:b/>
          <w:bCs/>
        </w:rPr>
        <w:t xml:space="preserve"> </w:t>
      </w:r>
      <w:r w:rsidR="000455CB" w:rsidRPr="00EB0DA4">
        <w:rPr>
          <w:szCs w:val="20"/>
        </w:rPr>
        <w:t xml:space="preserve">means an offshore generating project in respect of which Ofgem determines that the Developer has satisfied the </w:t>
      </w:r>
      <w:r w:rsidR="000455CB">
        <w:rPr>
          <w:szCs w:val="20"/>
        </w:rPr>
        <w:t>Qualifying Project</w:t>
      </w:r>
      <w:r w:rsidR="000455CB" w:rsidRPr="00EB0DA4">
        <w:rPr>
          <w:szCs w:val="20"/>
        </w:rPr>
        <w:t xml:space="preserve"> requirements described in paragraph </w:t>
      </w:r>
      <w:r w:rsidR="000455CB">
        <w:rPr>
          <w:szCs w:val="20"/>
        </w:rPr>
        <w:t>2 of Schedule 1 to the Tender Regulations</w:t>
      </w:r>
      <w:r w:rsidR="000455CB" w:rsidRPr="00EB0DA4">
        <w:rPr>
          <w:szCs w:val="20"/>
        </w:rPr>
        <w:t xml:space="preserve"> or which Ofgem determines at its discretion (exercised in accordance with the Tender Regulations) that the Developer will </w:t>
      </w:r>
      <w:r w:rsidR="000455CB">
        <w:rPr>
          <w:szCs w:val="20"/>
        </w:rPr>
        <w:t xml:space="preserve">use its reasonable endeavours to </w:t>
      </w:r>
      <w:r w:rsidR="000455CB" w:rsidRPr="00EB0DA4">
        <w:rPr>
          <w:szCs w:val="20"/>
        </w:rPr>
        <w:t xml:space="preserve">satisfy the relevant </w:t>
      </w:r>
      <w:r w:rsidR="000455CB">
        <w:rPr>
          <w:szCs w:val="20"/>
        </w:rPr>
        <w:t>Qualifying Project</w:t>
      </w:r>
      <w:r w:rsidR="000455CB" w:rsidRPr="00EB0DA4">
        <w:rPr>
          <w:szCs w:val="20"/>
        </w:rPr>
        <w:t xml:space="preserve"> requirements wit</w:t>
      </w:r>
      <w:r w:rsidR="00431048">
        <w:rPr>
          <w:szCs w:val="20"/>
        </w:rPr>
        <w:t>hin a period specified by Ofgem;</w:t>
      </w:r>
    </w:p>
    <w:p w:rsidR="00E6536D" w:rsidRDefault="00E6536D"/>
    <w:p w:rsidR="00E6536D" w:rsidRDefault="00305572">
      <w:r>
        <w:rPr>
          <w:b/>
          <w:bCs/>
        </w:rPr>
        <w:t>“Related Party”</w:t>
      </w:r>
      <w:r w:rsidR="00E6536D">
        <w:rPr>
          <w:b/>
          <w:bCs/>
        </w:rPr>
        <w:t xml:space="preserve"> </w:t>
      </w:r>
      <w:r w:rsidR="00E6536D">
        <w:t>or</w:t>
      </w:r>
      <w:r>
        <w:rPr>
          <w:b/>
          <w:bCs/>
        </w:rPr>
        <w:t xml:space="preserve"> “Related Parties”</w:t>
      </w:r>
      <w:r w:rsidR="00E6536D">
        <w:rPr>
          <w:b/>
          <w:bCs/>
        </w:rPr>
        <w:t xml:space="preserve"> </w:t>
      </w:r>
      <w:r w:rsidR="0058409F" w:rsidRPr="0058409F">
        <w:rPr>
          <w:bCs/>
        </w:rPr>
        <w:t xml:space="preserve">in relation to a </w:t>
      </w:r>
      <w:r w:rsidR="00C307EC">
        <w:rPr>
          <w:bCs/>
        </w:rPr>
        <w:t xml:space="preserve">Qualifying </w:t>
      </w:r>
      <w:r w:rsidR="0058409F" w:rsidRPr="0058409F">
        <w:rPr>
          <w:bCs/>
        </w:rPr>
        <w:t>Bidder (or any member of a Bidder Group) who is a principal undertaking, means a parent or subsidiary undertaking of the principal undertaking or</w:t>
      </w:r>
      <w:r w:rsidR="002F1A3A">
        <w:rPr>
          <w:bCs/>
        </w:rPr>
        <w:t xml:space="preserve"> a subsidiary undertaking of the parent undertaking of the principal undertaking, in each case within the meaning of section 1162 of the Companies Act 2006; and in relation to any </w:t>
      </w:r>
      <w:r w:rsidR="00C307EC">
        <w:rPr>
          <w:bCs/>
        </w:rPr>
        <w:t xml:space="preserve">Qualifying </w:t>
      </w:r>
      <w:r w:rsidR="002F1A3A">
        <w:rPr>
          <w:bCs/>
        </w:rPr>
        <w:t xml:space="preserve">Bidder (or any member of a Bidder Group) means a connected person of the </w:t>
      </w:r>
      <w:r w:rsidR="00C307EC">
        <w:rPr>
          <w:bCs/>
        </w:rPr>
        <w:t xml:space="preserve">Qualifying </w:t>
      </w:r>
      <w:r w:rsidR="002F1A3A">
        <w:rPr>
          <w:bCs/>
        </w:rPr>
        <w:t xml:space="preserve">Bidder (or member of a Bidder Group) within the meaning of section 286 of the Taxation of Chargeable Gains Act 1992; </w:t>
      </w:r>
      <w:r w:rsidR="002F1A3A">
        <w:rPr>
          <w:b/>
          <w:bCs/>
        </w:rPr>
        <w:br/>
      </w:r>
    </w:p>
    <w:p w:rsidR="00E6536D" w:rsidRDefault="00E6536D">
      <w:pPr>
        <w:rPr>
          <w:b/>
          <w:bCs/>
        </w:rPr>
      </w:pPr>
      <w:r>
        <w:rPr>
          <w:b/>
          <w:bCs/>
        </w:rPr>
        <w:t>"Reserve Bidder"</w:t>
      </w:r>
      <w:r>
        <w:t xml:space="preserve"> </w:t>
      </w:r>
      <w:r w:rsidR="005806EF">
        <w:t>m</w:t>
      </w:r>
      <w:r w:rsidR="005806EF" w:rsidRPr="005806EF">
        <w:t>eans the Qualifying Bidder determined by Ofgem, in its sole discretion and following its evaluation of the Bids received, as the second choice Qualifying Bidder to which Ofgem would consider granting the Offshore Transmission Licence should Ofgem determine not to grant the Offshore Transmission Licence to the Preferred Bidder</w:t>
      </w:r>
      <w:r>
        <w:t>;</w:t>
      </w:r>
      <w:r>
        <w:rPr>
          <w:b/>
          <w:bCs/>
        </w:rPr>
        <w:t xml:space="preserve"> </w:t>
      </w:r>
    </w:p>
    <w:p w:rsidR="00866C32" w:rsidRDefault="00866C32">
      <w:pPr>
        <w:rPr>
          <w:b/>
          <w:bCs/>
        </w:rPr>
      </w:pPr>
    </w:p>
    <w:p w:rsidR="00866C32" w:rsidRDefault="00866C32">
      <w:pPr>
        <w:rPr>
          <w:b/>
          <w:bCs/>
        </w:rPr>
      </w:pPr>
      <w:r>
        <w:rPr>
          <w:b/>
          <w:bCs/>
        </w:rPr>
        <w:t>“</w:t>
      </w:r>
      <w:r w:rsidRPr="00866C32">
        <w:rPr>
          <w:b/>
          <w:bCs/>
        </w:rPr>
        <w:t>Section 8A Licence Consultation</w:t>
      </w:r>
      <w:r>
        <w:rPr>
          <w:b/>
          <w:bCs/>
        </w:rPr>
        <w:t xml:space="preserve">” </w:t>
      </w:r>
      <w:r w:rsidRPr="00866C32">
        <w:rPr>
          <w:bCs/>
        </w:rPr>
        <w:t xml:space="preserve">means </w:t>
      </w:r>
      <w:r>
        <w:rPr>
          <w:bCs/>
        </w:rPr>
        <w:t>the</w:t>
      </w:r>
      <w:r w:rsidRPr="00866C32">
        <w:rPr>
          <w:bCs/>
        </w:rPr>
        <w:t xml:space="preserve"> public notice</w:t>
      </w:r>
      <w:r>
        <w:rPr>
          <w:bCs/>
        </w:rPr>
        <w:t xml:space="preserve"> issued by Ofgem</w:t>
      </w:r>
      <w:r w:rsidRPr="00866C32">
        <w:rPr>
          <w:bCs/>
        </w:rPr>
        <w:t>, in accordance with section 8A of the Electricity Act, to propose a modification to the standard conditions of each Offshore Transmission Licence in order to incorporat</w:t>
      </w:r>
      <w:r>
        <w:rPr>
          <w:bCs/>
        </w:rPr>
        <w:t>e the OFTO-specific provisions</w:t>
      </w:r>
      <w:r w:rsidRPr="00866C32">
        <w:rPr>
          <w:bCs/>
        </w:rPr>
        <w:t xml:space="preserve"> in the Offshore Transmission Licence at the time of Offshore Transmission Licence grant. This notice is subject to a statutory pu</w:t>
      </w:r>
      <w:r>
        <w:rPr>
          <w:bCs/>
        </w:rPr>
        <w:t>blic 28 day consultation period;</w:t>
      </w:r>
    </w:p>
    <w:p w:rsidR="00E6536D" w:rsidRDefault="00E6536D">
      <w:pPr>
        <w:rPr>
          <w:b/>
          <w:bCs/>
        </w:rPr>
      </w:pPr>
    </w:p>
    <w:p w:rsidR="00E6536D" w:rsidRDefault="00305572">
      <w:r>
        <w:rPr>
          <w:b/>
          <w:bCs/>
        </w:rPr>
        <w:t>“Successful Bidder”</w:t>
      </w:r>
      <w:r w:rsidR="00E6536D">
        <w:rPr>
          <w:b/>
          <w:bCs/>
        </w:rPr>
        <w:t xml:space="preserve"> </w:t>
      </w:r>
      <w:r w:rsidR="00E6536D">
        <w:t xml:space="preserve">means a Preferred Bidder to which Ofgem has determined to grant an Offshore Transmission Licence; </w:t>
      </w:r>
    </w:p>
    <w:p w:rsidR="00CD3A59" w:rsidRDefault="00CD3A59"/>
    <w:p w:rsidR="00E6536D" w:rsidRDefault="00E6536D">
      <w:r>
        <w:rPr>
          <w:b/>
          <w:bCs/>
        </w:rPr>
        <w:lastRenderedPageBreak/>
        <w:t>“Tender Exercise”</w:t>
      </w:r>
      <w:r>
        <w:t xml:space="preserve"> means the competitive process run by Ofgem in order to identify a Successful Bidder to be granted an Offshore Transmission Licence in relation to a particular Qualifying Project;</w:t>
      </w:r>
    </w:p>
    <w:p w:rsidR="00E6536D" w:rsidRDefault="00E6536D"/>
    <w:p w:rsidR="00E6536D" w:rsidRDefault="00305572">
      <w:r>
        <w:rPr>
          <w:b/>
          <w:bCs/>
        </w:rPr>
        <w:t>“</w:t>
      </w:r>
      <w:r w:rsidR="00E6536D">
        <w:rPr>
          <w:b/>
          <w:bCs/>
        </w:rPr>
        <w:t>Tender Regulations</w:t>
      </w:r>
      <w:r>
        <w:rPr>
          <w:b/>
          <w:bCs/>
        </w:rPr>
        <w:t>”</w:t>
      </w:r>
      <w:r w:rsidR="00E6536D">
        <w:t xml:space="preserve"> means the Electricity (Competitive Tenders for Offshore Transmission Licences) Regulations 2010; </w:t>
      </w:r>
    </w:p>
    <w:p w:rsidR="00552579" w:rsidRDefault="00552579"/>
    <w:p w:rsidR="00552579" w:rsidRPr="00580E79" w:rsidRDefault="00305572" w:rsidP="00552579">
      <w:pPr>
        <w:rPr>
          <w:szCs w:val="20"/>
        </w:rPr>
      </w:pPr>
      <w:r>
        <w:rPr>
          <w:b/>
          <w:szCs w:val="20"/>
        </w:rPr>
        <w:t>“</w:t>
      </w:r>
      <w:r w:rsidR="00552579" w:rsidRPr="0059456E">
        <w:rPr>
          <w:b/>
          <w:szCs w:val="20"/>
        </w:rPr>
        <w:t>Tender Rev</w:t>
      </w:r>
      <w:r>
        <w:rPr>
          <w:b/>
          <w:szCs w:val="20"/>
        </w:rPr>
        <w:t>enue Stream”</w:t>
      </w:r>
      <w:r w:rsidR="00552579" w:rsidRPr="0059456E">
        <w:rPr>
          <w:b/>
          <w:szCs w:val="20"/>
        </w:rPr>
        <w:t xml:space="preserve"> </w:t>
      </w:r>
      <w:r w:rsidR="00552579" w:rsidRPr="0059456E">
        <w:rPr>
          <w:szCs w:val="20"/>
        </w:rPr>
        <w:t xml:space="preserve">means a constant revenue stream in real terms submitted by the Qualifying Bidder for </w:t>
      </w:r>
      <w:r w:rsidR="00431048">
        <w:rPr>
          <w:szCs w:val="20"/>
        </w:rPr>
        <w:t>the relevant Qualifying Project;</w:t>
      </w:r>
    </w:p>
    <w:p w:rsidR="00E6536D" w:rsidRDefault="00E6536D"/>
    <w:p w:rsidR="00E6536D" w:rsidRPr="00305572" w:rsidRDefault="00305572">
      <w:pPr>
        <w:rPr>
          <w:b/>
          <w:bCs/>
        </w:rPr>
      </w:pPr>
      <w:r>
        <w:rPr>
          <w:b/>
          <w:bCs/>
        </w:rPr>
        <w:t>“</w:t>
      </w:r>
      <w:r w:rsidR="00E6536D">
        <w:rPr>
          <w:b/>
          <w:bCs/>
        </w:rPr>
        <w:t>Tender Round</w:t>
      </w:r>
      <w:r>
        <w:rPr>
          <w:b/>
          <w:bCs/>
        </w:rPr>
        <w:t>”</w:t>
      </w:r>
      <w:r w:rsidR="00E6536D">
        <w:rPr>
          <w:b/>
          <w:bCs/>
        </w:rPr>
        <w:t xml:space="preserve"> </w:t>
      </w:r>
      <w:r w:rsidR="00E6536D">
        <w:t xml:space="preserve">means the </w:t>
      </w:r>
      <w:r w:rsidR="00F9061F">
        <w:t xml:space="preserve">Tender Exercises </w:t>
      </w:r>
      <w:r w:rsidR="00E6536D">
        <w:t xml:space="preserve">run by Ofgem in order to identify Successful Bidders to be granted Offshore Transmission Licenses in relation to Qualifying Projects; </w:t>
      </w:r>
    </w:p>
    <w:p w:rsidR="00E6536D" w:rsidRDefault="00E6536D"/>
    <w:p w:rsidR="00E6536D" w:rsidRDefault="00305572">
      <w:r>
        <w:rPr>
          <w:b/>
          <w:bCs/>
        </w:rPr>
        <w:t>“Tender Rules”</w:t>
      </w:r>
      <w:r w:rsidR="00E6536D">
        <w:rPr>
          <w:b/>
          <w:bCs/>
        </w:rPr>
        <w:t xml:space="preserve"> </w:t>
      </w:r>
      <w:r w:rsidR="009F5CEE">
        <w:rPr>
          <w:szCs w:val="20"/>
        </w:rPr>
        <w:t>means the Tender R</w:t>
      </w:r>
      <w:r w:rsidR="00F9061F" w:rsidRPr="00580E79">
        <w:rPr>
          <w:szCs w:val="20"/>
        </w:rPr>
        <w:t>ules</w:t>
      </w:r>
      <w:r w:rsidR="009F5CEE">
        <w:rPr>
          <w:szCs w:val="20"/>
        </w:rPr>
        <w:t xml:space="preserve"> for the second transitional Tender Round</w:t>
      </w:r>
      <w:r w:rsidR="00F9061F" w:rsidRPr="00580E79">
        <w:rPr>
          <w:szCs w:val="20"/>
        </w:rPr>
        <w:t xml:space="preserve"> published by Ofgem pursuant to regulation 9(4) of the Tender Regulations (as amended by </w:t>
      </w:r>
      <w:r w:rsidR="00F9061F">
        <w:rPr>
          <w:szCs w:val="20"/>
        </w:rPr>
        <w:t xml:space="preserve">any </w:t>
      </w:r>
      <w:r w:rsidR="00F9061F" w:rsidRPr="00580E79">
        <w:rPr>
          <w:szCs w:val="20"/>
        </w:rPr>
        <w:t xml:space="preserve">documents subsequently issued by Ofgem in connection with the </w:t>
      </w:r>
      <w:r w:rsidR="00F9061F">
        <w:rPr>
          <w:szCs w:val="20"/>
        </w:rPr>
        <w:t>Tender Round</w:t>
      </w:r>
      <w:r w:rsidR="00F9061F" w:rsidRPr="00580E79">
        <w:rPr>
          <w:szCs w:val="20"/>
        </w:rPr>
        <w:t xml:space="preserve"> or a </w:t>
      </w:r>
      <w:r w:rsidR="00F9061F">
        <w:rPr>
          <w:szCs w:val="20"/>
        </w:rPr>
        <w:t>Tender Exercise)</w:t>
      </w:r>
      <w:r w:rsidR="00E6536D">
        <w:t xml:space="preserve">; </w:t>
      </w:r>
    </w:p>
    <w:p w:rsidR="00B84B17" w:rsidRDefault="00B84B17"/>
    <w:p w:rsidR="00B84B17" w:rsidRDefault="00B84B17">
      <w:r w:rsidRPr="004377A9">
        <w:t>“</w:t>
      </w:r>
      <w:r w:rsidRPr="00B9019A">
        <w:rPr>
          <w:b/>
        </w:rPr>
        <w:t>Third Package</w:t>
      </w:r>
      <w:r w:rsidRPr="004377A9">
        <w:t>” means a package of European legislation on the liberalisation of EU gas and electricity markets;</w:t>
      </w:r>
    </w:p>
    <w:p w:rsidR="006526C9" w:rsidRDefault="006526C9"/>
    <w:p w:rsidR="006526C9" w:rsidRDefault="006526C9">
      <w:r>
        <w:t>“</w:t>
      </w:r>
      <w:r w:rsidRPr="006526C9">
        <w:rPr>
          <w:b/>
        </w:rPr>
        <w:t>Tranche A Tender Exercises</w:t>
      </w:r>
      <w:r>
        <w:t>” means the first tranche of Tender Exercises in the second transitional Tender Round, which</w:t>
      </w:r>
      <w:r w:rsidRPr="006526C9">
        <w:t xml:space="preserve"> commenced on 17 November 2010</w:t>
      </w:r>
    </w:p>
    <w:p w:rsidR="00CD3A59" w:rsidRDefault="00CD3A59"/>
    <w:p w:rsidR="00CD3A59" w:rsidRDefault="00305572" w:rsidP="00CD3A59">
      <w:pPr>
        <w:rPr>
          <w:szCs w:val="20"/>
        </w:rPr>
      </w:pPr>
      <w:r>
        <w:rPr>
          <w:b/>
          <w:szCs w:val="20"/>
        </w:rPr>
        <w:t>“</w:t>
      </w:r>
      <w:r w:rsidR="00CD3A59" w:rsidRPr="003604AF">
        <w:rPr>
          <w:b/>
          <w:szCs w:val="20"/>
        </w:rPr>
        <w:t>Transfer Agreement</w:t>
      </w:r>
      <w:r>
        <w:rPr>
          <w:b/>
          <w:szCs w:val="20"/>
        </w:rPr>
        <w:t>”</w:t>
      </w:r>
      <w:r w:rsidR="00CD3A59">
        <w:rPr>
          <w:szCs w:val="20"/>
        </w:rPr>
        <w:t xml:space="preserve"> means the agreement to transfer any property interests, rights or liabilities in or </w:t>
      </w:r>
      <w:r w:rsidR="00014742">
        <w:rPr>
          <w:szCs w:val="20"/>
        </w:rPr>
        <w:t>relating to Transmission Assets</w:t>
      </w:r>
      <w:r w:rsidR="00CD3A59">
        <w:rPr>
          <w:szCs w:val="20"/>
        </w:rPr>
        <w:t xml:space="preserve"> from a Developer to a Successful Bidder in respect of a Qualifying Project subject to a transiti</w:t>
      </w:r>
      <w:r w:rsidR="00431048">
        <w:rPr>
          <w:szCs w:val="20"/>
        </w:rPr>
        <w:t>onal Tender Exercise;</w:t>
      </w:r>
    </w:p>
    <w:p w:rsidR="00E6536D" w:rsidRDefault="00E6536D">
      <w:pPr>
        <w:pStyle w:val="CommentText"/>
      </w:pPr>
    </w:p>
    <w:p w:rsidR="00E6536D" w:rsidRDefault="00E6536D">
      <w:pPr>
        <w:rPr>
          <w:shd w:val="clear" w:color="auto" w:fill="FFFFFF"/>
        </w:rPr>
      </w:pPr>
      <w:r>
        <w:rPr>
          <w:b/>
          <w:bCs/>
        </w:rPr>
        <w:t>“Transmission Assets”</w:t>
      </w:r>
      <w:r>
        <w:t xml:space="preserve"> has the meaning given in paragraph 1(3</w:t>
      </w:r>
      <w:r w:rsidR="005B2CBF">
        <w:t>) (</w:t>
      </w:r>
      <w:r>
        <w:t>a) of Sche</w:t>
      </w:r>
      <w:r w:rsidR="00B8629D">
        <w:t>dule 2A to the Electricity Act;</w:t>
      </w:r>
    </w:p>
    <w:p w:rsidR="00E6536D" w:rsidRDefault="00E6536D">
      <w:pPr>
        <w:pStyle w:val="CommentText"/>
      </w:pPr>
    </w:p>
    <w:p w:rsidR="00CD3A59" w:rsidRDefault="00305572">
      <w:r>
        <w:rPr>
          <w:b/>
          <w:bCs/>
        </w:rPr>
        <w:t>“Transitional Regime”</w:t>
      </w:r>
      <w:r w:rsidR="00E6536D">
        <w:rPr>
          <w:b/>
          <w:bCs/>
        </w:rPr>
        <w:t xml:space="preserve"> </w:t>
      </w:r>
      <w:r w:rsidR="00F9061F" w:rsidRPr="00580E79">
        <w:t xml:space="preserve">means </w:t>
      </w:r>
      <w:r w:rsidR="00F9061F">
        <w:t>Tender Rounds</w:t>
      </w:r>
      <w:r w:rsidR="00F9061F" w:rsidRPr="00580E79">
        <w:t xml:space="preserve"> for the grant of Offshore Transmission Licences where the </w:t>
      </w:r>
      <w:r w:rsidR="00F9061F">
        <w:t>Transmission Assets</w:t>
      </w:r>
      <w:r w:rsidR="00F9061F" w:rsidRPr="00580E79">
        <w:t xml:space="preserve"> have been or are being constructed by Developers, and where the Developer meets certain </w:t>
      </w:r>
      <w:r w:rsidR="00F9061F">
        <w:t>Qualifying Project</w:t>
      </w:r>
      <w:r w:rsidR="00F9061F" w:rsidRPr="00580E79">
        <w:t xml:space="preserve"> requirements to the satisfaction of the Authority</w:t>
      </w:r>
      <w:r w:rsidR="00B8629D">
        <w:t>;</w:t>
      </w:r>
    </w:p>
    <w:p w:rsidR="00CD3A59" w:rsidRDefault="00CD3A59"/>
    <w:p w:rsidR="00CD3A59" w:rsidRDefault="00305572" w:rsidP="00CD3A59">
      <w:pPr>
        <w:pStyle w:val="Paragrapgh"/>
        <w:numPr>
          <w:ilvl w:val="0"/>
          <w:numId w:val="0"/>
        </w:numPr>
        <w:spacing w:before="0" w:after="0"/>
      </w:pPr>
      <w:r>
        <w:rPr>
          <w:b/>
        </w:rPr>
        <w:t>“</w:t>
      </w:r>
      <w:r w:rsidR="00CD3A59">
        <w:rPr>
          <w:b/>
        </w:rPr>
        <w:t>Transmission S</w:t>
      </w:r>
      <w:r w:rsidR="00CD3A59" w:rsidRPr="003604AF">
        <w:rPr>
          <w:b/>
        </w:rPr>
        <w:t>ervices</w:t>
      </w:r>
      <w:r>
        <w:rPr>
          <w:b/>
        </w:rPr>
        <w:t xml:space="preserve">” </w:t>
      </w:r>
      <w:r w:rsidR="00CD3A59">
        <w:t xml:space="preserve">has the meaning given in the standard conditions of an Offshore Transmission Licence. </w:t>
      </w:r>
    </w:p>
    <w:p w:rsidR="00E6536D" w:rsidRDefault="00E6536D">
      <w:r>
        <w:t xml:space="preserve"> </w:t>
      </w:r>
    </w:p>
    <w:p w:rsidR="00C91AF5" w:rsidRDefault="00C91AF5">
      <w:pPr>
        <w:pStyle w:val="Glossarytext"/>
      </w:pPr>
    </w:p>
    <w:sectPr w:rsidR="00C91AF5" w:rsidSect="007E2A3B">
      <w:headerReference w:type="even" r:id="rId29"/>
      <w:headerReference w:type="default" r:id="rId30"/>
      <w:pgSz w:w="12240" w:h="15840"/>
      <w:pgMar w:top="1797" w:right="1797" w:bottom="1440" w:left="1797" w:header="720" w:footer="720" w:gutter="0"/>
      <w:paperSrc w:first="259" w:other="25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9FE" w:rsidRDefault="005379FE">
      <w:r>
        <w:separator/>
      </w:r>
    </w:p>
    <w:p w:rsidR="005379FE" w:rsidRDefault="005379FE"/>
    <w:p w:rsidR="005379FE" w:rsidRDefault="005379FE"/>
    <w:p w:rsidR="005379FE" w:rsidRDefault="005379FE"/>
    <w:p w:rsidR="005379FE" w:rsidRDefault="005379FE"/>
  </w:endnote>
  <w:endnote w:type="continuationSeparator" w:id="0">
    <w:p w:rsidR="005379FE" w:rsidRDefault="005379FE">
      <w:r>
        <w:continuationSeparator/>
      </w:r>
    </w:p>
    <w:p w:rsidR="005379FE" w:rsidRDefault="005379FE"/>
    <w:p w:rsidR="005379FE" w:rsidRDefault="005379FE"/>
    <w:p w:rsidR="005379FE" w:rsidRDefault="005379FE"/>
    <w:p w:rsidR="005379FE" w:rsidRDefault="005379F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0" w:usb1="00000000" w:usb2="00000000" w:usb3="00000000" w:csb0="00000000"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GOmega-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69422"/>
      <w:docPartObj>
        <w:docPartGallery w:val="Page Numbers (Bottom of Page)"/>
        <w:docPartUnique/>
      </w:docPartObj>
    </w:sdtPr>
    <w:sdtContent>
      <w:p w:rsidR="005379FE" w:rsidRDefault="005379FE" w:rsidP="00AC56E4">
        <w:pPr>
          <w:pStyle w:val="Footer"/>
          <w:pBdr>
            <w:bottom w:val="single" w:sz="6" w:space="1" w:color="auto"/>
          </w:pBdr>
          <w:tabs>
            <w:tab w:val="left" w:pos="904"/>
          </w:tabs>
        </w:pPr>
      </w:p>
      <w:p w:rsidR="005379FE" w:rsidRDefault="005379FE" w:rsidP="00AC56E4">
        <w:pPr>
          <w:pStyle w:val="Footer"/>
          <w:tabs>
            <w:tab w:val="left" w:pos="904"/>
          </w:tabs>
        </w:pPr>
      </w:p>
      <w:p w:rsidR="005379FE" w:rsidRDefault="005379FE" w:rsidP="00037434">
        <w:pPr>
          <w:pStyle w:val="Footer"/>
          <w:tabs>
            <w:tab w:val="left" w:pos="904"/>
          </w:tabs>
          <w:ind w:right="320"/>
        </w:pPr>
        <w:r>
          <w:t>Office of Gas and Electricity Markets</w:t>
        </w:r>
        <w:r>
          <w:tab/>
        </w:r>
        <w:r>
          <w:tab/>
        </w:r>
        <w:r w:rsidR="00ED2B5F">
          <w:rPr>
            <w:rStyle w:val="PageNumber"/>
          </w:rPr>
          <w:fldChar w:fldCharType="begin"/>
        </w:r>
        <w:r>
          <w:rPr>
            <w:rStyle w:val="PageNumber"/>
          </w:rPr>
          <w:instrText xml:space="preserve"> PAGE </w:instrText>
        </w:r>
        <w:r w:rsidR="00ED2B5F">
          <w:rPr>
            <w:rStyle w:val="PageNumber"/>
          </w:rPr>
          <w:fldChar w:fldCharType="separate"/>
        </w:r>
        <w:r w:rsidR="00D863A7">
          <w:rPr>
            <w:rStyle w:val="PageNumber"/>
            <w:noProof/>
          </w:rPr>
          <w:t>56</w:t>
        </w:r>
        <w:r w:rsidR="00ED2B5F">
          <w:rPr>
            <w:rStyle w:val="PageNumber"/>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9FE" w:rsidRDefault="005379FE">
      <w:r>
        <w:separator/>
      </w:r>
    </w:p>
    <w:p w:rsidR="005379FE" w:rsidRDefault="005379FE"/>
    <w:p w:rsidR="005379FE" w:rsidRDefault="005379FE"/>
    <w:p w:rsidR="005379FE" w:rsidRDefault="005379FE"/>
    <w:p w:rsidR="005379FE" w:rsidRDefault="005379FE"/>
  </w:footnote>
  <w:footnote w:type="continuationSeparator" w:id="0">
    <w:p w:rsidR="005379FE" w:rsidRDefault="005379FE">
      <w:r>
        <w:continuationSeparator/>
      </w:r>
    </w:p>
    <w:p w:rsidR="005379FE" w:rsidRDefault="005379FE"/>
    <w:p w:rsidR="005379FE" w:rsidRDefault="005379FE"/>
    <w:p w:rsidR="005379FE" w:rsidRDefault="005379FE"/>
    <w:p w:rsidR="005379FE" w:rsidRDefault="005379FE"/>
  </w:footnote>
  <w:footnote w:id="1">
    <w:p w:rsidR="005379FE" w:rsidRPr="00101CC7" w:rsidRDefault="005379FE" w:rsidP="00101CC7">
      <w:pPr>
        <w:pStyle w:val="Footnotetext0"/>
        <w:rPr>
          <w:sz w:val="16"/>
        </w:rPr>
      </w:pPr>
      <w:r w:rsidRPr="00101CC7">
        <w:rPr>
          <w:rStyle w:val="FootnoteReference"/>
          <w:sz w:val="16"/>
        </w:rPr>
        <w:footnoteRef/>
      </w:r>
      <w:r w:rsidRPr="00101CC7">
        <w:rPr>
          <w:sz w:val="16"/>
        </w:rPr>
        <w:t xml:space="preserve"> And its predecessors, the Department for Trade and Industry and the Department of Business, Enterprise and Regulatory Reform</w:t>
      </w:r>
    </w:p>
  </w:footnote>
  <w:footnote w:id="2">
    <w:p w:rsidR="005379FE" w:rsidRDefault="005379FE">
      <w:pPr>
        <w:pStyle w:val="FootnoteText"/>
      </w:pPr>
      <w:r>
        <w:rPr>
          <w:rStyle w:val="FootnoteReference"/>
        </w:rPr>
        <w:footnoteRef/>
      </w:r>
      <w:r>
        <w:t xml:space="preserve"> </w:t>
      </w:r>
      <w:r>
        <w:rPr>
          <w:sz w:val="16"/>
          <w:szCs w:val="16"/>
        </w:rPr>
        <w:t>See Appendix 4</w:t>
      </w:r>
      <w:r w:rsidRPr="0058409F">
        <w:rPr>
          <w:sz w:val="16"/>
          <w:szCs w:val="16"/>
        </w:rPr>
        <w:t xml:space="preserve"> for more information on Ofgem.</w:t>
      </w:r>
    </w:p>
  </w:footnote>
  <w:footnote w:id="3">
    <w:p w:rsidR="005379FE" w:rsidRDefault="005379FE" w:rsidP="00101CC7">
      <w:pPr>
        <w:pStyle w:val="Footnotetext0"/>
      </w:pPr>
      <w:r w:rsidRPr="00101CC7">
        <w:rPr>
          <w:rStyle w:val="FootnoteReference"/>
          <w:sz w:val="16"/>
        </w:rPr>
        <w:footnoteRef/>
      </w:r>
      <w:r w:rsidRPr="00101CC7">
        <w:rPr>
          <w:sz w:val="16"/>
        </w:rPr>
        <w:t xml:space="preserve"> This can be found via the following link: </w:t>
      </w:r>
      <w:hyperlink r:id="rId1" w:history="1">
        <w:r w:rsidRPr="00101CC7">
          <w:rPr>
            <w:rStyle w:val="Hyperlink"/>
            <w:sz w:val="16"/>
          </w:rPr>
          <w:t>www.ofgem.gov.uk/Networks/offtrans/pdc/cdr/cons2009/Documents1/Main.pdf</w:t>
        </w:r>
      </w:hyperlink>
      <w:r>
        <w:t xml:space="preserve"> </w:t>
      </w:r>
    </w:p>
  </w:footnote>
  <w:footnote w:id="4">
    <w:p w:rsidR="005379FE" w:rsidRDefault="005379FE">
      <w:pPr>
        <w:pStyle w:val="FootnoteText"/>
      </w:pPr>
      <w:r>
        <w:rPr>
          <w:rStyle w:val="FootnoteReference"/>
        </w:rPr>
        <w:footnoteRef/>
      </w:r>
      <w:hyperlink r:id="rId2" w:history="1">
        <w:r w:rsidRPr="001550F4">
          <w:rPr>
            <w:rStyle w:val="Hyperlink"/>
            <w:sz w:val="18"/>
          </w:rPr>
          <w:t>http://www.ofgem.gov.uk/Pages/MoreInformation.aspx?docid=7&amp;refer=Networks/offtrans/rttt</w:t>
        </w:r>
      </w:hyperlink>
      <w:r>
        <w:t xml:space="preserve"> </w:t>
      </w:r>
    </w:p>
  </w:footnote>
  <w:footnote w:id="5">
    <w:p w:rsidR="005379FE" w:rsidRPr="004B3FE7" w:rsidRDefault="005379FE" w:rsidP="00653BE1">
      <w:pPr>
        <w:pStyle w:val="FootnoteText"/>
        <w:rPr>
          <w:color w:val="FF0000"/>
        </w:rPr>
      </w:pPr>
      <w:r>
        <w:rPr>
          <w:rStyle w:val="FootnoteReference"/>
        </w:rPr>
        <w:footnoteRef/>
      </w:r>
      <w:r>
        <w:t xml:space="preserve"> </w:t>
      </w:r>
      <w:r w:rsidRPr="00653BE1">
        <w:t>Solely for the purposes of making QTT Submissions, Qualifying Bidders should assume asset transfer once all the Transmission Assets have been completed. However, given the legislative requirement</w:t>
      </w:r>
      <w:r>
        <w:t>s under the Electricity Act</w:t>
      </w:r>
      <w:r w:rsidRPr="00653BE1">
        <w:t xml:space="preserve"> in respect of offshore transmission, and the construction programme for London Array Phase 1 as referenced in the </w:t>
      </w:r>
      <w:r>
        <w:t xml:space="preserve">relevant </w:t>
      </w:r>
      <w:r w:rsidRPr="00653BE1">
        <w:t xml:space="preserve">Information Memorandum, it is expected that this project will </w:t>
      </w:r>
      <w:r>
        <w:t>be subject to a phased transfer of assets</w:t>
      </w:r>
    </w:p>
  </w:footnote>
  <w:footnote w:id="6">
    <w:p w:rsidR="005379FE" w:rsidRDefault="005379FE" w:rsidP="00FF20F2">
      <w:pPr>
        <w:pStyle w:val="FootnoteText"/>
      </w:pPr>
      <w:r>
        <w:rPr>
          <w:rStyle w:val="FootnoteReference"/>
        </w:rPr>
        <w:footnoteRef/>
      </w:r>
      <w:r>
        <w:t xml:space="preserve"> See, for example, the Tender Rules, paragraph 4.26.</w:t>
      </w:r>
    </w:p>
  </w:footnote>
  <w:footnote w:id="7">
    <w:p w:rsidR="005379FE" w:rsidRPr="005E30EB" w:rsidRDefault="005379FE" w:rsidP="00027F40">
      <w:pPr>
        <w:pStyle w:val="FootnoteText"/>
        <w:rPr>
          <w:sz w:val="20"/>
        </w:rPr>
      </w:pPr>
      <w:r w:rsidRPr="005E30EB">
        <w:rPr>
          <w:rStyle w:val="FootnoteReference"/>
          <w:sz w:val="20"/>
        </w:rPr>
        <w:footnoteRef/>
      </w:r>
      <w:hyperlink r:id="rId3" w:history="1">
        <w:r w:rsidRPr="001A4497">
          <w:rPr>
            <w:rStyle w:val="Hyperlink"/>
            <w:sz w:val="18"/>
          </w:rPr>
          <w:t>http://www.ofgem.gov.uk/Networks/offtrans/pdc/cdr/cons2009/Documents1/Main.pdf</w:t>
        </w:r>
      </w:hyperlink>
      <w:r>
        <w:t xml:space="preserve"> </w:t>
      </w:r>
      <w:r w:rsidRPr="005E30EB">
        <w:rPr>
          <w:sz w:val="20"/>
        </w:rPr>
        <w:t xml:space="preserve"> </w:t>
      </w:r>
    </w:p>
  </w:footnote>
  <w:footnote w:id="8">
    <w:p w:rsidR="005379FE" w:rsidRPr="005E30EB" w:rsidRDefault="005379FE" w:rsidP="00027F40">
      <w:pPr>
        <w:pStyle w:val="FootnoteText"/>
        <w:rPr>
          <w:sz w:val="20"/>
        </w:rPr>
      </w:pPr>
      <w:r w:rsidRPr="005E30EB">
        <w:rPr>
          <w:rStyle w:val="FootnoteReference"/>
          <w:sz w:val="20"/>
        </w:rPr>
        <w:footnoteRef/>
      </w:r>
      <w:hyperlink r:id="rId4" w:history="1">
        <w:r w:rsidRPr="005A2B8F">
          <w:rPr>
            <w:rStyle w:val="Hyperlink"/>
            <w:sz w:val="18"/>
            <w:szCs w:val="18"/>
          </w:rPr>
          <w:t>http://www.ofgem.gov.uk/Pages/MoreInformation.aspx?docid=85&amp;refer=Networks/offtrans/pdc/cdr/cons2009</w:t>
        </w:r>
      </w:hyperlink>
      <w:r>
        <w:rPr>
          <w:sz w:val="20"/>
        </w:rPr>
        <w:t xml:space="preserve"> </w:t>
      </w:r>
    </w:p>
  </w:footnote>
  <w:footnote w:id="9">
    <w:p w:rsidR="005379FE" w:rsidRPr="004F499D" w:rsidRDefault="005379FE" w:rsidP="00027F40">
      <w:pPr>
        <w:pStyle w:val="FootnoteText"/>
        <w:rPr>
          <w:szCs w:val="18"/>
        </w:rPr>
      </w:pPr>
      <w:r w:rsidRPr="00D37060">
        <w:rPr>
          <w:rStyle w:val="FootnoteReference"/>
          <w:szCs w:val="18"/>
        </w:rPr>
        <w:footnoteRef/>
      </w:r>
      <w:r w:rsidRPr="00D37060">
        <w:rPr>
          <w:szCs w:val="18"/>
        </w:rPr>
        <w:t xml:space="preserve">Available via the electronic public register on the Ofgem website: </w:t>
      </w:r>
      <w:hyperlink r:id="rId5" w:history="1">
        <w:r w:rsidRPr="00D37060">
          <w:rPr>
            <w:rStyle w:val="Hyperlink"/>
            <w:sz w:val="18"/>
            <w:szCs w:val="18"/>
          </w:rPr>
          <w:t>http://epr.ofgem.gov.uk/</w:t>
        </w:r>
      </w:hyperlink>
      <w:r w:rsidRPr="00D37060">
        <w:rPr>
          <w:szCs w:val="18"/>
        </w:rPr>
        <w:t xml:space="preserve"> </w:t>
      </w:r>
    </w:p>
  </w:footnote>
  <w:footnote w:id="10">
    <w:p w:rsidR="005379FE" w:rsidRPr="004F499D" w:rsidRDefault="005379FE" w:rsidP="00027F40">
      <w:pPr>
        <w:pStyle w:val="FootnoteText"/>
        <w:rPr>
          <w:szCs w:val="18"/>
        </w:rPr>
      </w:pPr>
      <w:r w:rsidRPr="00D37060">
        <w:rPr>
          <w:rStyle w:val="FootnoteReference"/>
          <w:szCs w:val="18"/>
        </w:rPr>
        <w:footnoteRef/>
      </w:r>
      <w:hyperlink r:id="rId6" w:history="1">
        <w:r w:rsidRPr="00D37060">
          <w:rPr>
            <w:rStyle w:val="Hyperlink"/>
            <w:sz w:val="18"/>
            <w:szCs w:val="18"/>
          </w:rPr>
          <w:t>http://www.ofgem.gov.uk/Pages/MoreInformation.aspx?docid=52&amp;refer=Networks/offtrans/pdc/cdr/Cons2010</w:t>
        </w:r>
      </w:hyperlink>
      <w:r w:rsidRPr="00D37060">
        <w:rPr>
          <w:szCs w:val="18"/>
        </w:rPr>
        <w:t xml:space="preserve"> </w:t>
      </w:r>
    </w:p>
  </w:footnote>
  <w:footnote w:id="11">
    <w:p w:rsidR="005379FE" w:rsidRPr="004F499D" w:rsidRDefault="005379FE" w:rsidP="00027F40">
      <w:pPr>
        <w:pStyle w:val="FootnoteText"/>
        <w:rPr>
          <w:szCs w:val="18"/>
        </w:rPr>
      </w:pPr>
      <w:r w:rsidRPr="004F499D">
        <w:rPr>
          <w:rStyle w:val="FootnoteReference"/>
          <w:szCs w:val="18"/>
        </w:rPr>
        <w:footnoteRef/>
      </w:r>
      <w:hyperlink r:id="rId7" w:history="1">
        <w:r w:rsidRPr="000262FE">
          <w:rPr>
            <w:rStyle w:val="Hyperlink"/>
            <w:sz w:val="18"/>
            <w:szCs w:val="18"/>
          </w:rPr>
          <w:t>http://www.ofgem.gov.uk/Networks/offtrans/pdc/cdr/Cons2010/Documents1/Guidance%20Note%20Generic%20OFTO%20licence.pdf</w:t>
        </w:r>
      </w:hyperlink>
      <w:r>
        <w:rPr>
          <w:szCs w:val="18"/>
        </w:rPr>
        <w:t xml:space="preserve"> </w:t>
      </w:r>
      <w:r w:rsidRPr="004F499D">
        <w:rPr>
          <w:szCs w:val="18"/>
        </w:rPr>
        <w:t xml:space="preserve"> </w:t>
      </w:r>
    </w:p>
  </w:footnote>
  <w:footnote w:id="12">
    <w:p w:rsidR="005379FE" w:rsidRPr="004F499D" w:rsidRDefault="005379FE" w:rsidP="00027F40">
      <w:pPr>
        <w:pStyle w:val="FootnoteText"/>
        <w:rPr>
          <w:szCs w:val="18"/>
        </w:rPr>
      </w:pPr>
      <w:r w:rsidRPr="00D37060">
        <w:rPr>
          <w:rStyle w:val="FootnoteReference"/>
          <w:szCs w:val="18"/>
        </w:rPr>
        <w:footnoteRef/>
      </w:r>
      <w:hyperlink r:id="rId8" w:history="1">
        <w:r w:rsidRPr="00D37060">
          <w:rPr>
            <w:rStyle w:val="Hyperlink"/>
            <w:sz w:val="18"/>
            <w:szCs w:val="18"/>
          </w:rPr>
          <w:t>http://www.ofgem.gov.uk/Pages/MoreInformation.aspx?docid=24&amp;refer=Networks/offtrans/rott</w:t>
        </w:r>
      </w:hyperlink>
      <w:r w:rsidRPr="004F499D">
        <w:rPr>
          <w:szCs w:val="18"/>
        </w:rPr>
        <w:t xml:space="preserve"> </w:t>
      </w:r>
    </w:p>
  </w:footnote>
  <w:footnote w:id="13">
    <w:p w:rsidR="005379FE" w:rsidRDefault="005379FE">
      <w:pPr>
        <w:pStyle w:val="FootnoteText"/>
      </w:pPr>
      <w:r>
        <w:rPr>
          <w:rStyle w:val="FootnoteReference"/>
        </w:rPr>
        <w:footnoteRef/>
      </w:r>
      <w:hyperlink r:id="rId9" w:history="1">
        <w:r w:rsidRPr="001550F4">
          <w:rPr>
            <w:rStyle w:val="Hyperlink"/>
            <w:sz w:val="18"/>
          </w:rPr>
          <w:t>http://www.ofgem.gov.uk/Pages/MoreInformation.aspx?docid=13&amp;refer=Networks/offtrans/rttt</w:t>
        </w:r>
      </w:hyperlink>
      <w:r>
        <w:t xml:space="preserve"> </w:t>
      </w:r>
    </w:p>
  </w:footnote>
  <w:footnote w:id="14">
    <w:p w:rsidR="005379FE" w:rsidRDefault="005379FE">
      <w:pPr>
        <w:pStyle w:val="FootnoteText"/>
      </w:pPr>
      <w:r>
        <w:rPr>
          <w:rStyle w:val="FootnoteReference"/>
        </w:rPr>
        <w:footnoteRef/>
      </w:r>
      <w:hyperlink r:id="rId10" w:history="1">
        <w:r w:rsidRPr="00EE0761">
          <w:rPr>
            <w:rStyle w:val="Hyperlink"/>
            <w:sz w:val="18"/>
          </w:rPr>
          <w:t>http://www.ofgem.gov.uk/Networks/Policy/Documents1/GUIDANCE%20DOC%20(DECISION%20DOC)%20-%20FINAL.pdf</w:t>
        </w:r>
      </w:hyperlink>
      <w:r>
        <w:t xml:space="preserve"> </w:t>
      </w:r>
    </w:p>
  </w:footnote>
  <w:footnote w:id="15">
    <w:p w:rsidR="005379FE" w:rsidRDefault="005379FE" w:rsidP="00027F40">
      <w:pPr>
        <w:pStyle w:val="FootnoteText"/>
      </w:pPr>
      <w:r w:rsidRPr="004F499D">
        <w:rPr>
          <w:rStyle w:val="FootnoteReference"/>
          <w:szCs w:val="18"/>
        </w:rPr>
        <w:footnoteRef/>
      </w:r>
      <w:r w:rsidRPr="004F499D">
        <w:rPr>
          <w:szCs w:val="18"/>
        </w:rPr>
        <w:t xml:space="preserve"> The codes establish detailed rules for industry that govern market operation, the terms for connection and access to energy markets. Further details in relation to the codes relevant to offshore transmission can be found at </w:t>
      </w:r>
      <w:hyperlink r:id="rId11" w:history="1">
        <w:r>
          <w:rPr>
            <w:rStyle w:val="Hyperlink"/>
            <w:sz w:val="18"/>
            <w:szCs w:val="18"/>
          </w:rPr>
          <w:t>http://www.ofgem.gov.uk/NETWORKS/OFFTRANS/SF/Pages/sf.aspx</w:t>
        </w:r>
      </w:hyperlink>
      <w:r>
        <w:t xml:space="preserve"> </w:t>
      </w:r>
    </w:p>
  </w:footnote>
  <w:footnote w:id="16">
    <w:p w:rsidR="005379FE" w:rsidRDefault="005379FE">
      <w:pPr>
        <w:pStyle w:val="FootnoteText"/>
      </w:pPr>
      <w:r>
        <w:rPr>
          <w:rStyle w:val="FootnoteReference"/>
        </w:rPr>
        <w:footnoteRef/>
      </w:r>
      <w:hyperlink r:id="rId12" w:history="1">
        <w:r w:rsidRPr="00981EB5">
          <w:rPr>
            <w:rStyle w:val="Hyperlink"/>
            <w:sz w:val="18"/>
          </w:rPr>
          <w:t>http://www.decc.gov.uk/en/content/cms/consultations/resp_3rd_pack/resp_3rd_pack.aspx</w:t>
        </w:r>
      </w:hyperlink>
    </w:p>
  </w:footnote>
  <w:footnote w:id="17">
    <w:p w:rsidR="005379FE" w:rsidRDefault="005379FE" w:rsidP="00C80E5A">
      <w:pPr>
        <w:pStyle w:val="FootnoteText"/>
      </w:pPr>
      <w:r>
        <w:rPr>
          <w:rStyle w:val="FootnoteReference"/>
        </w:rPr>
        <w:footnoteRef/>
      </w:r>
      <w:hyperlink r:id="rId13" w:history="1">
        <w:r w:rsidRPr="00696581">
          <w:rPr>
            <w:rStyle w:val="Hyperlink"/>
            <w:sz w:val="18"/>
          </w:rPr>
          <w:t>http://www.decc.gov.uk/en/content/cms/what_we_do/uk_supply/energy_mix/renewable/policy/offshore/orei/orei.aspx</w:t>
        </w:r>
      </w:hyperlink>
      <w:r>
        <w:t xml:space="preserve"> </w:t>
      </w:r>
    </w:p>
  </w:footnote>
  <w:footnote w:id="18">
    <w:p w:rsidR="005379FE" w:rsidRDefault="005379FE">
      <w:pPr>
        <w:pStyle w:val="FootnoteText"/>
      </w:pPr>
      <w:r>
        <w:rPr>
          <w:rStyle w:val="FootnoteReference"/>
        </w:rPr>
        <w:footnoteRef/>
      </w:r>
      <w:r>
        <w:t xml:space="preserve"> </w:t>
      </w:r>
      <w:hyperlink r:id="rId14" w:history="1">
        <w:r w:rsidRPr="008C519F">
          <w:rPr>
            <w:rStyle w:val="Hyperlink"/>
            <w:sz w:val="18"/>
          </w:rPr>
          <w:t>http://www.ofgem.gov.uk/Networks/offtrans/rttt/Documents1/Pre-Qualification%20Document%20for%20the%20Second%20Transitional%20Tender%20Round.pdf</w:t>
        </w:r>
      </w:hyperlink>
      <w:r>
        <w:t xml:space="preserve"> </w:t>
      </w:r>
    </w:p>
  </w:footnote>
  <w:footnote w:id="19">
    <w:p w:rsidR="005379FE" w:rsidRDefault="005379FE">
      <w:pPr>
        <w:pStyle w:val="FootnoteText"/>
      </w:pPr>
      <w:r>
        <w:rPr>
          <w:rStyle w:val="FootnoteReference"/>
        </w:rPr>
        <w:footnoteRef/>
      </w:r>
      <w:r>
        <w:t xml:space="preserve"> Insert name of Qualifying Project here </w:t>
      </w:r>
    </w:p>
  </w:footnote>
  <w:footnote w:id="20">
    <w:p w:rsidR="005379FE" w:rsidRPr="00101CC7" w:rsidRDefault="005379FE" w:rsidP="003B6B58">
      <w:pPr>
        <w:pStyle w:val="FootnoteText"/>
        <w:rPr>
          <w:sz w:val="16"/>
          <w:szCs w:val="16"/>
        </w:rPr>
      </w:pPr>
      <w:r w:rsidRPr="00101CC7">
        <w:rPr>
          <w:rStyle w:val="FootnoteReference"/>
          <w:sz w:val="16"/>
          <w:szCs w:val="16"/>
        </w:rPr>
        <w:footnoteRef/>
      </w:r>
      <w:r w:rsidRPr="00101CC7">
        <w:rPr>
          <w:sz w:val="16"/>
          <w:szCs w:val="16"/>
        </w:rPr>
        <w:t xml:space="preserve">see </w:t>
      </w:r>
      <w:hyperlink r:id="rId15" w:history="1">
        <w:r w:rsidRPr="00101CC7">
          <w:rPr>
            <w:rStyle w:val="Hyperlink"/>
            <w:sz w:val="16"/>
            <w:szCs w:val="16"/>
          </w:rPr>
          <w:t>http://www.dca.gov.uk/foi/codesprac.htm</w:t>
        </w:r>
      </w:hyperlink>
    </w:p>
  </w:footnote>
  <w:footnote w:id="21">
    <w:p w:rsidR="005379FE" w:rsidRPr="00101CC7" w:rsidRDefault="005379FE">
      <w:pPr>
        <w:pStyle w:val="Footnotetext0"/>
        <w:rPr>
          <w:sz w:val="16"/>
        </w:rPr>
      </w:pPr>
      <w:r w:rsidRPr="00101CC7">
        <w:rPr>
          <w:sz w:val="16"/>
          <w:vertAlign w:val="superscript"/>
        </w:rPr>
        <w:footnoteRef/>
      </w:r>
      <w:r w:rsidRPr="00101CC7">
        <w:rPr>
          <w:sz w:val="16"/>
        </w:rPr>
        <w:t xml:space="preserve"> Entitled “Gas Supply” and “Electricity Supply” respectively.</w:t>
      </w:r>
    </w:p>
  </w:footnote>
  <w:footnote w:id="22">
    <w:p w:rsidR="005379FE" w:rsidRDefault="005379FE">
      <w:pPr>
        <w:pStyle w:val="Footnotetext0"/>
      </w:pPr>
      <w:r w:rsidRPr="00101CC7">
        <w:rPr>
          <w:sz w:val="16"/>
          <w:vertAlign w:val="superscript"/>
        </w:rPr>
        <w:footnoteRef/>
      </w:r>
      <w:r w:rsidRPr="00101CC7">
        <w:rPr>
          <w:sz w:val="16"/>
        </w:rPr>
        <w:t xml:space="preserve"> However, in exercising a function under the Electricity Act the Authority may have regard to the interests of consumers in relation to gas conveyed through pipes and vice versa in the case of it exercising a function under the Gas Act.</w:t>
      </w:r>
    </w:p>
  </w:footnote>
  <w:footnote w:id="23">
    <w:p w:rsidR="005379FE" w:rsidRPr="00101CC7" w:rsidRDefault="005379FE">
      <w:pPr>
        <w:pStyle w:val="Footnotetext0"/>
        <w:rPr>
          <w:sz w:val="16"/>
        </w:rPr>
      </w:pPr>
      <w:r w:rsidRPr="00101CC7">
        <w:rPr>
          <w:sz w:val="16"/>
          <w:vertAlign w:val="superscript"/>
        </w:rPr>
        <w:footnoteRef/>
      </w:r>
      <w:r w:rsidRPr="00101CC7">
        <w:rPr>
          <w:sz w:val="16"/>
        </w:rPr>
        <w:t xml:space="preserve"> Under the Gas Act and the Utilities Act, in the case of Gas Act functions, or the Electricity Act, the Utilities Act and certain parts of the Energy Acts in the case of Electricity Act functions.</w:t>
      </w:r>
    </w:p>
  </w:footnote>
  <w:footnote w:id="24">
    <w:p w:rsidR="005379FE" w:rsidRPr="00101CC7" w:rsidRDefault="005379FE">
      <w:pPr>
        <w:pStyle w:val="Footnotetext0"/>
        <w:rPr>
          <w:sz w:val="16"/>
        </w:rPr>
      </w:pPr>
      <w:r w:rsidRPr="00101CC7">
        <w:rPr>
          <w:sz w:val="16"/>
          <w:vertAlign w:val="superscript"/>
        </w:rPr>
        <w:footnoteRef/>
      </w:r>
      <w:r w:rsidRPr="00101CC7">
        <w:rPr>
          <w:sz w:val="16"/>
        </w:rPr>
        <w:t xml:space="preserve"> The Authority may have regard to other descriptions of consumers.</w:t>
      </w:r>
    </w:p>
  </w:footnote>
  <w:footnote w:id="25">
    <w:p w:rsidR="005379FE" w:rsidRDefault="005379FE">
      <w:pPr>
        <w:pStyle w:val="Footnotetext0"/>
      </w:pPr>
      <w:r w:rsidRPr="00101CC7">
        <w:rPr>
          <w:sz w:val="16"/>
          <w:vertAlign w:val="superscript"/>
        </w:rPr>
        <w:footnoteRef/>
      </w:r>
      <w:r w:rsidRPr="00101CC7">
        <w:rPr>
          <w:sz w:val="16"/>
        </w:rPr>
        <w:t xml:space="preserve"> Or persons authorised by exemptions to carry on any activity.</w:t>
      </w:r>
    </w:p>
  </w:footnote>
  <w:footnote w:id="26">
    <w:p w:rsidR="005379FE" w:rsidRDefault="005379FE">
      <w:pPr>
        <w:pStyle w:val="Footnotetext0"/>
        <w:rPr>
          <w:szCs w:val="18"/>
        </w:rPr>
      </w:pPr>
      <w:r>
        <w:rPr>
          <w:sz w:val="16"/>
          <w:vertAlign w:val="superscript"/>
        </w:rPr>
        <w:footnoteRef/>
      </w:r>
      <w:r>
        <w:rPr>
          <w:szCs w:val="18"/>
        </w:rPr>
        <w:t xml:space="preserve"> </w:t>
      </w:r>
      <w:r>
        <w:rPr>
          <w:sz w:val="16"/>
        </w:rPr>
        <w:t>Council Regulation (EC) 1/2003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FE" w:rsidRDefault="00ED2B5F" w:rsidP="00A8231E">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7.3pt;margin-top:0;width:645.3pt;height:45pt;z-index:251656192" filled="f" stroked="f">
          <v:textbox style="mso-next-textbox:#_x0000_s2050">
            <w:txbxContent>
              <w:p w:rsidR="005379FE" w:rsidRDefault="005379FE" w:rsidP="00097F7B">
                <w:pPr>
                  <w:pStyle w:val="Header"/>
                  <w:tabs>
                    <w:tab w:val="clear" w:pos="8640"/>
                    <w:tab w:val="right" w:pos="8789"/>
                  </w:tabs>
                </w:pPr>
                <w:r w:rsidRPr="00A8231E">
                  <w:t xml:space="preserve">Tender Round 2: </w:t>
                </w:r>
                <w:r>
                  <w:t>QTT Document</w:t>
                </w:r>
                <w:r w:rsidRPr="00A8231E">
                  <w:tab/>
                </w:r>
                <w:r w:rsidRPr="00A8231E">
                  <w:tab/>
                </w:r>
                <w:r w:rsidRPr="00695AD5">
                  <w:t>26</w:t>
                </w:r>
                <w:r>
                  <w:t xml:space="preserve"> January 2011</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FE" w:rsidRDefault="00ED2B5F" w:rsidP="00A8231E">
    <w:pPr>
      <w:pStyle w:val="Header"/>
    </w:pPr>
    <w:r>
      <w:rPr>
        <w:noProof/>
      </w:rPr>
      <w:pict>
        <v:shapetype id="_x0000_t202" coordsize="21600,21600" o:spt="202" path="m,l,21600r21600,l21600,xe">
          <v:stroke joinstyle="miter"/>
          <v:path gradientshapeok="t" o:connecttype="rect"/>
        </v:shapetype>
        <v:shape id="_x0000_s2058" type="#_x0000_t202" style="position:absolute;margin-left:-7.3pt;margin-top:0;width:645.3pt;height:45pt;z-index:251664384" filled="f" stroked="f">
          <v:textbox style="mso-next-textbox:#_x0000_s2058">
            <w:txbxContent>
              <w:p w:rsidR="005379FE" w:rsidRPr="00A8231E" w:rsidRDefault="005379FE" w:rsidP="00A8231E">
                <w:pPr>
                  <w:pStyle w:val="Header"/>
                </w:pPr>
                <w:r w:rsidRPr="00A8231E">
                  <w:t xml:space="preserve">Tender Round 2: </w:t>
                </w:r>
                <w:r>
                  <w:t>QTT Document</w:t>
                </w:r>
                <w:r w:rsidRPr="00A8231E">
                  <w:tab/>
                </w:r>
                <w:r w:rsidRPr="00A8231E">
                  <w:tab/>
                </w:r>
                <w:r w:rsidRPr="00695AD5">
                  <w:t>26 J</w:t>
                </w:r>
                <w:r>
                  <w:t>anuary 2011</w:t>
                </w:r>
              </w:p>
              <w:p w:rsidR="005379FE" w:rsidRDefault="005379FE" w:rsidP="00A8231E">
                <w:pPr>
                  <w:pStyle w:val="Header"/>
                </w:pPr>
              </w:p>
              <w:p w:rsidR="005379FE" w:rsidRDefault="005379FE" w:rsidP="00A8231E">
                <w:pPr>
                  <w:pStyle w:val="Header"/>
                </w:pPr>
                <w:r>
                  <w:tab/>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FE" w:rsidRDefault="005379F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FE" w:rsidRDefault="00ED2B5F">
    <w:pPr>
      <w:tabs>
        <w:tab w:val="right" w:pos="10440"/>
      </w:tabs>
      <w:ind w:left="-1800" w:right="-1800"/>
    </w:pPr>
    <w:r>
      <w:rPr>
        <w:noProof/>
      </w:rPr>
      <w:pict>
        <v:shapetype id="_x0000_t202" coordsize="21600,21600" o:spt="202" path="m,l,21600r21600,l21600,xe">
          <v:stroke joinstyle="miter"/>
          <v:path gradientshapeok="t" o:connecttype="rect"/>
        </v:shapetype>
        <v:shape id="_x0000_s2052" type="#_x0000_t202" style="position:absolute;left:0;text-align:left;margin-left:-9pt;margin-top:3.75pt;width:450pt;height:45pt;z-index:251658240" filled="f" stroked="f">
          <v:textbox style="mso-next-textbox:#_x0000_s2052">
            <w:txbxContent>
              <w:p w:rsidR="005379FE" w:rsidRDefault="005379FE" w:rsidP="00A8231E">
                <w:pPr>
                  <w:pStyle w:val="Header"/>
                </w:pPr>
                <w:r>
                  <w:t>Tender Round 2: QTT Document</w:t>
                </w:r>
                <w:r>
                  <w:tab/>
                </w:r>
                <w:r>
                  <w:tab/>
                </w:r>
                <w:r w:rsidRPr="00695AD5">
                  <w:t>26 J</w:t>
                </w:r>
                <w:r>
                  <w:t>anuary 2011</w:t>
                </w:r>
              </w:p>
              <w:p w:rsidR="005379FE" w:rsidRDefault="005379FE" w:rsidP="00A8231E">
                <w:pPr>
                  <w:pStyle w:val="Header"/>
                </w:pPr>
              </w:p>
              <w:p w:rsidR="005379FE" w:rsidRDefault="005379FE" w:rsidP="00A8231E">
                <w:pPr>
                  <w:pStyle w:val="Header"/>
                </w:pPr>
              </w:p>
              <w:p w:rsidR="005379FE" w:rsidRDefault="005379FE" w:rsidP="00A8231E">
                <w:pPr>
                  <w:pStyle w:val="Header"/>
                </w:pPr>
              </w:p>
              <w:p w:rsidR="005379FE" w:rsidRDefault="005379FE" w:rsidP="00A8231E">
                <w:pPr>
                  <w:pStyle w:val="Header"/>
                </w:pPr>
                <w:r>
                  <w:tab/>
                </w:r>
              </w:p>
            </w:txbxContent>
          </v:textbox>
        </v:shape>
      </w:pict>
    </w:r>
    <w:r>
      <w:rPr>
        <w:noProof/>
      </w:rPr>
      <w:pict>
        <v:shape id="_x0000_s2054" type="#_x0000_t202" style="position:absolute;left:0;text-align:left;margin-left:-36pt;margin-top:-36pt;width:531pt;height:27pt;z-index:251660288" filled="f" stroked="f">
          <v:textbox style="mso-next-textbox:#_x0000_s2054">
            <w:txbxContent>
              <w:p w:rsidR="005379FE" w:rsidRDefault="005379FE" w:rsidP="00A8231E">
                <w:pPr>
                  <w:pStyle w:val="Header"/>
                </w:pPr>
                <w:r>
                  <w:t>Appendices</w:t>
                </w:r>
              </w:p>
            </w:txbxContent>
          </v:textbox>
        </v:shape>
      </w:pict>
    </w:r>
    <w:r>
      <w:rPr>
        <w:noProof/>
      </w:rPr>
      <w:pict>
        <v:rect id="_x0000_s2053" style="position:absolute;left:0;text-align:left;margin-left:-123pt;margin-top:-35.9pt;width:870pt;height:19.55pt;z-index:251659264" fillcolor="#b7dbf4" stroked="f" strokecolor="#fdd9c5">
          <w10:anchorlock/>
        </v:rect>
      </w:pict>
    </w:r>
    <w:r>
      <w:rPr>
        <w:noProof/>
      </w:rPr>
      <w:pict>
        <v:rect id="_x0000_s2051" style="position:absolute;left:0;text-align:left;margin-left:-123pt;margin-top:-80.6pt;width:645pt;height:19.55pt;z-index:251657216" fillcolor="#b7dbf4" stroked="f" strokecolor="#fdd9c5">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5EC"/>
    <w:multiLevelType w:val="hybridMultilevel"/>
    <w:tmpl w:val="0EEA62E8"/>
    <w:lvl w:ilvl="0" w:tplc="4DC03EFA">
      <w:start w:val="1"/>
      <w:numFmt w:val="decimal"/>
      <w:pStyle w:val="Text-Numbered"/>
      <w:lvlText w:val="%1."/>
      <w:lvlJc w:val="left"/>
      <w:pPr>
        <w:tabs>
          <w:tab w:val="num" w:pos="360"/>
        </w:tabs>
        <w:ind w:left="360" w:hanging="360"/>
      </w:pPr>
      <w:rPr>
        <w:rFonts w:hint="default"/>
        <w:b/>
        <w:i w:val="0"/>
      </w:rPr>
    </w:lvl>
    <w:lvl w:ilvl="1" w:tplc="508C93A4" w:tentative="1">
      <w:start w:val="1"/>
      <w:numFmt w:val="lowerLetter"/>
      <w:lvlText w:val="%2."/>
      <w:lvlJc w:val="left"/>
      <w:pPr>
        <w:tabs>
          <w:tab w:val="num" w:pos="1080"/>
        </w:tabs>
        <w:ind w:left="1080" w:hanging="360"/>
      </w:pPr>
    </w:lvl>
    <w:lvl w:ilvl="2" w:tplc="92C404CA" w:tentative="1">
      <w:start w:val="1"/>
      <w:numFmt w:val="lowerRoman"/>
      <w:lvlText w:val="%3."/>
      <w:lvlJc w:val="right"/>
      <w:pPr>
        <w:tabs>
          <w:tab w:val="num" w:pos="1800"/>
        </w:tabs>
        <w:ind w:left="1800" w:hanging="180"/>
      </w:pPr>
    </w:lvl>
    <w:lvl w:ilvl="3" w:tplc="25DA7F38" w:tentative="1">
      <w:start w:val="1"/>
      <w:numFmt w:val="decimal"/>
      <w:lvlText w:val="%4."/>
      <w:lvlJc w:val="left"/>
      <w:pPr>
        <w:tabs>
          <w:tab w:val="num" w:pos="2520"/>
        </w:tabs>
        <w:ind w:left="2520" w:hanging="360"/>
      </w:pPr>
    </w:lvl>
    <w:lvl w:ilvl="4" w:tplc="28EAF0A2" w:tentative="1">
      <w:start w:val="1"/>
      <w:numFmt w:val="lowerLetter"/>
      <w:lvlText w:val="%5."/>
      <w:lvlJc w:val="left"/>
      <w:pPr>
        <w:tabs>
          <w:tab w:val="num" w:pos="3240"/>
        </w:tabs>
        <w:ind w:left="3240" w:hanging="360"/>
      </w:pPr>
    </w:lvl>
    <w:lvl w:ilvl="5" w:tplc="1B969C9A" w:tentative="1">
      <w:start w:val="1"/>
      <w:numFmt w:val="lowerRoman"/>
      <w:lvlText w:val="%6."/>
      <w:lvlJc w:val="right"/>
      <w:pPr>
        <w:tabs>
          <w:tab w:val="num" w:pos="3960"/>
        </w:tabs>
        <w:ind w:left="3960" w:hanging="180"/>
      </w:pPr>
    </w:lvl>
    <w:lvl w:ilvl="6" w:tplc="572EF3BA" w:tentative="1">
      <w:start w:val="1"/>
      <w:numFmt w:val="decimal"/>
      <w:lvlText w:val="%7."/>
      <w:lvlJc w:val="left"/>
      <w:pPr>
        <w:tabs>
          <w:tab w:val="num" w:pos="4680"/>
        </w:tabs>
        <w:ind w:left="4680" w:hanging="360"/>
      </w:pPr>
    </w:lvl>
    <w:lvl w:ilvl="7" w:tplc="D3364F80" w:tentative="1">
      <w:start w:val="1"/>
      <w:numFmt w:val="lowerLetter"/>
      <w:lvlText w:val="%8."/>
      <w:lvlJc w:val="left"/>
      <w:pPr>
        <w:tabs>
          <w:tab w:val="num" w:pos="5400"/>
        </w:tabs>
        <w:ind w:left="5400" w:hanging="360"/>
      </w:pPr>
    </w:lvl>
    <w:lvl w:ilvl="8" w:tplc="37BA2992" w:tentative="1">
      <w:start w:val="1"/>
      <w:numFmt w:val="lowerRoman"/>
      <w:lvlText w:val="%9."/>
      <w:lvlJc w:val="right"/>
      <w:pPr>
        <w:tabs>
          <w:tab w:val="num" w:pos="6120"/>
        </w:tabs>
        <w:ind w:left="6120" w:hanging="180"/>
      </w:pPr>
    </w:lvl>
  </w:abstractNum>
  <w:abstractNum w:abstractNumId="1">
    <w:nsid w:val="08A67324"/>
    <w:multiLevelType w:val="hybridMultilevel"/>
    <w:tmpl w:val="0938170A"/>
    <w:lvl w:ilvl="0" w:tplc="08090015">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
    <w:nsid w:val="0C0F435E"/>
    <w:multiLevelType w:val="multilevel"/>
    <w:tmpl w:val="70F4D0B0"/>
    <w:lvl w:ilvl="0">
      <w:start w:val="1"/>
      <w:numFmt w:val="bullet"/>
      <w:lvlText w:val=""/>
      <w:lvlJc w:val="left"/>
      <w:pPr>
        <w:ind w:left="502" w:hanging="360"/>
      </w:pPr>
      <w:rPr>
        <w:rFonts w:ascii="Symbol" w:hAnsi="Symbol" w:hint="default"/>
      </w:rPr>
    </w:lvl>
    <w:lvl w:ilvl="1">
      <w:start w:val="1"/>
      <w:numFmt w:val="bullet"/>
      <w:lvlText w:val=""/>
      <w:lvlJc w:val="left"/>
      <w:pPr>
        <w:ind w:left="0" w:firstLine="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096EF5"/>
    <w:multiLevelType w:val="hybridMultilevel"/>
    <w:tmpl w:val="FA24CF80"/>
    <w:lvl w:ilvl="0" w:tplc="08090015">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DE59C6"/>
    <w:multiLevelType w:val="hybridMultilevel"/>
    <w:tmpl w:val="A78661C4"/>
    <w:lvl w:ilvl="0" w:tplc="08090001">
      <w:start w:val="1"/>
      <w:numFmt w:val="bullet"/>
      <w:pStyle w:val="ChapterSummary"/>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16B7A43"/>
    <w:multiLevelType w:val="multilevel"/>
    <w:tmpl w:val="FDC40C16"/>
    <w:lvl w:ilvl="0">
      <w:start w:val="1"/>
      <w:numFmt w:val="decimal"/>
      <w:pStyle w:val="Table1"/>
      <w:lvlText w:val="A.%1"/>
      <w:lvlJc w:val="left"/>
      <w:pPr>
        <w:tabs>
          <w:tab w:val="num" w:pos="567"/>
        </w:tabs>
        <w:ind w:left="567" w:hanging="567"/>
      </w:pPr>
      <w:rPr>
        <w:rFonts w:ascii="Times New Roman Bold" w:hAnsi="Times New Roman Bold"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nsid w:val="141A550B"/>
    <w:multiLevelType w:val="hybridMultilevel"/>
    <w:tmpl w:val="3FF02BDE"/>
    <w:lvl w:ilvl="0" w:tplc="3BFECD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9134FF"/>
    <w:multiLevelType w:val="hybridMultilevel"/>
    <w:tmpl w:val="BF0E00FE"/>
    <w:lvl w:ilvl="0" w:tplc="9DEC0C34">
      <w:start w:val="1"/>
      <w:numFmt w:val="bullet"/>
      <w:lvlRestart w:val="0"/>
      <w:pStyle w:val="Bullet1"/>
      <w:lvlText w:val=""/>
      <w:lvlJc w:val="left"/>
      <w:pPr>
        <w:tabs>
          <w:tab w:val="num" w:pos="425"/>
        </w:tabs>
        <w:ind w:left="425" w:hanging="425"/>
      </w:pPr>
      <w:rPr>
        <w:rFonts w:ascii="Wingdings" w:hAnsi="Wingdings" w:hint="default"/>
        <w:color w:val="003263"/>
        <w:sz w:val="22"/>
      </w:rPr>
    </w:lvl>
    <w:lvl w:ilvl="1" w:tplc="C94844F6">
      <w:start w:val="1"/>
      <w:numFmt w:val="decimal"/>
      <w:lvlText w:val="%2."/>
      <w:lvlJc w:val="left"/>
      <w:pPr>
        <w:tabs>
          <w:tab w:val="num" w:pos="425"/>
        </w:tabs>
        <w:ind w:left="425" w:hanging="425"/>
      </w:pPr>
      <w:rPr>
        <w:rFonts w:ascii="Arial Bold" w:hAnsi="Arial Bold" w:hint="default"/>
        <w:b/>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0C2CA8"/>
    <w:multiLevelType w:val="hybridMultilevel"/>
    <w:tmpl w:val="B8C02400"/>
    <w:lvl w:ilvl="0" w:tplc="0809001B">
      <w:start w:val="1"/>
      <w:numFmt w:val="low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1EF60278"/>
    <w:multiLevelType w:val="hybridMultilevel"/>
    <w:tmpl w:val="D122BDEC"/>
    <w:lvl w:ilvl="0" w:tplc="08090015">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134D33"/>
    <w:multiLevelType w:val="hybridMultilevel"/>
    <w:tmpl w:val="B1AEED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5C09A4"/>
    <w:multiLevelType w:val="hybridMultilevel"/>
    <w:tmpl w:val="385A3B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3A6B62"/>
    <w:multiLevelType w:val="multilevel"/>
    <w:tmpl w:val="A4ACF740"/>
    <w:lvl w:ilvl="0">
      <w:start w:val="1"/>
      <w:numFmt w:val="decimal"/>
      <w:pStyle w:val="ChapterHeading"/>
      <w:suff w:val="space"/>
      <w:lvlText w:val="%1."/>
      <w:lvlJc w:val="left"/>
      <w:pPr>
        <w:ind w:left="502" w:hanging="360"/>
      </w:pPr>
      <w:rPr>
        <w:rFonts w:hint="default"/>
      </w:rPr>
    </w:lvl>
    <w:lvl w:ilvl="1">
      <w:start w:val="1"/>
      <w:numFmt w:val="decimal"/>
      <w:pStyle w:val="Paragrapgh"/>
      <w:suff w:val="space"/>
      <w:lvlText w:val="%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4D342BB"/>
    <w:multiLevelType w:val="hybridMultilevel"/>
    <w:tmpl w:val="9F4E0252"/>
    <w:lvl w:ilvl="0" w:tplc="08090001">
      <w:start w:val="1"/>
      <w:numFmt w:val="bullet"/>
      <w:lvlText w:val=""/>
      <w:lvlJc w:val="left"/>
      <w:pPr>
        <w:tabs>
          <w:tab w:val="num" w:pos="360"/>
        </w:tabs>
        <w:ind w:left="360" w:hanging="360"/>
      </w:pPr>
      <w:rPr>
        <w:rFonts w:ascii="Symbol" w:hAnsi="Symbol" w:hint="default"/>
      </w:rPr>
    </w:lvl>
    <w:lvl w:ilvl="1" w:tplc="08090019">
      <w:start w:val="1"/>
      <w:numFmt w:val="bullet"/>
      <w:lvlText w:val="o"/>
      <w:lvlJc w:val="left"/>
      <w:pPr>
        <w:tabs>
          <w:tab w:val="num" w:pos="1080"/>
        </w:tabs>
        <w:ind w:left="1080" w:hanging="360"/>
      </w:pPr>
      <w:rPr>
        <w:rFonts w:ascii="Courier New" w:hAnsi="Courier New" w:cs="Courier New" w:hint="default"/>
      </w:rPr>
    </w:lvl>
    <w:lvl w:ilvl="2" w:tplc="0809001B">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15">
    <w:nsid w:val="37DF1B15"/>
    <w:multiLevelType w:val="multilevel"/>
    <w:tmpl w:val="70F4D0B0"/>
    <w:lvl w:ilvl="0">
      <w:start w:val="1"/>
      <w:numFmt w:val="bullet"/>
      <w:lvlText w:val=""/>
      <w:lvlJc w:val="left"/>
      <w:pPr>
        <w:ind w:left="502" w:hanging="360"/>
      </w:pPr>
      <w:rPr>
        <w:rFonts w:ascii="Symbol" w:hAnsi="Symbol" w:hint="default"/>
      </w:rPr>
    </w:lvl>
    <w:lvl w:ilvl="1">
      <w:start w:val="1"/>
      <w:numFmt w:val="bullet"/>
      <w:lvlText w:val=""/>
      <w:lvlJc w:val="left"/>
      <w:pPr>
        <w:ind w:left="0" w:firstLine="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7F3130E"/>
    <w:multiLevelType w:val="multilevel"/>
    <w:tmpl w:val="6DB410F0"/>
    <w:lvl w:ilvl="0">
      <w:start w:val="1"/>
      <w:numFmt w:val="decimal"/>
      <w:suff w:val="space"/>
      <w:lvlText w:val="%1."/>
      <w:lvlJc w:val="left"/>
      <w:pPr>
        <w:ind w:left="502" w:hanging="360"/>
      </w:pPr>
      <w:rPr>
        <w:rFonts w:hint="default"/>
      </w:rPr>
    </w:lvl>
    <w:lvl w:ilvl="1">
      <w:start w:val="1"/>
      <w:numFmt w:val="bullet"/>
      <w:lvlText w:val=""/>
      <w:lvlJc w:val="left"/>
      <w:pPr>
        <w:ind w:left="0" w:firstLine="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8E431AA"/>
    <w:multiLevelType w:val="multilevel"/>
    <w:tmpl w:val="6DB410F0"/>
    <w:lvl w:ilvl="0">
      <w:start w:val="1"/>
      <w:numFmt w:val="decimal"/>
      <w:suff w:val="space"/>
      <w:lvlText w:val="%1."/>
      <w:lvlJc w:val="left"/>
      <w:pPr>
        <w:ind w:left="502" w:hanging="360"/>
      </w:pPr>
      <w:rPr>
        <w:rFonts w:hint="default"/>
      </w:rPr>
    </w:lvl>
    <w:lvl w:ilvl="1">
      <w:start w:val="1"/>
      <w:numFmt w:val="bullet"/>
      <w:lvlText w:val=""/>
      <w:lvlJc w:val="left"/>
      <w:pPr>
        <w:ind w:left="0" w:firstLine="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CFE17C4"/>
    <w:multiLevelType w:val="hybridMultilevel"/>
    <w:tmpl w:val="DFBCED82"/>
    <w:lvl w:ilvl="0" w:tplc="0809001B">
      <w:start w:val="1"/>
      <w:numFmt w:val="lowerLetter"/>
      <w:pStyle w:val="Text-LowerCase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5DB2377"/>
    <w:multiLevelType w:val="multilevel"/>
    <w:tmpl w:val="6DB410F0"/>
    <w:lvl w:ilvl="0">
      <w:start w:val="1"/>
      <w:numFmt w:val="decimal"/>
      <w:suff w:val="space"/>
      <w:lvlText w:val="%1."/>
      <w:lvlJc w:val="left"/>
      <w:pPr>
        <w:ind w:left="502" w:hanging="360"/>
      </w:pPr>
      <w:rPr>
        <w:rFonts w:hint="default"/>
      </w:rPr>
    </w:lvl>
    <w:lvl w:ilvl="1">
      <w:start w:val="1"/>
      <w:numFmt w:val="bullet"/>
      <w:lvlText w:val=""/>
      <w:lvlJc w:val="left"/>
      <w:pPr>
        <w:ind w:left="0" w:firstLine="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11737AA"/>
    <w:multiLevelType w:val="hybridMultilevel"/>
    <w:tmpl w:val="868887CC"/>
    <w:lvl w:ilvl="0" w:tplc="08090015">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2D62FF6"/>
    <w:multiLevelType w:val="hybridMultilevel"/>
    <w:tmpl w:val="7F04554E"/>
    <w:lvl w:ilvl="0" w:tplc="08090015">
      <w:start w:val="1"/>
      <w:numFmt w:val="lowerRoman"/>
      <w:pStyle w:val="Text-Romannumbered"/>
      <w:lvlText w:val="%1."/>
      <w:lvlJc w:val="right"/>
      <w:pPr>
        <w:tabs>
          <w:tab w:val="num" w:pos="180"/>
        </w:tabs>
        <w:ind w:left="180" w:hanging="180"/>
      </w:pPr>
      <w:rPr>
        <w:rFonts w:hint="default"/>
      </w:rPr>
    </w:lvl>
    <w:lvl w:ilvl="1" w:tplc="08090019" w:tentative="1">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22">
    <w:nsid w:val="571349ED"/>
    <w:multiLevelType w:val="hybridMultilevel"/>
    <w:tmpl w:val="A6967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2975C6"/>
    <w:multiLevelType w:val="hybridMultilevel"/>
    <w:tmpl w:val="0EDED05A"/>
    <w:lvl w:ilvl="0" w:tplc="08090013">
      <w:start w:val="1"/>
      <w:numFmt w:val="bullet"/>
      <w:pStyle w:val="Text-bulleted"/>
      <w:lvlText w:val=""/>
      <w:lvlJc w:val="left"/>
      <w:pPr>
        <w:tabs>
          <w:tab w:val="num" w:pos="360"/>
        </w:tabs>
        <w:ind w:left="360" w:hanging="360"/>
      </w:pPr>
      <w:rPr>
        <w:rFonts w:ascii="Wingdings" w:hAnsi="Wingdings" w:hint="default"/>
      </w:rPr>
    </w:lvl>
    <w:lvl w:ilvl="1" w:tplc="08090019">
      <w:start w:val="1"/>
      <w:numFmt w:val="bullet"/>
      <w:lvlText w:val="o"/>
      <w:lvlJc w:val="left"/>
      <w:pPr>
        <w:tabs>
          <w:tab w:val="num" w:pos="1080"/>
        </w:tabs>
        <w:ind w:left="1080" w:hanging="360"/>
      </w:pPr>
      <w:rPr>
        <w:rFonts w:ascii="Courier New" w:hAnsi="Courier New" w:cs="Courier New" w:hint="default"/>
      </w:rPr>
    </w:lvl>
    <w:lvl w:ilvl="2" w:tplc="0809001B">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24">
    <w:nsid w:val="59EC6D71"/>
    <w:multiLevelType w:val="hybridMultilevel"/>
    <w:tmpl w:val="56C4184C"/>
    <w:lvl w:ilvl="0" w:tplc="0809001B">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5">
    <w:nsid w:val="5FC97190"/>
    <w:multiLevelType w:val="hybridMultilevel"/>
    <w:tmpl w:val="06402B9E"/>
    <w:lvl w:ilvl="0" w:tplc="4FA6E70C">
      <w:start w:val="1"/>
      <w:numFmt w:val="low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6">
    <w:nsid w:val="653E4B5E"/>
    <w:multiLevelType w:val="hybridMultilevel"/>
    <w:tmpl w:val="21E00C74"/>
    <w:lvl w:ilvl="0" w:tplc="08090015">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1D1232"/>
    <w:multiLevelType w:val="multilevel"/>
    <w:tmpl w:val="2A4E7424"/>
    <w:lvl w:ilvl="0">
      <w:start w:val="1"/>
      <w:numFmt w:val="decimal"/>
      <w:pStyle w:val="Level1"/>
      <w:lvlText w:val="B.%1"/>
      <w:lvlJc w:val="left"/>
      <w:pPr>
        <w:tabs>
          <w:tab w:val="num" w:pos="567"/>
        </w:tabs>
        <w:ind w:left="567" w:hanging="567"/>
      </w:pPr>
      <w:rPr>
        <w:rFonts w:ascii="Times New Roman Bold" w:hAnsi="Times New Roman Bold"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nsid w:val="6B9D3258"/>
    <w:multiLevelType w:val="hybridMultilevel"/>
    <w:tmpl w:val="A5E6D53A"/>
    <w:lvl w:ilvl="0" w:tplc="FB28D0FA">
      <w:start w:val="1"/>
      <w:numFmt w:val="low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30E1E5E"/>
    <w:multiLevelType w:val="hybridMultilevel"/>
    <w:tmpl w:val="7ACC6E7C"/>
    <w:lvl w:ilvl="0" w:tplc="08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nsid w:val="73997DA4"/>
    <w:multiLevelType w:val="hybridMultilevel"/>
    <w:tmpl w:val="CDCA7EBC"/>
    <w:lvl w:ilvl="0" w:tplc="7D1630D0">
      <w:start w:val="1"/>
      <w:numFmt w:val="upperLetter"/>
      <w:lvlText w:val="%1."/>
      <w:lvlJc w:val="left"/>
      <w:pPr>
        <w:ind w:left="360" w:hanging="360"/>
      </w:pPr>
    </w:lvl>
    <w:lvl w:ilvl="1" w:tplc="183E84CC" w:tentative="1">
      <w:start w:val="1"/>
      <w:numFmt w:val="lowerLetter"/>
      <w:lvlText w:val="%2."/>
      <w:lvlJc w:val="left"/>
      <w:pPr>
        <w:ind w:left="1080" w:hanging="360"/>
      </w:pPr>
    </w:lvl>
    <w:lvl w:ilvl="2" w:tplc="ECBC969A" w:tentative="1">
      <w:start w:val="1"/>
      <w:numFmt w:val="lowerRoman"/>
      <w:lvlText w:val="%3."/>
      <w:lvlJc w:val="right"/>
      <w:pPr>
        <w:ind w:left="1800" w:hanging="180"/>
      </w:pPr>
    </w:lvl>
    <w:lvl w:ilvl="3" w:tplc="0B528D24" w:tentative="1">
      <w:start w:val="1"/>
      <w:numFmt w:val="decimal"/>
      <w:lvlText w:val="%4."/>
      <w:lvlJc w:val="left"/>
      <w:pPr>
        <w:ind w:left="2520" w:hanging="360"/>
      </w:pPr>
    </w:lvl>
    <w:lvl w:ilvl="4" w:tplc="46FCC2EA" w:tentative="1">
      <w:start w:val="1"/>
      <w:numFmt w:val="lowerLetter"/>
      <w:lvlText w:val="%5."/>
      <w:lvlJc w:val="left"/>
      <w:pPr>
        <w:ind w:left="3240" w:hanging="360"/>
      </w:pPr>
    </w:lvl>
    <w:lvl w:ilvl="5" w:tplc="38AC9F10" w:tentative="1">
      <w:start w:val="1"/>
      <w:numFmt w:val="lowerRoman"/>
      <w:lvlText w:val="%6."/>
      <w:lvlJc w:val="right"/>
      <w:pPr>
        <w:ind w:left="3960" w:hanging="180"/>
      </w:pPr>
    </w:lvl>
    <w:lvl w:ilvl="6" w:tplc="D636500E" w:tentative="1">
      <w:start w:val="1"/>
      <w:numFmt w:val="decimal"/>
      <w:lvlText w:val="%7."/>
      <w:lvlJc w:val="left"/>
      <w:pPr>
        <w:ind w:left="4680" w:hanging="360"/>
      </w:pPr>
    </w:lvl>
    <w:lvl w:ilvl="7" w:tplc="B5A62512" w:tentative="1">
      <w:start w:val="1"/>
      <w:numFmt w:val="lowerLetter"/>
      <w:lvlText w:val="%8."/>
      <w:lvlJc w:val="left"/>
      <w:pPr>
        <w:ind w:left="5400" w:hanging="360"/>
      </w:pPr>
    </w:lvl>
    <w:lvl w:ilvl="8" w:tplc="9522D1A6" w:tentative="1">
      <w:start w:val="1"/>
      <w:numFmt w:val="lowerRoman"/>
      <w:lvlText w:val="%9."/>
      <w:lvlJc w:val="right"/>
      <w:pPr>
        <w:ind w:left="6120" w:hanging="180"/>
      </w:pPr>
    </w:lvl>
  </w:abstractNum>
  <w:abstractNum w:abstractNumId="32">
    <w:nsid w:val="77F96742"/>
    <w:multiLevelType w:val="multilevel"/>
    <w:tmpl w:val="47200A2C"/>
    <w:lvl w:ilvl="0">
      <w:start w:val="1"/>
      <w:numFmt w:val="decimal"/>
      <w:suff w:val="space"/>
      <w:lvlText w:val="%1."/>
      <w:lvlJc w:val="left"/>
      <w:pPr>
        <w:ind w:left="502" w:hanging="360"/>
      </w:pPr>
      <w:rPr>
        <w:rFonts w:hint="default"/>
      </w:rPr>
    </w:lvl>
    <w:lvl w:ilvl="1">
      <w:start w:val="1"/>
      <w:numFmt w:val="lowerLetter"/>
      <w:lvlText w:val="%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8D60870"/>
    <w:multiLevelType w:val="hybridMultilevel"/>
    <w:tmpl w:val="B81EF6E8"/>
    <w:lvl w:ilvl="0" w:tplc="08090001">
      <w:start w:val="1"/>
      <w:numFmt w:val="bullet"/>
      <w:lvlText w:val=""/>
      <w:lvlJc w:val="left"/>
      <w:pPr>
        <w:tabs>
          <w:tab w:val="num" w:pos="360"/>
        </w:tabs>
        <w:ind w:left="360" w:hanging="360"/>
      </w:pPr>
      <w:rPr>
        <w:rFonts w:ascii="Symbol" w:hAnsi="Symbol" w:hint="default"/>
      </w:rPr>
    </w:lvl>
    <w:lvl w:ilvl="1" w:tplc="08090019">
      <w:start w:val="1"/>
      <w:numFmt w:val="bullet"/>
      <w:lvlText w:val="o"/>
      <w:lvlJc w:val="left"/>
      <w:pPr>
        <w:tabs>
          <w:tab w:val="num" w:pos="1080"/>
        </w:tabs>
        <w:ind w:left="1080" w:hanging="360"/>
      </w:pPr>
      <w:rPr>
        <w:rFonts w:ascii="Courier New" w:hAnsi="Courier New" w:cs="Courier New" w:hint="default"/>
      </w:rPr>
    </w:lvl>
    <w:lvl w:ilvl="2" w:tplc="0809001B">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4">
    <w:nsid w:val="7BA13012"/>
    <w:multiLevelType w:val="multilevel"/>
    <w:tmpl w:val="70F4D0B0"/>
    <w:lvl w:ilvl="0">
      <w:start w:val="1"/>
      <w:numFmt w:val="bullet"/>
      <w:lvlText w:val=""/>
      <w:lvlJc w:val="left"/>
      <w:pPr>
        <w:ind w:left="502" w:hanging="360"/>
      </w:pPr>
      <w:rPr>
        <w:rFonts w:ascii="Symbol" w:hAnsi="Symbol" w:hint="default"/>
      </w:rPr>
    </w:lvl>
    <w:lvl w:ilvl="1">
      <w:start w:val="1"/>
      <w:numFmt w:val="bullet"/>
      <w:lvlText w:val=""/>
      <w:lvlJc w:val="left"/>
      <w:pPr>
        <w:ind w:left="0" w:firstLine="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E4E5734"/>
    <w:multiLevelType w:val="hybridMultilevel"/>
    <w:tmpl w:val="6CDA730C"/>
    <w:lvl w:ilvl="0" w:tplc="F8100F4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21"/>
  </w:num>
  <w:num w:numId="4">
    <w:abstractNumId w:val="13"/>
  </w:num>
  <w:num w:numId="5">
    <w:abstractNumId w:val="23"/>
  </w:num>
  <w:num w:numId="6">
    <w:abstractNumId w:val="29"/>
  </w:num>
  <w:num w:numId="7">
    <w:abstractNumId w:val="18"/>
  </w:num>
  <w:num w:numId="8">
    <w:abstractNumId w:val="5"/>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1"/>
  </w:num>
  <w:num w:numId="12">
    <w:abstractNumId w:val="1"/>
  </w:num>
  <w:num w:numId="13">
    <w:abstractNumId w:val="35"/>
  </w:num>
  <w:num w:numId="14">
    <w:abstractNumId w:val="20"/>
  </w:num>
  <w:num w:numId="15">
    <w:abstractNumId w:val="26"/>
  </w:num>
  <w:num w:numId="16">
    <w:abstractNumId w:val="4"/>
  </w:num>
  <w:num w:numId="17">
    <w:abstractNumId w:val="9"/>
  </w:num>
  <w:num w:numId="18">
    <w:abstractNumId w:val="11"/>
  </w:num>
  <w:num w:numId="19">
    <w:abstractNumId w:val="10"/>
  </w:num>
  <w:num w:numId="20">
    <w:abstractNumId w:val="28"/>
  </w:num>
  <w:num w:numId="21">
    <w:abstractNumId w:val="14"/>
  </w:num>
  <w:num w:numId="22">
    <w:abstractNumId w:val="33"/>
  </w:num>
  <w:num w:numId="23">
    <w:abstractNumId w:val="12"/>
  </w:num>
  <w:num w:numId="24">
    <w:abstractNumId w:val="22"/>
  </w:num>
  <w:num w:numId="25">
    <w:abstractNumId w:val="7"/>
  </w:num>
  <w:num w:numId="26">
    <w:abstractNumId w:val="8"/>
  </w:num>
  <w:num w:numId="27">
    <w:abstractNumId w:val="16"/>
  </w:num>
  <w:num w:numId="28">
    <w:abstractNumId w:val="17"/>
  </w:num>
  <w:num w:numId="29">
    <w:abstractNumId w:val="19"/>
  </w:num>
  <w:num w:numId="30">
    <w:abstractNumId w:val="15"/>
  </w:num>
  <w:num w:numId="31">
    <w:abstractNumId w:val="34"/>
  </w:num>
  <w:num w:numId="32">
    <w:abstractNumId w:val="2"/>
  </w:num>
  <w:num w:numId="33">
    <w:abstractNumId w:val="32"/>
  </w:num>
  <w:num w:numId="34">
    <w:abstractNumId w:val="27"/>
  </w:num>
  <w:num w:numId="35">
    <w:abstractNumId w:val="3"/>
  </w:num>
  <w:num w:numId="36">
    <w:abstractNumId w:val="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defaultTabStop w:val="720"/>
  <w:drawingGridHorizontalSpacing w:val="100"/>
  <w:displayHorizontalDrawingGridEvery w:val="2"/>
  <w:displayVerticalDrawingGridEvery w:val="2"/>
  <w:noPunctuationKerning/>
  <w:characterSpacingControl w:val="doNotCompress"/>
  <w:hdrShapeDefaults>
    <o:shapedefaults v:ext="edit" spidmax="2062">
      <o:colormru v:ext="edit" colors="red,#f60"/>
    </o:shapedefaults>
    <o:shapelayout v:ext="edit">
      <o:idmap v:ext="edit" data="2"/>
    </o:shapelayout>
  </w:hdrShapeDefaults>
  <w:footnotePr>
    <w:footnote w:id="-1"/>
    <w:footnote w:id="0"/>
  </w:footnotePr>
  <w:endnotePr>
    <w:pos w:val="sectEnd"/>
    <w:endnote w:id="-1"/>
    <w:endnote w:id="0"/>
  </w:endnotePr>
  <w:compat/>
  <w:docVars>
    <w:docVar w:name="Ctr" w:val="橄ㄴજߦ찔㈇"/>
  </w:docVars>
  <w:rsids>
    <w:rsidRoot w:val="00614E37"/>
    <w:rsid w:val="00002424"/>
    <w:rsid w:val="00003C2E"/>
    <w:rsid w:val="00003FD2"/>
    <w:rsid w:val="0000569A"/>
    <w:rsid w:val="00005D1F"/>
    <w:rsid w:val="0001069D"/>
    <w:rsid w:val="00013BED"/>
    <w:rsid w:val="00014742"/>
    <w:rsid w:val="00015C62"/>
    <w:rsid w:val="000202CE"/>
    <w:rsid w:val="0002427B"/>
    <w:rsid w:val="00024E80"/>
    <w:rsid w:val="000274D5"/>
    <w:rsid w:val="00027F40"/>
    <w:rsid w:val="0003083F"/>
    <w:rsid w:val="000352B9"/>
    <w:rsid w:val="00036054"/>
    <w:rsid w:val="00036FDB"/>
    <w:rsid w:val="00037434"/>
    <w:rsid w:val="00040C4C"/>
    <w:rsid w:val="000419FB"/>
    <w:rsid w:val="00042D11"/>
    <w:rsid w:val="00044822"/>
    <w:rsid w:val="000455CB"/>
    <w:rsid w:val="00045824"/>
    <w:rsid w:val="000472D3"/>
    <w:rsid w:val="0005186B"/>
    <w:rsid w:val="0005204D"/>
    <w:rsid w:val="000552F3"/>
    <w:rsid w:val="00056B28"/>
    <w:rsid w:val="000644D4"/>
    <w:rsid w:val="00064727"/>
    <w:rsid w:val="00064B52"/>
    <w:rsid w:val="00070DB8"/>
    <w:rsid w:val="000738AE"/>
    <w:rsid w:val="00073D6F"/>
    <w:rsid w:val="0007775C"/>
    <w:rsid w:val="00077BCF"/>
    <w:rsid w:val="000810DB"/>
    <w:rsid w:val="000811C2"/>
    <w:rsid w:val="00083EAA"/>
    <w:rsid w:val="00094687"/>
    <w:rsid w:val="000948C7"/>
    <w:rsid w:val="0009574C"/>
    <w:rsid w:val="00097DB2"/>
    <w:rsid w:val="00097F7B"/>
    <w:rsid w:val="000A00D2"/>
    <w:rsid w:val="000B36B6"/>
    <w:rsid w:val="000B573A"/>
    <w:rsid w:val="000B7B2E"/>
    <w:rsid w:val="000C6CF4"/>
    <w:rsid w:val="000D2DF4"/>
    <w:rsid w:val="000D348D"/>
    <w:rsid w:val="000D5974"/>
    <w:rsid w:val="000E49F3"/>
    <w:rsid w:val="000E4EF1"/>
    <w:rsid w:val="000F2406"/>
    <w:rsid w:val="000F3DB0"/>
    <w:rsid w:val="000F4A63"/>
    <w:rsid w:val="001008F8"/>
    <w:rsid w:val="00101CC7"/>
    <w:rsid w:val="001076D6"/>
    <w:rsid w:val="00107F4C"/>
    <w:rsid w:val="001118F0"/>
    <w:rsid w:val="00113C75"/>
    <w:rsid w:val="0012143A"/>
    <w:rsid w:val="00122175"/>
    <w:rsid w:val="00122EE7"/>
    <w:rsid w:val="001333CB"/>
    <w:rsid w:val="00133B35"/>
    <w:rsid w:val="0013599C"/>
    <w:rsid w:val="0014302F"/>
    <w:rsid w:val="001433EF"/>
    <w:rsid w:val="00152E99"/>
    <w:rsid w:val="0015375C"/>
    <w:rsid w:val="001570E0"/>
    <w:rsid w:val="00160954"/>
    <w:rsid w:val="00161EA1"/>
    <w:rsid w:val="0016383E"/>
    <w:rsid w:val="0017061E"/>
    <w:rsid w:val="00172E6E"/>
    <w:rsid w:val="001922FA"/>
    <w:rsid w:val="00192468"/>
    <w:rsid w:val="001B77B4"/>
    <w:rsid w:val="001C7FC5"/>
    <w:rsid w:val="001D5B7E"/>
    <w:rsid w:val="001D756D"/>
    <w:rsid w:val="001D7788"/>
    <w:rsid w:val="001E5717"/>
    <w:rsid w:val="001F0D6B"/>
    <w:rsid w:val="001F4A02"/>
    <w:rsid w:val="00202CEE"/>
    <w:rsid w:val="00216FE0"/>
    <w:rsid w:val="00225039"/>
    <w:rsid w:val="00226356"/>
    <w:rsid w:val="00231B4D"/>
    <w:rsid w:val="00232740"/>
    <w:rsid w:val="00233F82"/>
    <w:rsid w:val="00236020"/>
    <w:rsid w:val="00236779"/>
    <w:rsid w:val="00245120"/>
    <w:rsid w:val="00246DF6"/>
    <w:rsid w:val="00250819"/>
    <w:rsid w:val="0026281D"/>
    <w:rsid w:val="002678AB"/>
    <w:rsid w:val="002713C6"/>
    <w:rsid w:val="0027612A"/>
    <w:rsid w:val="0028146E"/>
    <w:rsid w:val="00283A9B"/>
    <w:rsid w:val="002916CF"/>
    <w:rsid w:val="002A2AB8"/>
    <w:rsid w:val="002A2DF1"/>
    <w:rsid w:val="002A4BBB"/>
    <w:rsid w:val="002A5ED8"/>
    <w:rsid w:val="002A7DE2"/>
    <w:rsid w:val="002C1FED"/>
    <w:rsid w:val="002C2355"/>
    <w:rsid w:val="002D03AB"/>
    <w:rsid w:val="002D34D5"/>
    <w:rsid w:val="002D4768"/>
    <w:rsid w:val="002E0CC6"/>
    <w:rsid w:val="002F1A3A"/>
    <w:rsid w:val="002F4F77"/>
    <w:rsid w:val="002F5639"/>
    <w:rsid w:val="002F73FF"/>
    <w:rsid w:val="00305572"/>
    <w:rsid w:val="003079A8"/>
    <w:rsid w:val="00307EF6"/>
    <w:rsid w:val="00314FBD"/>
    <w:rsid w:val="0031560D"/>
    <w:rsid w:val="00316D51"/>
    <w:rsid w:val="0032272F"/>
    <w:rsid w:val="00324AF7"/>
    <w:rsid w:val="003309C1"/>
    <w:rsid w:val="0033511C"/>
    <w:rsid w:val="00340E49"/>
    <w:rsid w:val="0034245B"/>
    <w:rsid w:val="00343682"/>
    <w:rsid w:val="0034405B"/>
    <w:rsid w:val="003442E2"/>
    <w:rsid w:val="00345C75"/>
    <w:rsid w:val="00346C2E"/>
    <w:rsid w:val="003505AA"/>
    <w:rsid w:val="00350EDD"/>
    <w:rsid w:val="00352B0D"/>
    <w:rsid w:val="00352BA0"/>
    <w:rsid w:val="00354882"/>
    <w:rsid w:val="0036137A"/>
    <w:rsid w:val="003659C8"/>
    <w:rsid w:val="00373976"/>
    <w:rsid w:val="00376A9C"/>
    <w:rsid w:val="003777BB"/>
    <w:rsid w:val="00380C33"/>
    <w:rsid w:val="00383428"/>
    <w:rsid w:val="003920F7"/>
    <w:rsid w:val="003946F6"/>
    <w:rsid w:val="003A03A8"/>
    <w:rsid w:val="003A0FD1"/>
    <w:rsid w:val="003A1A64"/>
    <w:rsid w:val="003A3004"/>
    <w:rsid w:val="003A306C"/>
    <w:rsid w:val="003B3398"/>
    <w:rsid w:val="003B5FA7"/>
    <w:rsid w:val="003B6B58"/>
    <w:rsid w:val="003C4675"/>
    <w:rsid w:val="003C7ADC"/>
    <w:rsid w:val="003D175E"/>
    <w:rsid w:val="003D5A0E"/>
    <w:rsid w:val="003D5BAB"/>
    <w:rsid w:val="003D70C0"/>
    <w:rsid w:val="003E1BF3"/>
    <w:rsid w:val="003F1E1A"/>
    <w:rsid w:val="00401484"/>
    <w:rsid w:val="00401DCE"/>
    <w:rsid w:val="00402462"/>
    <w:rsid w:val="00404E7B"/>
    <w:rsid w:val="00410657"/>
    <w:rsid w:val="00417281"/>
    <w:rsid w:val="00422C4A"/>
    <w:rsid w:val="00423069"/>
    <w:rsid w:val="0042439D"/>
    <w:rsid w:val="00424AF7"/>
    <w:rsid w:val="00430846"/>
    <w:rsid w:val="00431048"/>
    <w:rsid w:val="00432A70"/>
    <w:rsid w:val="00440243"/>
    <w:rsid w:val="0044132C"/>
    <w:rsid w:val="00442A0B"/>
    <w:rsid w:val="004457FE"/>
    <w:rsid w:val="004466CC"/>
    <w:rsid w:val="00447732"/>
    <w:rsid w:val="00454D96"/>
    <w:rsid w:val="00455A3C"/>
    <w:rsid w:val="00456230"/>
    <w:rsid w:val="00462636"/>
    <w:rsid w:val="004734EA"/>
    <w:rsid w:val="00473AF5"/>
    <w:rsid w:val="004741E2"/>
    <w:rsid w:val="0047490E"/>
    <w:rsid w:val="004755D9"/>
    <w:rsid w:val="0047611E"/>
    <w:rsid w:val="0047715E"/>
    <w:rsid w:val="00477DE5"/>
    <w:rsid w:val="004802C2"/>
    <w:rsid w:val="00480820"/>
    <w:rsid w:val="004857B8"/>
    <w:rsid w:val="00485EEF"/>
    <w:rsid w:val="00486AF2"/>
    <w:rsid w:val="00491E2C"/>
    <w:rsid w:val="004A069F"/>
    <w:rsid w:val="004B1531"/>
    <w:rsid w:val="004B1A5F"/>
    <w:rsid w:val="004B3FE7"/>
    <w:rsid w:val="004B4FF7"/>
    <w:rsid w:val="004B5978"/>
    <w:rsid w:val="004C2D30"/>
    <w:rsid w:val="004C3046"/>
    <w:rsid w:val="004C3791"/>
    <w:rsid w:val="004C39DF"/>
    <w:rsid w:val="004D4B86"/>
    <w:rsid w:val="004E6AF2"/>
    <w:rsid w:val="004E7333"/>
    <w:rsid w:val="004F0B4A"/>
    <w:rsid w:val="004F10C8"/>
    <w:rsid w:val="004F38C7"/>
    <w:rsid w:val="004F5411"/>
    <w:rsid w:val="004F62BF"/>
    <w:rsid w:val="0050013B"/>
    <w:rsid w:val="00501386"/>
    <w:rsid w:val="005042D4"/>
    <w:rsid w:val="00505048"/>
    <w:rsid w:val="00506125"/>
    <w:rsid w:val="00513523"/>
    <w:rsid w:val="00517315"/>
    <w:rsid w:val="0052277F"/>
    <w:rsid w:val="00525BC6"/>
    <w:rsid w:val="00530584"/>
    <w:rsid w:val="005379FE"/>
    <w:rsid w:val="00537C92"/>
    <w:rsid w:val="005403F1"/>
    <w:rsid w:val="005443CF"/>
    <w:rsid w:val="00547ED3"/>
    <w:rsid w:val="00551EED"/>
    <w:rsid w:val="00552579"/>
    <w:rsid w:val="00552C7D"/>
    <w:rsid w:val="0055736C"/>
    <w:rsid w:val="00557ACD"/>
    <w:rsid w:val="00561A4F"/>
    <w:rsid w:val="005723B0"/>
    <w:rsid w:val="00573C9B"/>
    <w:rsid w:val="005806EF"/>
    <w:rsid w:val="00583DAE"/>
    <w:rsid w:val="0058409F"/>
    <w:rsid w:val="00591934"/>
    <w:rsid w:val="00595B0E"/>
    <w:rsid w:val="00595E47"/>
    <w:rsid w:val="005A12F7"/>
    <w:rsid w:val="005A1AEC"/>
    <w:rsid w:val="005A2B8F"/>
    <w:rsid w:val="005A6248"/>
    <w:rsid w:val="005B2CBF"/>
    <w:rsid w:val="005B5F70"/>
    <w:rsid w:val="005C34AE"/>
    <w:rsid w:val="005D2605"/>
    <w:rsid w:val="005D3060"/>
    <w:rsid w:val="005E5632"/>
    <w:rsid w:val="005F0C43"/>
    <w:rsid w:val="005F28BF"/>
    <w:rsid w:val="005F2CA0"/>
    <w:rsid w:val="005F47D7"/>
    <w:rsid w:val="006007B6"/>
    <w:rsid w:val="0060317F"/>
    <w:rsid w:val="00603478"/>
    <w:rsid w:val="00604AE4"/>
    <w:rsid w:val="00605596"/>
    <w:rsid w:val="00607743"/>
    <w:rsid w:val="00612225"/>
    <w:rsid w:val="00614E37"/>
    <w:rsid w:val="006208F3"/>
    <w:rsid w:val="00622BBB"/>
    <w:rsid w:val="00624E48"/>
    <w:rsid w:val="006325EE"/>
    <w:rsid w:val="00637AAC"/>
    <w:rsid w:val="00640C99"/>
    <w:rsid w:val="006526C9"/>
    <w:rsid w:val="00653BE1"/>
    <w:rsid w:val="00664E81"/>
    <w:rsid w:val="00672DEB"/>
    <w:rsid w:val="00674A37"/>
    <w:rsid w:val="006778F4"/>
    <w:rsid w:val="00680B20"/>
    <w:rsid w:val="0068239B"/>
    <w:rsid w:val="006828E6"/>
    <w:rsid w:val="006940C1"/>
    <w:rsid w:val="006954D8"/>
    <w:rsid w:val="006957C9"/>
    <w:rsid w:val="00695AD5"/>
    <w:rsid w:val="006965FD"/>
    <w:rsid w:val="00696743"/>
    <w:rsid w:val="006971C7"/>
    <w:rsid w:val="006A4B71"/>
    <w:rsid w:val="006B14E5"/>
    <w:rsid w:val="006C183B"/>
    <w:rsid w:val="006C2A7A"/>
    <w:rsid w:val="006C4243"/>
    <w:rsid w:val="006D0BD7"/>
    <w:rsid w:val="006D306E"/>
    <w:rsid w:val="006D78B8"/>
    <w:rsid w:val="006D78F1"/>
    <w:rsid w:val="006E1D09"/>
    <w:rsid w:val="006E6DA6"/>
    <w:rsid w:val="006E7063"/>
    <w:rsid w:val="006F0919"/>
    <w:rsid w:val="006F2A62"/>
    <w:rsid w:val="006F3DB8"/>
    <w:rsid w:val="006F64DB"/>
    <w:rsid w:val="007047F4"/>
    <w:rsid w:val="00710A38"/>
    <w:rsid w:val="007124A9"/>
    <w:rsid w:val="0071338C"/>
    <w:rsid w:val="00726F07"/>
    <w:rsid w:val="00733CE0"/>
    <w:rsid w:val="00734CFA"/>
    <w:rsid w:val="00740230"/>
    <w:rsid w:val="00746150"/>
    <w:rsid w:val="00746EEF"/>
    <w:rsid w:val="00750761"/>
    <w:rsid w:val="007537BF"/>
    <w:rsid w:val="00756403"/>
    <w:rsid w:val="00760133"/>
    <w:rsid w:val="007651CB"/>
    <w:rsid w:val="007654F8"/>
    <w:rsid w:val="00766D78"/>
    <w:rsid w:val="0077092F"/>
    <w:rsid w:val="00771E3E"/>
    <w:rsid w:val="00776AEC"/>
    <w:rsid w:val="00781BBF"/>
    <w:rsid w:val="00782776"/>
    <w:rsid w:val="007842E1"/>
    <w:rsid w:val="00785038"/>
    <w:rsid w:val="00786B2D"/>
    <w:rsid w:val="00791157"/>
    <w:rsid w:val="00791360"/>
    <w:rsid w:val="0079186E"/>
    <w:rsid w:val="00791DC9"/>
    <w:rsid w:val="007A2A75"/>
    <w:rsid w:val="007A6A2D"/>
    <w:rsid w:val="007B327F"/>
    <w:rsid w:val="007B33FE"/>
    <w:rsid w:val="007C269F"/>
    <w:rsid w:val="007C4DAD"/>
    <w:rsid w:val="007D5379"/>
    <w:rsid w:val="007D7186"/>
    <w:rsid w:val="007E2A3B"/>
    <w:rsid w:val="007E7885"/>
    <w:rsid w:val="007F4BDA"/>
    <w:rsid w:val="007F6639"/>
    <w:rsid w:val="008010AD"/>
    <w:rsid w:val="00801379"/>
    <w:rsid w:val="00802981"/>
    <w:rsid w:val="00807738"/>
    <w:rsid w:val="008102C7"/>
    <w:rsid w:val="00811209"/>
    <w:rsid w:val="0082032C"/>
    <w:rsid w:val="0082052C"/>
    <w:rsid w:val="00822A16"/>
    <w:rsid w:val="00823E73"/>
    <w:rsid w:val="0083232C"/>
    <w:rsid w:val="00833306"/>
    <w:rsid w:val="00842A1D"/>
    <w:rsid w:val="00844B03"/>
    <w:rsid w:val="00845506"/>
    <w:rsid w:val="008467AE"/>
    <w:rsid w:val="00853155"/>
    <w:rsid w:val="008541E1"/>
    <w:rsid w:val="00854234"/>
    <w:rsid w:val="00854F0F"/>
    <w:rsid w:val="00855513"/>
    <w:rsid w:val="00855E89"/>
    <w:rsid w:val="00856AAA"/>
    <w:rsid w:val="00866C32"/>
    <w:rsid w:val="00867339"/>
    <w:rsid w:val="00867E62"/>
    <w:rsid w:val="00881210"/>
    <w:rsid w:val="0088308E"/>
    <w:rsid w:val="008861AB"/>
    <w:rsid w:val="008909F9"/>
    <w:rsid w:val="008955CC"/>
    <w:rsid w:val="0089594B"/>
    <w:rsid w:val="00896F53"/>
    <w:rsid w:val="008A005B"/>
    <w:rsid w:val="008A08EA"/>
    <w:rsid w:val="008A0BCA"/>
    <w:rsid w:val="008A4720"/>
    <w:rsid w:val="008A79EF"/>
    <w:rsid w:val="008B21EE"/>
    <w:rsid w:val="008B690C"/>
    <w:rsid w:val="008B6AD4"/>
    <w:rsid w:val="008C223F"/>
    <w:rsid w:val="008C3C3A"/>
    <w:rsid w:val="008C478E"/>
    <w:rsid w:val="008C74F8"/>
    <w:rsid w:val="008C7899"/>
    <w:rsid w:val="008D39A6"/>
    <w:rsid w:val="008E26F9"/>
    <w:rsid w:val="008E3B41"/>
    <w:rsid w:val="008E610F"/>
    <w:rsid w:val="008E6BAE"/>
    <w:rsid w:val="008F114F"/>
    <w:rsid w:val="0090098A"/>
    <w:rsid w:val="00901C99"/>
    <w:rsid w:val="00906BB1"/>
    <w:rsid w:val="00913A3F"/>
    <w:rsid w:val="00913AE1"/>
    <w:rsid w:val="00917049"/>
    <w:rsid w:val="00917B79"/>
    <w:rsid w:val="00921D60"/>
    <w:rsid w:val="0093019F"/>
    <w:rsid w:val="00930D40"/>
    <w:rsid w:val="0093477E"/>
    <w:rsid w:val="00937E9D"/>
    <w:rsid w:val="00947165"/>
    <w:rsid w:val="009535C3"/>
    <w:rsid w:val="009548E0"/>
    <w:rsid w:val="00954AA4"/>
    <w:rsid w:val="009552AD"/>
    <w:rsid w:val="009646DB"/>
    <w:rsid w:val="00964CA3"/>
    <w:rsid w:val="0096547A"/>
    <w:rsid w:val="00966638"/>
    <w:rsid w:val="009716FF"/>
    <w:rsid w:val="00985F6D"/>
    <w:rsid w:val="00993951"/>
    <w:rsid w:val="009962DB"/>
    <w:rsid w:val="0099694E"/>
    <w:rsid w:val="009A1E0E"/>
    <w:rsid w:val="009A653E"/>
    <w:rsid w:val="009A76EA"/>
    <w:rsid w:val="009B09A6"/>
    <w:rsid w:val="009B7416"/>
    <w:rsid w:val="009C67B0"/>
    <w:rsid w:val="009D33EB"/>
    <w:rsid w:val="009D488E"/>
    <w:rsid w:val="009E03CB"/>
    <w:rsid w:val="009F3180"/>
    <w:rsid w:val="009F3DB8"/>
    <w:rsid w:val="009F461F"/>
    <w:rsid w:val="009F5CEE"/>
    <w:rsid w:val="00A033CD"/>
    <w:rsid w:val="00A0352F"/>
    <w:rsid w:val="00A04125"/>
    <w:rsid w:val="00A155E3"/>
    <w:rsid w:val="00A16753"/>
    <w:rsid w:val="00A174C2"/>
    <w:rsid w:val="00A205AE"/>
    <w:rsid w:val="00A22027"/>
    <w:rsid w:val="00A238EE"/>
    <w:rsid w:val="00A24A8F"/>
    <w:rsid w:val="00A25F9F"/>
    <w:rsid w:val="00A353B0"/>
    <w:rsid w:val="00A40D65"/>
    <w:rsid w:val="00A44CFE"/>
    <w:rsid w:val="00A5004B"/>
    <w:rsid w:val="00A51C46"/>
    <w:rsid w:val="00A54257"/>
    <w:rsid w:val="00A55854"/>
    <w:rsid w:val="00A55E3C"/>
    <w:rsid w:val="00A67A1E"/>
    <w:rsid w:val="00A76E7D"/>
    <w:rsid w:val="00A76F8D"/>
    <w:rsid w:val="00A80443"/>
    <w:rsid w:val="00A80C61"/>
    <w:rsid w:val="00A8231E"/>
    <w:rsid w:val="00A825E6"/>
    <w:rsid w:val="00A83D14"/>
    <w:rsid w:val="00A85C17"/>
    <w:rsid w:val="00A863FF"/>
    <w:rsid w:val="00A87E46"/>
    <w:rsid w:val="00A90B40"/>
    <w:rsid w:val="00A910F7"/>
    <w:rsid w:val="00A942C5"/>
    <w:rsid w:val="00A94644"/>
    <w:rsid w:val="00AA0509"/>
    <w:rsid w:val="00AA4ABE"/>
    <w:rsid w:val="00AA5CFB"/>
    <w:rsid w:val="00AA66BC"/>
    <w:rsid w:val="00AB19EB"/>
    <w:rsid w:val="00AC1B55"/>
    <w:rsid w:val="00AC21FA"/>
    <w:rsid w:val="00AC2F97"/>
    <w:rsid w:val="00AC3689"/>
    <w:rsid w:val="00AC56E4"/>
    <w:rsid w:val="00AC719F"/>
    <w:rsid w:val="00AD231E"/>
    <w:rsid w:val="00AD479D"/>
    <w:rsid w:val="00AD5892"/>
    <w:rsid w:val="00AD6D89"/>
    <w:rsid w:val="00AD7090"/>
    <w:rsid w:val="00AD7EE2"/>
    <w:rsid w:val="00AE4781"/>
    <w:rsid w:val="00AF47E4"/>
    <w:rsid w:val="00B00137"/>
    <w:rsid w:val="00B027CF"/>
    <w:rsid w:val="00B07F72"/>
    <w:rsid w:val="00B14EB9"/>
    <w:rsid w:val="00B22327"/>
    <w:rsid w:val="00B25B6F"/>
    <w:rsid w:val="00B30398"/>
    <w:rsid w:val="00B32782"/>
    <w:rsid w:val="00B328A5"/>
    <w:rsid w:val="00B3540A"/>
    <w:rsid w:val="00B41C06"/>
    <w:rsid w:val="00B41C1A"/>
    <w:rsid w:val="00B46978"/>
    <w:rsid w:val="00B5032D"/>
    <w:rsid w:val="00B507A3"/>
    <w:rsid w:val="00B52AE0"/>
    <w:rsid w:val="00B538B9"/>
    <w:rsid w:val="00B542B2"/>
    <w:rsid w:val="00B54971"/>
    <w:rsid w:val="00B54C15"/>
    <w:rsid w:val="00B57230"/>
    <w:rsid w:val="00B578CE"/>
    <w:rsid w:val="00B57E99"/>
    <w:rsid w:val="00B619DB"/>
    <w:rsid w:val="00B751B4"/>
    <w:rsid w:val="00B81987"/>
    <w:rsid w:val="00B8497D"/>
    <w:rsid w:val="00B84B17"/>
    <w:rsid w:val="00B8629D"/>
    <w:rsid w:val="00B8709A"/>
    <w:rsid w:val="00B8725C"/>
    <w:rsid w:val="00B91DF4"/>
    <w:rsid w:val="00BA218B"/>
    <w:rsid w:val="00BA2257"/>
    <w:rsid w:val="00BA25BA"/>
    <w:rsid w:val="00BA2DD5"/>
    <w:rsid w:val="00BA6D00"/>
    <w:rsid w:val="00BB64F1"/>
    <w:rsid w:val="00BC1C94"/>
    <w:rsid w:val="00BC4B43"/>
    <w:rsid w:val="00BD11F3"/>
    <w:rsid w:val="00BD2823"/>
    <w:rsid w:val="00BE0994"/>
    <w:rsid w:val="00BE25C5"/>
    <w:rsid w:val="00BE4F94"/>
    <w:rsid w:val="00BE5E37"/>
    <w:rsid w:val="00BE6643"/>
    <w:rsid w:val="00BE69F6"/>
    <w:rsid w:val="00BF0EC2"/>
    <w:rsid w:val="00C13A44"/>
    <w:rsid w:val="00C17042"/>
    <w:rsid w:val="00C20651"/>
    <w:rsid w:val="00C2199B"/>
    <w:rsid w:val="00C22D1F"/>
    <w:rsid w:val="00C245BF"/>
    <w:rsid w:val="00C27194"/>
    <w:rsid w:val="00C307EC"/>
    <w:rsid w:val="00C35852"/>
    <w:rsid w:val="00C379AC"/>
    <w:rsid w:val="00C40F20"/>
    <w:rsid w:val="00C42DFB"/>
    <w:rsid w:val="00C5061D"/>
    <w:rsid w:val="00C532ED"/>
    <w:rsid w:val="00C55A3D"/>
    <w:rsid w:val="00C60F52"/>
    <w:rsid w:val="00C745DB"/>
    <w:rsid w:val="00C7462B"/>
    <w:rsid w:val="00C74B78"/>
    <w:rsid w:val="00C764E4"/>
    <w:rsid w:val="00C7744A"/>
    <w:rsid w:val="00C8099D"/>
    <w:rsid w:val="00C80E5A"/>
    <w:rsid w:val="00C8425A"/>
    <w:rsid w:val="00C8639B"/>
    <w:rsid w:val="00C8661C"/>
    <w:rsid w:val="00C86BCE"/>
    <w:rsid w:val="00C91AF5"/>
    <w:rsid w:val="00C92A45"/>
    <w:rsid w:val="00C942FE"/>
    <w:rsid w:val="00CA08E7"/>
    <w:rsid w:val="00CA5DAC"/>
    <w:rsid w:val="00CB2869"/>
    <w:rsid w:val="00CB60A6"/>
    <w:rsid w:val="00CC2DC4"/>
    <w:rsid w:val="00CD3A59"/>
    <w:rsid w:val="00CD3E5D"/>
    <w:rsid w:val="00CE26A8"/>
    <w:rsid w:val="00CE34C2"/>
    <w:rsid w:val="00CE35DC"/>
    <w:rsid w:val="00CE54B3"/>
    <w:rsid w:val="00CE72AF"/>
    <w:rsid w:val="00CF0C1B"/>
    <w:rsid w:val="00CF55E5"/>
    <w:rsid w:val="00CF77F7"/>
    <w:rsid w:val="00D004EF"/>
    <w:rsid w:val="00D03EA2"/>
    <w:rsid w:val="00D05381"/>
    <w:rsid w:val="00D12ADF"/>
    <w:rsid w:val="00D1466E"/>
    <w:rsid w:val="00D323FC"/>
    <w:rsid w:val="00D346C3"/>
    <w:rsid w:val="00D35160"/>
    <w:rsid w:val="00D351EA"/>
    <w:rsid w:val="00D35EA9"/>
    <w:rsid w:val="00D40436"/>
    <w:rsid w:val="00D45898"/>
    <w:rsid w:val="00D46053"/>
    <w:rsid w:val="00D52AC2"/>
    <w:rsid w:val="00D5656B"/>
    <w:rsid w:val="00D600A4"/>
    <w:rsid w:val="00D63282"/>
    <w:rsid w:val="00D67302"/>
    <w:rsid w:val="00D70697"/>
    <w:rsid w:val="00D75602"/>
    <w:rsid w:val="00D83C15"/>
    <w:rsid w:val="00D83F11"/>
    <w:rsid w:val="00D863A7"/>
    <w:rsid w:val="00D948BE"/>
    <w:rsid w:val="00DB0645"/>
    <w:rsid w:val="00DB74EE"/>
    <w:rsid w:val="00DC25DC"/>
    <w:rsid w:val="00DC75FE"/>
    <w:rsid w:val="00DD0D83"/>
    <w:rsid w:val="00DD1CA6"/>
    <w:rsid w:val="00DD236A"/>
    <w:rsid w:val="00DD55A5"/>
    <w:rsid w:val="00DD6150"/>
    <w:rsid w:val="00DD6301"/>
    <w:rsid w:val="00DD68ED"/>
    <w:rsid w:val="00DE0D50"/>
    <w:rsid w:val="00DE0E0B"/>
    <w:rsid w:val="00DE2A84"/>
    <w:rsid w:val="00DE2E25"/>
    <w:rsid w:val="00DE4A87"/>
    <w:rsid w:val="00DE7C37"/>
    <w:rsid w:val="00DF11EA"/>
    <w:rsid w:val="00DF1782"/>
    <w:rsid w:val="00DF6007"/>
    <w:rsid w:val="00DF67F5"/>
    <w:rsid w:val="00E00E25"/>
    <w:rsid w:val="00E02CDA"/>
    <w:rsid w:val="00E04F46"/>
    <w:rsid w:val="00E0581F"/>
    <w:rsid w:val="00E05DF3"/>
    <w:rsid w:val="00E07435"/>
    <w:rsid w:val="00E10829"/>
    <w:rsid w:val="00E11072"/>
    <w:rsid w:val="00E157FC"/>
    <w:rsid w:val="00E321CF"/>
    <w:rsid w:val="00E327F3"/>
    <w:rsid w:val="00E44A22"/>
    <w:rsid w:val="00E46FCF"/>
    <w:rsid w:val="00E53489"/>
    <w:rsid w:val="00E560F0"/>
    <w:rsid w:val="00E578A6"/>
    <w:rsid w:val="00E614FB"/>
    <w:rsid w:val="00E6536D"/>
    <w:rsid w:val="00E74BBF"/>
    <w:rsid w:val="00E7612D"/>
    <w:rsid w:val="00E8002C"/>
    <w:rsid w:val="00E83122"/>
    <w:rsid w:val="00E9090E"/>
    <w:rsid w:val="00E9318A"/>
    <w:rsid w:val="00EA078E"/>
    <w:rsid w:val="00EA095B"/>
    <w:rsid w:val="00EA135D"/>
    <w:rsid w:val="00EA19B0"/>
    <w:rsid w:val="00EA2EEF"/>
    <w:rsid w:val="00EA5C08"/>
    <w:rsid w:val="00EA7DF1"/>
    <w:rsid w:val="00EB3933"/>
    <w:rsid w:val="00EB4683"/>
    <w:rsid w:val="00EB51A9"/>
    <w:rsid w:val="00EC107A"/>
    <w:rsid w:val="00EC2CE4"/>
    <w:rsid w:val="00EC3668"/>
    <w:rsid w:val="00EC6E72"/>
    <w:rsid w:val="00ED2B5F"/>
    <w:rsid w:val="00ED3011"/>
    <w:rsid w:val="00ED4993"/>
    <w:rsid w:val="00ED4C42"/>
    <w:rsid w:val="00EE67FA"/>
    <w:rsid w:val="00EF217F"/>
    <w:rsid w:val="00EF53AF"/>
    <w:rsid w:val="00F00B0F"/>
    <w:rsid w:val="00F01721"/>
    <w:rsid w:val="00F03022"/>
    <w:rsid w:val="00F03A6E"/>
    <w:rsid w:val="00F067E5"/>
    <w:rsid w:val="00F06B91"/>
    <w:rsid w:val="00F07BA2"/>
    <w:rsid w:val="00F17249"/>
    <w:rsid w:val="00F20168"/>
    <w:rsid w:val="00F22C79"/>
    <w:rsid w:val="00F44F06"/>
    <w:rsid w:val="00F51E40"/>
    <w:rsid w:val="00F52444"/>
    <w:rsid w:val="00F52F5E"/>
    <w:rsid w:val="00F53F71"/>
    <w:rsid w:val="00F552D1"/>
    <w:rsid w:val="00F637D5"/>
    <w:rsid w:val="00F65574"/>
    <w:rsid w:val="00F67441"/>
    <w:rsid w:val="00F80728"/>
    <w:rsid w:val="00F81ED3"/>
    <w:rsid w:val="00F85F51"/>
    <w:rsid w:val="00F9061F"/>
    <w:rsid w:val="00F976B3"/>
    <w:rsid w:val="00FA1399"/>
    <w:rsid w:val="00FA3B46"/>
    <w:rsid w:val="00FA62C5"/>
    <w:rsid w:val="00FB6BD9"/>
    <w:rsid w:val="00FB7CEF"/>
    <w:rsid w:val="00FC04E1"/>
    <w:rsid w:val="00FC6DF2"/>
    <w:rsid w:val="00FC7719"/>
    <w:rsid w:val="00FD0692"/>
    <w:rsid w:val="00FD1380"/>
    <w:rsid w:val="00FD338A"/>
    <w:rsid w:val="00FE4CD8"/>
    <w:rsid w:val="00FE65ED"/>
    <w:rsid w:val="00FF01FF"/>
    <w:rsid w:val="00FF20F2"/>
    <w:rsid w:val="00FF3B3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red,#f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A3B"/>
    <w:rPr>
      <w:rFonts w:ascii="Verdana" w:hAnsi="Verdana"/>
      <w:szCs w:val="24"/>
      <w:lang w:eastAsia="en-US"/>
    </w:rPr>
  </w:style>
  <w:style w:type="paragraph" w:styleId="Heading1">
    <w:name w:val="heading 1"/>
    <w:aliases w:val="Main Heading - Color"/>
    <w:basedOn w:val="Normal"/>
    <w:next w:val="Normal"/>
    <w:link w:val="Heading1Char"/>
    <w:qFormat/>
    <w:rsid w:val="001C7FC5"/>
    <w:pPr>
      <w:keepNext/>
      <w:spacing w:before="120" w:after="360"/>
      <w:outlineLvl w:val="0"/>
    </w:pPr>
    <w:rPr>
      <w:rFonts w:cs="Arial"/>
      <w:b/>
      <w:bCs/>
      <w:color w:val="333399"/>
      <w:sz w:val="24"/>
    </w:rPr>
  </w:style>
  <w:style w:type="paragraph" w:styleId="Heading2">
    <w:name w:val="heading 2"/>
    <w:aliases w:val="Sub-Heading 1 - Bold"/>
    <w:basedOn w:val="Text-bulleted"/>
    <w:next w:val="Normal"/>
    <w:qFormat/>
    <w:rsid w:val="00FE4CD8"/>
    <w:pPr>
      <w:numPr>
        <w:numId w:val="0"/>
      </w:numPr>
      <w:spacing w:before="360" w:after="360"/>
      <w:ind w:left="357" w:hanging="357"/>
      <w:outlineLvl w:val="1"/>
    </w:pPr>
    <w:rPr>
      <w:b/>
      <w:color w:val="333399"/>
      <w:sz w:val="24"/>
    </w:rPr>
  </w:style>
  <w:style w:type="paragraph" w:styleId="Heading3">
    <w:name w:val="heading 3"/>
    <w:aliases w:val="Sub-heading 2 - Italic"/>
    <w:basedOn w:val="Normal"/>
    <w:next w:val="Normal"/>
    <w:qFormat/>
    <w:rsid w:val="007E2A3B"/>
    <w:pPr>
      <w:keepNext/>
      <w:spacing w:before="120" w:after="360"/>
      <w:outlineLvl w:val="2"/>
    </w:pPr>
    <w:rPr>
      <w:rFonts w:cs="Arial"/>
      <w:bCs/>
      <w:i/>
      <w:szCs w:val="26"/>
    </w:rPr>
  </w:style>
  <w:style w:type="paragraph" w:styleId="Heading4">
    <w:name w:val="heading 4"/>
    <w:aliases w:val="Sub-heading 3 - Plain"/>
    <w:basedOn w:val="Normal"/>
    <w:next w:val="Normal"/>
    <w:qFormat/>
    <w:rsid w:val="007E2A3B"/>
    <w:pPr>
      <w:keepNext/>
      <w:spacing w:before="120" w:after="360"/>
      <w:outlineLvl w:val="3"/>
    </w:pPr>
    <w:rPr>
      <w:bCs/>
      <w:szCs w:val="28"/>
    </w:rPr>
  </w:style>
  <w:style w:type="paragraph" w:styleId="Heading5">
    <w:name w:val="heading 5"/>
    <w:aliases w:val="Do not use"/>
    <w:basedOn w:val="Heading4"/>
    <w:next w:val="Normal"/>
    <w:qFormat/>
    <w:rsid w:val="007E2A3B"/>
    <w:pPr>
      <w:outlineLvl w:val="4"/>
    </w:pPr>
    <w:rPr>
      <w:bCs w:val="0"/>
      <w:iCs/>
      <w:szCs w:val="26"/>
      <w:lang w:val="en-US"/>
    </w:rPr>
  </w:style>
  <w:style w:type="paragraph" w:styleId="Heading6">
    <w:name w:val="heading 6"/>
    <w:aliases w:val="- Do not use"/>
    <w:basedOn w:val="Normal"/>
    <w:next w:val="Normal"/>
    <w:qFormat/>
    <w:rsid w:val="007E2A3B"/>
    <w:pPr>
      <w:spacing w:before="240" w:after="60"/>
      <w:outlineLvl w:val="5"/>
    </w:pPr>
    <w:rPr>
      <w:bCs/>
      <w:szCs w:val="22"/>
    </w:rPr>
  </w:style>
  <w:style w:type="paragraph" w:styleId="Heading7">
    <w:name w:val="heading 7"/>
    <w:aliases w:val="Heading 7 - Do not use"/>
    <w:basedOn w:val="Normal"/>
    <w:next w:val="Normal"/>
    <w:qFormat/>
    <w:rsid w:val="007E2A3B"/>
    <w:pPr>
      <w:spacing w:before="240" w:after="60"/>
      <w:outlineLvl w:val="6"/>
    </w:pPr>
  </w:style>
  <w:style w:type="paragraph" w:styleId="Heading8">
    <w:name w:val="heading 8"/>
    <w:aliases w:val="Heading 8 - Do not use"/>
    <w:basedOn w:val="Normal"/>
    <w:next w:val="Normal"/>
    <w:qFormat/>
    <w:rsid w:val="007E2A3B"/>
    <w:pPr>
      <w:spacing w:before="240" w:after="60"/>
      <w:outlineLvl w:val="7"/>
    </w:pPr>
    <w:rPr>
      <w:iCs/>
    </w:rPr>
  </w:style>
  <w:style w:type="paragraph" w:styleId="Heading9">
    <w:name w:val="heading 9"/>
    <w:aliases w:val="Heading 9 - Do not use"/>
    <w:basedOn w:val="Normal"/>
    <w:next w:val="Normal"/>
    <w:qFormat/>
    <w:rsid w:val="007E2A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opic">
    <w:name w:val="Cover_Topic"/>
    <w:basedOn w:val="Normal"/>
    <w:rsid w:val="007E2A3B"/>
    <w:rPr>
      <w:b/>
      <w:sz w:val="22"/>
    </w:rPr>
  </w:style>
  <w:style w:type="character" w:customStyle="1" w:styleId="CoverTopicChar">
    <w:name w:val="Cover_Topic Char"/>
    <w:basedOn w:val="DefaultParagraphFont"/>
    <w:rsid w:val="007E2A3B"/>
    <w:rPr>
      <w:rFonts w:ascii="Verdana" w:hAnsi="Verdana"/>
      <w:b/>
      <w:sz w:val="22"/>
      <w:szCs w:val="24"/>
      <w:lang w:val="en-US" w:eastAsia="en-US" w:bidi="ar-SA"/>
    </w:rPr>
  </w:style>
  <w:style w:type="paragraph" w:styleId="Footer">
    <w:name w:val="footer"/>
    <w:basedOn w:val="Normal"/>
    <w:link w:val="FooterChar"/>
    <w:uiPriority w:val="99"/>
    <w:rsid w:val="007E2A3B"/>
    <w:pPr>
      <w:tabs>
        <w:tab w:val="center" w:pos="4320"/>
        <w:tab w:val="right" w:pos="8640"/>
      </w:tabs>
    </w:pPr>
    <w:rPr>
      <w:sz w:val="16"/>
    </w:rPr>
  </w:style>
  <w:style w:type="character" w:customStyle="1" w:styleId="CoverTopicDetails">
    <w:name w:val="Cover_Topic Details"/>
    <w:basedOn w:val="DefaultParagraphFont"/>
    <w:rsid w:val="007E2A3B"/>
    <w:rPr>
      <w:rFonts w:ascii="Verdana" w:hAnsi="Verdana"/>
      <w:sz w:val="20"/>
      <w:szCs w:val="24"/>
      <w:lang w:val="en-US" w:eastAsia="en-US" w:bidi="ar-SA"/>
    </w:rPr>
  </w:style>
  <w:style w:type="paragraph" w:customStyle="1" w:styleId="Text">
    <w:name w:val="Text"/>
    <w:basedOn w:val="Normal"/>
    <w:rsid w:val="007E2A3B"/>
    <w:pPr>
      <w:tabs>
        <w:tab w:val="left" w:pos="2581"/>
      </w:tabs>
    </w:pPr>
  </w:style>
  <w:style w:type="character" w:customStyle="1" w:styleId="CoverDocumentTypeexplanation">
    <w:name w:val="Cover_Document Type explanation"/>
    <w:basedOn w:val="DefaultParagraphFont"/>
    <w:rsid w:val="007E2A3B"/>
    <w:rPr>
      <w:rFonts w:ascii="Verdana" w:hAnsi="Verdana"/>
      <w:b/>
      <w:color w:val="808080"/>
      <w:sz w:val="24"/>
      <w:szCs w:val="24"/>
      <w:lang w:val="en-US" w:eastAsia="en-US" w:bidi="ar-SA"/>
    </w:rPr>
  </w:style>
  <w:style w:type="character" w:customStyle="1" w:styleId="Text-Italics">
    <w:name w:val="Text - Italics"/>
    <w:rsid w:val="007E2A3B"/>
    <w:rPr>
      <w:rFonts w:ascii="Verdana" w:hAnsi="Verdana"/>
      <w:i/>
      <w:sz w:val="20"/>
    </w:rPr>
  </w:style>
  <w:style w:type="paragraph" w:styleId="BalloonText">
    <w:name w:val="Balloon Text"/>
    <w:basedOn w:val="Normal"/>
    <w:semiHidden/>
    <w:locked/>
    <w:rsid w:val="007E2A3B"/>
    <w:rPr>
      <w:rFonts w:ascii="Tahoma" w:hAnsi="Tahoma" w:cs="Tahoma"/>
      <w:sz w:val="16"/>
      <w:szCs w:val="16"/>
    </w:rPr>
  </w:style>
  <w:style w:type="paragraph" w:customStyle="1" w:styleId="Text-Numbered">
    <w:name w:val="Text - Numbered"/>
    <w:basedOn w:val="Normal"/>
    <w:qFormat/>
    <w:rsid w:val="007E2A3B"/>
    <w:pPr>
      <w:numPr>
        <w:numId w:val="2"/>
      </w:numPr>
    </w:pPr>
  </w:style>
  <w:style w:type="paragraph" w:customStyle="1" w:styleId="DraftCover">
    <w:name w:val="Draft Cover"/>
    <w:basedOn w:val="Normal"/>
    <w:rsid w:val="007E2A3B"/>
    <w:rPr>
      <w:b/>
      <w:sz w:val="28"/>
    </w:rPr>
  </w:style>
  <w:style w:type="paragraph" w:customStyle="1" w:styleId="Tablehead">
    <w:name w:val="Table_head"/>
    <w:basedOn w:val="Normal"/>
    <w:rsid w:val="007E2A3B"/>
    <w:rPr>
      <w:rFonts w:cs="Arial"/>
      <w:b/>
    </w:rPr>
  </w:style>
  <w:style w:type="paragraph" w:customStyle="1" w:styleId="TableText-LeftAligned">
    <w:name w:val="Table_Text - Left Aligned"/>
    <w:basedOn w:val="Normal"/>
    <w:rsid w:val="007E2A3B"/>
  </w:style>
  <w:style w:type="character" w:customStyle="1" w:styleId="CoverTopicCharChar">
    <w:name w:val="Cover_Topic Char Char"/>
    <w:basedOn w:val="DefaultParagraphFont"/>
    <w:rsid w:val="007E2A3B"/>
    <w:rPr>
      <w:rFonts w:ascii="Verdana" w:eastAsia="MS Mincho" w:hAnsi="Verdana"/>
      <w:b/>
      <w:sz w:val="22"/>
      <w:szCs w:val="24"/>
      <w:lang w:val="en-US" w:eastAsia="en-US" w:bidi="ar-SA"/>
    </w:rPr>
  </w:style>
  <w:style w:type="paragraph" w:customStyle="1" w:styleId="Sectionheading">
    <w:name w:val="Section heading"/>
    <w:basedOn w:val="Normal"/>
    <w:rsid w:val="00696743"/>
    <w:pPr>
      <w:pBdr>
        <w:top w:val="single" w:sz="4" w:space="1" w:color="FFCC99" w:shadow="1"/>
        <w:left w:val="single" w:sz="4" w:space="4" w:color="FFCC99" w:shadow="1"/>
        <w:bottom w:val="single" w:sz="4" w:space="1" w:color="FFCC99" w:shadow="1"/>
        <w:right w:val="single" w:sz="4" w:space="4" w:color="FFCC99" w:shadow="1"/>
      </w:pBdr>
      <w:shd w:val="clear" w:color="auto" w:fill="C5E9FF"/>
      <w:tabs>
        <w:tab w:val="left" w:pos="2581"/>
      </w:tabs>
    </w:pPr>
    <w:rPr>
      <w:sz w:val="28"/>
      <w:szCs w:val="28"/>
    </w:rPr>
  </w:style>
  <w:style w:type="paragraph" w:customStyle="1" w:styleId="ChapterSummary">
    <w:name w:val="Chapter Summary"/>
    <w:basedOn w:val="Normal"/>
    <w:rsid w:val="007E2A3B"/>
    <w:pPr>
      <w:numPr>
        <w:numId w:val="8"/>
      </w:numPr>
      <w:pBdr>
        <w:top w:val="single" w:sz="4" w:space="1" w:color="FFCC99"/>
        <w:left w:val="single" w:sz="4" w:space="4" w:color="FFCC99"/>
        <w:bottom w:val="single" w:sz="4" w:space="1" w:color="FFCC99"/>
        <w:right w:val="single" w:sz="4" w:space="4" w:color="FFCC99"/>
      </w:pBdr>
      <w:shd w:val="clear" w:color="auto" w:fill="EFF9FF"/>
    </w:pPr>
  </w:style>
  <w:style w:type="paragraph" w:customStyle="1" w:styleId="Textbox-Bullted">
    <w:name w:val="Text box - Bullted"/>
    <w:basedOn w:val="Normal"/>
    <w:rsid w:val="007E2A3B"/>
    <w:pPr>
      <w:numPr>
        <w:numId w:val="1"/>
      </w:numPr>
      <w:pBdr>
        <w:top w:val="single" w:sz="4" w:space="1" w:color="FFCC99"/>
        <w:left w:val="single" w:sz="4" w:space="4" w:color="FFCC99"/>
        <w:bottom w:val="single" w:sz="4" w:space="1" w:color="FFCC99"/>
        <w:right w:val="single" w:sz="4" w:space="4" w:color="FFCC99"/>
      </w:pBdr>
      <w:shd w:val="clear" w:color="auto" w:fill="EFF9FF"/>
    </w:pPr>
    <w:rPr>
      <w:szCs w:val="20"/>
    </w:rPr>
  </w:style>
  <w:style w:type="character" w:customStyle="1" w:styleId="Textbox-BulltedChar">
    <w:name w:val="Text box - Bullted Char"/>
    <w:basedOn w:val="DefaultParagraphFont"/>
    <w:rsid w:val="007E2A3B"/>
    <w:rPr>
      <w:rFonts w:ascii="Verdana" w:hAnsi="Verdana"/>
      <w:lang w:val="en-GB" w:eastAsia="en-US" w:bidi="ar-SA"/>
    </w:rPr>
  </w:style>
  <w:style w:type="paragraph" w:customStyle="1" w:styleId="AppendixSection">
    <w:name w:val="Appendix_Section"/>
    <w:basedOn w:val="Sectionheading"/>
    <w:rsid w:val="007E2A3B"/>
    <w:pPr>
      <w:numPr>
        <w:numId w:val="6"/>
      </w:numPr>
    </w:pPr>
  </w:style>
  <w:style w:type="paragraph" w:customStyle="1" w:styleId="ChapterHeading">
    <w:name w:val="Chapter Heading"/>
    <w:basedOn w:val="Normal"/>
    <w:rsid w:val="00696743"/>
    <w:pPr>
      <w:pageBreakBefore/>
      <w:numPr>
        <w:numId w:val="4"/>
      </w:numPr>
      <w:pBdr>
        <w:top w:val="single" w:sz="4" w:space="0" w:color="FFCC99"/>
        <w:left w:val="single" w:sz="4" w:space="4" w:color="FFCC99"/>
        <w:bottom w:val="single" w:sz="4" w:space="1" w:color="FFCC99"/>
        <w:right w:val="single" w:sz="4" w:space="4" w:color="FFCC99"/>
      </w:pBdr>
      <w:shd w:val="clear" w:color="auto" w:fill="B3E2FF"/>
      <w:ind w:left="360"/>
    </w:pPr>
    <w:rPr>
      <w:bCs/>
      <w:sz w:val="28"/>
      <w:szCs w:val="28"/>
    </w:rPr>
  </w:style>
  <w:style w:type="paragraph" w:customStyle="1" w:styleId="Indexhead">
    <w:name w:val="Index head"/>
    <w:basedOn w:val="Normal"/>
    <w:rsid w:val="007E2A3B"/>
    <w:pPr>
      <w:tabs>
        <w:tab w:val="left" w:pos="2581"/>
      </w:tabs>
    </w:pPr>
    <w:rPr>
      <w:b/>
    </w:rPr>
  </w:style>
  <w:style w:type="paragraph" w:styleId="FootnoteText">
    <w:name w:val="footnote text"/>
    <w:link w:val="FootnoteTextChar"/>
    <w:semiHidden/>
    <w:locked/>
    <w:rsid w:val="007E2A3B"/>
    <w:pPr>
      <w:widowControl w:val="0"/>
    </w:pPr>
    <w:rPr>
      <w:rFonts w:ascii="Verdana" w:hAnsi="Verdana"/>
      <w:sz w:val="18"/>
      <w:lang w:eastAsia="en-US"/>
    </w:rPr>
  </w:style>
  <w:style w:type="character" w:customStyle="1" w:styleId="Text-Bold">
    <w:name w:val="Text - Bold"/>
    <w:basedOn w:val="DefaultParagraphFont"/>
    <w:rsid w:val="007E2A3B"/>
    <w:rPr>
      <w:rFonts w:ascii="Verdana" w:hAnsi="Verdana"/>
      <w:b/>
      <w:bCs/>
      <w:sz w:val="20"/>
    </w:rPr>
  </w:style>
  <w:style w:type="paragraph" w:customStyle="1" w:styleId="Tableofcontents">
    <w:name w:val="Table of contents"/>
    <w:basedOn w:val="Normal"/>
    <w:rsid w:val="007E2A3B"/>
    <w:pPr>
      <w:pBdr>
        <w:top w:val="single" w:sz="4" w:space="1" w:color="FFCC99"/>
        <w:left w:val="single" w:sz="4" w:space="4" w:color="FFCC99"/>
        <w:bottom w:val="single" w:sz="4" w:space="1" w:color="FFCC99"/>
        <w:right w:val="single" w:sz="4" w:space="4" w:color="FFCC99"/>
      </w:pBdr>
      <w:shd w:val="clear" w:color="auto" w:fill="BFE7FF"/>
      <w:tabs>
        <w:tab w:val="left" w:pos="2581"/>
      </w:tabs>
    </w:pPr>
    <w:rPr>
      <w:sz w:val="28"/>
    </w:rPr>
  </w:style>
  <w:style w:type="paragraph" w:styleId="TOC1">
    <w:name w:val="toc 1"/>
    <w:basedOn w:val="Normal"/>
    <w:next w:val="Normal"/>
    <w:uiPriority w:val="39"/>
    <w:rsid w:val="007E2A3B"/>
    <w:rPr>
      <w:b/>
      <w:sz w:val="22"/>
    </w:rPr>
  </w:style>
  <w:style w:type="character" w:styleId="CommentReference">
    <w:name w:val="annotation reference"/>
    <w:basedOn w:val="DefaultParagraphFont"/>
    <w:semiHidden/>
    <w:locked/>
    <w:rsid w:val="007E2A3B"/>
    <w:rPr>
      <w:sz w:val="16"/>
      <w:szCs w:val="16"/>
    </w:rPr>
  </w:style>
  <w:style w:type="paragraph" w:styleId="CommentText">
    <w:name w:val="annotation text"/>
    <w:basedOn w:val="Normal"/>
    <w:semiHidden/>
    <w:locked/>
    <w:rsid w:val="007E2A3B"/>
    <w:rPr>
      <w:szCs w:val="20"/>
    </w:rPr>
  </w:style>
  <w:style w:type="paragraph" w:customStyle="1" w:styleId="GlossaryHead">
    <w:name w:val="Glossary Head"/>
    <w:basedOn w:val="Normal"/>
    <w:rsid w:val="007E2A3B"/>
    <w:rPr>
      <w:rFonts w:cs="Arial"/>
      <w:b/>
      <w:caps/>
      <w:szCs w:val="22"/>
    </w:rPr>
  </w:style>
  <w:style w:type="paragraph" w:customStyle="1" w:styleId="GlossarySub-head">
    <w:name w:val="Glossary Sub-head"/>
    <w:basedOn w:val="GlossaryHead"/>
    <w:rsid w:val="007E2A3B"/>
    <w:rPr>
      <w:b w:val="0"/>
      <w:caps w:val="0"/>
      <w:color w:val="333399"/>
      <w:szCs w:val="20"/>
    </w:rPr>
  </w:style>
  <w:style w:type="paragraph" w:customStyle="1" w:styleId="Glossarytext">
    <w:name w:val="Glossary text"/>
    <w:basedOn w:val="Normal"/>
    <w:rsid w:val="007E2A3B"/>
    <w:rPr>
      <w:rFonts w:cs="Arial"/>
      <w:szCs w:val="17"/>
    </w:rPr>
  </w:style>
  <w:style w:type="paragraph" w:styleId="TOC2">
    <w:name w:val="toc 2"/>
    <w:basedOn w:val="Normal"/>
    <w:next w:val="Normal"/>
    <w:uiPriority w:val="39"/>
    <w:rsid w:val="007E2A3B"/>
    <w:pPr>
      <w:ind w:left="240"/>
    </w:pPr>
  </w:style>
  <w:style w:type="character" w:styleId="Hyperlink">
    <w:name w:val="Hyperlink"/>
    <w:aliases w:val="TOC - Hyperlink"/>
    <w:basedOn w:val="DefaultParagraphFont"/>
    <w:uiPriority w:val="99"/>
    <w:rsid w:val="007E2A3B"/>
    <w:rPr>
      <w:rFonts w:ascii="Verdana" w:hAnsi="Verdana"/>
      <w:color w:val="0000FF"/>
      <w:sz w:val="22"/>
      <w:u w:val="single"/>
    </w:rPr>
  </w:style>
  <w:style w:type="paragraph" w:styleId="TOC3">
    <w:name w:val="toc 3"/>
    <w:basedOn w:val="Normal"/>
    <w:next w:val="Normal"/>
    <w:uiPriority w:val="39"/>
    <w:rsid w:val="007E2A3B"/>
    <w:pPr>
      <w:ind w:left="480"/>
    </w:pPr>
  </w:style>
  <w:style w:type="paragraph" w:styleId="Header">
    <w:name w:val="header"/>
    <w:basedOn w:val="Normal"/>
    <w:semiHidden/>
    <w:rsid w:val="00A8231E"/>
    <w:pPr>
      <w:tabs>
        <w:tab w:val="center" w:pos="4320"/>
        <w:tab w:val="right" w:pos="8640"/>
      </w:tabs>
    </w:pPr>
  </w:style>
  <w:style w:type="character" w:customStyle="1" w:styleId="Text-underlined">
    <w:name w:val="Text - underlined"/>
    <w:basedOn w:val="DefaultParagraphFont"/>
    <w:rsid w:val="007E2A3B"/>
    <w:rPr>
      <w:rFonts w:ascii="Verdana" w:hAnsi="Verdana"/>
      <w:sz w:val="20"/>
      <w:u w:val="single"/>
    </w:rPr>
  </w:style>
  <w:style w:type="paragraph" w:customStyle="1" w:styleId="Text-bulleted">
    <w:name w:val="Text - bulleted"/>
    <w:basedOn w:val="Normal"/>
    <w:qFormat/>
    <w:rsid w:val="007E2A3B"/>
    <w:pPr>
      <w:numPr>
        <w:numId w:val="5"/>
      </w:numPr>
      <w:tabs>
        <w:tab w:val="left" w:pos="2581"/>
      </w:tabs>
    </w:pPr>
    <w:rPr>
      <w:rFonts w:cs="CGOmega-Regular"/>
    </w:rPr>
  </w:style>
  <w:style w:type="paragraph" w:customStyle="1" w:styleId="Paragrapgh">
    <w:name w:val="Paragrapgh"/>
    <w:basedOn w:val="Normal"/>
    <w:uiPriority w:val="99"/>
    <w:qFormat/>
    <w:rsid w:val="007E2A3B"/>
    <w:pPr>
      <w:numPr>
        <w:ilvl w:val="1"/>
        <w:numId w:val="4"/>
      </w:numPr>
      <w:spacing w:before="360" w:after="360"/>
    </w:pPr>
    <w:rPr>
      <w:szCs w:val="20"/>
    </w:rPr>
  </w:style>
  <w:style w:type="character" w:styleId="FootnoteReference">
    <w:name w:val="footnote reference"/>
    <w:basedOn w:val="DefaultParagraphFont"/>
    <w:semiHidden/>
    <w:locked/>
    <w:rsid w:val="007E2A3B"/>
    <w:rPr>
      <w:rFonts w:ascii="Verdana" w:hAnsi="Verdana"/>
      <w:vertAlign w:val="superscript"/>
    </w:rPr>
  </w:style>
  <w:style w:type="paragraph" w:customStyle="1" w:styleId="Footnotetext0">
    <w:name w:val="Footnote text"/>
    <w:rsid w:val="007E2A3B"/>
    <w:rPr>
      <w:rFonts w:ascii="Verdana" w:hAnsi="Verdana"/>
      <w:sz w:val="18"/>
      <w:szCs w:val="16"/>
      <w:lang w:eastAsia="en-US"/>
    </w:rPr>
  </w:style>
  <w:style w:type="paragraph" w:customStyle="1" w:styleId="Text-LeftAilgned">
    <w:name w:val="Text - Left Ailgned"/>
    <w:basedOn w:val="Normal"/>
    <w:rsid w:val="007E2A3B"/>
    <w:pPr>
      <w:tabs>
        <w:tab w:val="left" w:pos="2581"/>
      </w:tabs>
    </w:pPr>
  </w:style>
  <w:style w:type="character" w:customStyle="1" w:styleId="Text-LeftAilgnedChar">
    <w:name w:val="Text - Left Ailgned Char"/>
    <w:basedOn w:val="DefaultParagraphFont"/>
    <w:rsid w:val="007E2A3B"/>
    <w:rPr>
      <w:rFonts w:ascii="Verdana" w:hAnsi="Verdana"/>
      <w:szCs w:val="24"/>
      <w:lang w:val="en-US" w:eastAsia="en-US" w:bidi="ar-SA"/>
    </w:rPr>
  </w:style>
  <w:style w:type="paragraph" w:customStyle="1" w:styleId="Text-RightAligned">
    <w:name w:val="Text - Right Aligned"/>
    <w:basedOn w:val="Normal"/>
    <w:rsid w:val="007E2A3B"/>
    <w:pPr>
      <w:tabs>
        <w:tab w:val="left" w:pos="2581"/>
      </w:tabs>
      <w:jc w:val="right"/>
    </w:pPr>
  </w:style>
  <w:style w:type="paragraph" w:customStyle="1" w:styleId="Text-Romannumbered">
    <w:name w:val="Text - Roman numbered"/>
    <w:basedOn w:val="Text-bulleted"/>
    <w:rsid w:val="007E2A3B"/>
    <w:pPr>
      <w:numPr>
        <w:numId w:val="3"/>
      </w:numPr>
    </w:pPr>
  </w:style>
  <w:style w:type="paragraph" w:customStyle="1" w:styleId="Textbox-BulletedBold">
    <w:name w:val="Text box - Bulleted Bold"/>
    <w:basedOn w:val="Textbox-Bullted"/>
    <w:rsid w:val="007E2A3B"/>
    <w:rPr>
      <w:b/>
      <w:bCs/>
    </w:rPr>
  </w:style>
  <w:style w:type="character" w:customStyle="1" w:styleId="Textbox-BulletedBoldChar">
    <w:name w:val="Text box - Bulleted Bold Char"/>
    <w:basedOn w:val="Textbox-BulltedChar"/>
    <w:rsid w:val="007E2A3B"/>
    <w:rPr>
      <w:b/>
      <w:bCs/>
    </w:rPr>
  </w:style>
  <w:style w:type="paragraph" w:customStyle="1" w:styleId="Textbox">
    <w:name w:val="Text box"/>
    <w:basedOn w:val="Normal"/>
    <w:rsid w:val="007E2A3B"/>
    <w:pPr>
      <w:pBdr>
        <w:top w:val="single" w:sz="4" w:space="1" w:color="FFCC99"/>
        <w:left w:val="single" w:sz="4" w:space="4" w:color="FFCC99"/>
        <w:bottom w:val="single" w:sz="4" w:space="1" w:color="FFCC99"/>
        <w:right w:val="single" w:sz="4" w:space="4" w:color="FFCC99"/>
      </w:pBdr>
      <w:shd w:val="clear" w:color="auto" w:fill="EFF9FF"/>
    </w:pPr>
  </w:style>
  <w:style w:type="paragraph" w:customStyle="1" w:styleId="Text-bulleted-Bold">
    <w:name w:val="Text - bulleted - Bold"/>
    <w:basedOn w:val="Text-bulleted"/>
    <w:rsid w:val="007E2A3B"/>
    <w:rPr>
      <w:b/>
      <w:bCs/>
    </w:rPr>
  </w:style>
  <w:style w:type="paragraph" w:customStyle="1" w:styleId="ParagrapghBold">
    <w:name w:val="Paragrapgh + Bold"/>
    <w:basedOn w:val="Paragrapgh"/>
    <w:qFormat/>
    <w:rsid w:val="007E2A3B"/>
    <w:pPr>
      <w:spacing w:before="120"/>
    </w:pPr>
    <w:rPr>
      <w:b/>
      <w:bCs/>
    </w:rPr>
  </w:style>
  <w:style w:type="paragraph" w:customStyle="1" w:styleId="StyleTableText-RightAligned">
    <w:name w:val="Style Table_Text - Right Aligned"/>
    <w:basedOn w:val="TableText-LeftAligned"/>
    <w:rsid w:val="007E2A3B"/>
    <w:pPr>
      <w:jc w:val="right"/>
    </w:pPr>
    <w:rPr>
      <w:szCs w:val="20"/>
    </w:rPr>
  </w:style>
  <w:style w:type="paragraph" w:customStyle="1" w:styleId="TableText-Centered">
    <w:name w:val="Table_Text - Centered"/>
    <w:basedOn w:val="TableText-LeftAligned"/>
    <w:rsid w:val="007E2A3B"/>
    <w:pPr>
      <w:jc w:val="center"/>
    </w:pPr>
    <w:rPr>
      <w:szCs w:val="20"/>
    </w:rPr>
  </w:style>
  <w:style w:type="character" w:styleId="PageNumber">
    <w:name w:val="page number"/>
    <w:basedOn w:val="DefaultParagraphFont"/>
    <w:semiHidden/>
    <w:rsid w:val="007E2A3B"/>
    <w:rPr>
      <w:rFonts w:ascii="Verdana" w:hAnsi="Verdana"/>
      <w:sz w:val="16"/>
    </w:rPr>
  </w:style>
  <w:style w:type="paragraph" w:customStyle="1" w:styleId="Text-Centered">
    <w:name w:val="Text - Centered"/>
    <w:basedOn w:val="TableText-LeftAligned"/>
    <w:rsid w:val="007E2A3B"/>
    <w:pPr>
      <w:jc w:val="center"/>
    </w:pPr>
    <w:rPr>
      <w:szCs w:val="20"/>
    </w:rPr>
  </w:style>
  <w:style w:type="paragraph" w:customStyle="1" w:styleId="TableText-Centered0">
    <w:name w:val="Table Text - Centered"/>
    <w:basedOn w:val="TableText-LeftAligned"/>
    <w:rsid w:val="007E2A3B"/>
    <w:pPr>
      <w:jc w:val="center"/>
    </w:pPr>
    <w:rPr>
      <w:szCs w:val="20"/>
    </w:rPr>
  </w:style>
  <w:style w:type="character" w:customStyle="1" w:styleId="Text-Italicsbold">
    <w:name w:val="Text - Italics + bold"/>
    <w:basedOn w:val="DefaultParagraphFont"/>
    <w:rsid w:val="007E2A3B"/>
    <w:rPr>
      <w:rFonts w:ascii="Verdana" w:hAnsi="Verdana"/>
      <w:b/>
      <w:i/>
      <w:sz w:val="20"/>
    </w:rPr>
  </w:style>
  <w:style w:type="paragraph" w:customStyle="1" w:styleId="Appendixtext-Numbered">
    <w:name w:val="Appendix text - Numbered"/>
    <w:basedOn w:val="Normal"/>
    <w:qFormat/>
    <w:rsid w:val="007E2A3B"/>
    <w:pPr>
      <w:numPr>
        <w:ilvl w:val="1"/>
        <w:numId w:val="6"/>
      </w:numPr>
      <w:spacing w:before="120" w:after="360"/>
    </w:pPr>
  </w:style>
  <w:style w:type="character" w:customStyle="1" w:styleId="Appendixtext-NumberedChar">
    <w:name w:val="Appendix text - Numbered Char"/>
    <w:basedOn w:val="DefaultParagraphFont"/>
    <w:rsid w:val="007E2A3B"/>
    <w:rPr>
      <w:rFonts w:ascii="Verdana" w:hAnsi="Verdana"/>
      <w:szCs w:val="24"/>
      <w:lang w:eastAsia="en-US"/>
    </w:rPr>
  </w:style>
  <w:style w:type="paragraph" w:customStyle="1" w:styleId="TopSectionHeadings">
    <w:name w:val="Top Section Headings"/>
    <w:basedOn w:val="Normal"/>
    <w:rsid w:val="007E2A3B"/>
    <w:rPr>
      <w:sz w:val="28"/>
    </w:rPr>
  </w:style>
  <w:style w:type="character" w:customStyle="1" w:styleId="TopSectionHeadingsChar">
    <w:name w:val="Top Section Headings Char"/>
    <w:basedOn w:val="DefaultParagraphFont"/>
    <w:rsid w:val="007E2A3B"/>
    <w:rPr>
      <w:rFonts w:ascii="Verdana" w:hAnsi="Verdana"/>
      <w:sz w:val="28"/>
      <w:szCs w:val="24"/>
      <w:lang w:val="en-GB" w:eastAsia="en-US" w:bidi="ar-SA"/>
    </w:rPr>
  </w:style>
  <w:style w:type="paragraph" w:customStyle="1" w:styleId="ParagrapghItalic">
    <w:name w:val="Paragrapgh + Italic"/>
    <w:basedOn w:val="Paragrapgh"/>
    <w:qFormat/>
    <w:rsid w:val="007E2A3B"/>
    <w:pPr>
      <w:spacing w:before="120"/>
    </w:pPr>
    <w:rPr>
      <w:i/>
      <w:iCs/>
    </w:rPr>
  </w:style>
  <w:style w:type="paragraph" w:customStyle="1" w:styleId="Frontcoverfooter-bold">
    <w:name w:val="Front cover footer - bold"/>
    <w:basedOn w:val="Normal"/>
    <w:rsid w:val="007E2A3B"/>
    <w:pPr>
      <w:jc w:val="right"/>
    </w:pPr>
    <w:rPr>
      <w:b/>
      <w:color w:val="FFFFFF"/>
      <w:spacing w:val="6"/>
      <w:position w:val="10"/>
      <w:szCs w:val="20"/>
    </w:rPr>
  </w:style>
  <w:style w:type="paragraph" w:customStyle="1" w:styleId="Text-LowerCaseLetter">
    <w:name w:val="Text - Lower Case Letter"/>
    <w:basedOn w:val="Normal"/>
    <w:rsid w:val="007E2A3B"/>
    <w:pPr>
      <w:numPr>
        <w:numId w:val="7"/>
      </w:numPr>
      <w:tabs>
        <w:tab w:val="left" w:pos="2581"/>
      </w:tabs>
    </w:pPr>
  </w:style>
  <w:style w:type="paragraph" w:customStyle="1" w:styleId="Frontcoverpunchline">
    <w:name w:val="Front cover punchline"/>
    <w:basedOn w:val="Normal"/>
    <w:rsid w:val="007E2A3B"/>
    <w:pPr>
      <w:jc w:val="right"/>
    </w:pPr>
    <w:rPr>
      <w:color w:val="FFFFFF"/>
      <w:spacing w:val="6"/>
      <w:position w:val="10"/>
      <w:szCs w:val="20"/>
    </w:rPr>
  </w:style>
  <w:style w:type="paragraph" w:customStyle="1" w:styleId="ParagrapghUnderline">
    <w:name w:val="Paragrapgh + Underline"/>
    <w:basedOn w:val="Paragrapgh"/>
    <w:rsid w:val="007E2A3B"/>
    <w:pPr>
      <w:spacing w:before="120"/>
    </w:pPr>
    <w:rPr>
      <w:u w:val="single"/>
    </w:rPr>
  </w:style>
  <w:style w:type="paragraph" w:styleId="CommentSubject">
    <w:name w:val="annotation subject"/>
    <w:basedOn w:val="CommentText"/>
    <w:next w:val="CommentText"/>
    <w:semiHidden/>
    <w:locked/>
    <w:rsid w:val="007E2A3B"/>
    <w:rPr>
      <w:b/>
      <w:bCs/>
    </w:rPr>
  </w:style>
  <w:style w:type="paragraph" w:styleId="DocumentMap">
    <w:name w:val="Document Map"/>
    <w:basedOn w:val="Normal"/>
    <w:semiHidden/>
    <w:locked/>
    <w:rsid w:val="007E2A3B"/>
    <w:pPr>
      <w:shd w:val="clear" w:color="auto" w:fill="000080"/>
    </w:pPr>
    <w:rPr>
      <w:rFonts w:ascii="Tahoma" w:hAnsi="Tahoma" w:cs="Tahoma"/>
      <w:szCs w:val="20"/>
    </w:rPr>
  </w:style>
  <w:style w:type="paragraph" w:styleId="EndnoteText">
    <w:name w:val="endnote text"/>
    <w:basedOn w:val="Normal"/>
    <w:semiHidden/>
    <w:locked/>
    <w:rsid w:val="007E2A3B"/>
    <w:rPr>
      <w:szCs w:val="20"/>
    </w:rPr>
  </w:style>
  <w:style w:type="paragraph" w:styleId="Index1">
    <w:name w:val="index 1"/>
    <w:basedOn w:val="Normal"/>
    <w:next w:val="Normal"/>
    <w:semiHidden/>
    <w:locked/>
    <w:rsid w:val="007E2A3B"/>
    <w:pPr>
      <w:ind w:left="200" w:hanging="200"/>
    </w:pPr>
  </w:style>
  <w:style w:type="paragraph" w:styleId="Index2">
    <w:name w:val="index 2"/>
    <w:basedOn w:val="Normal"/>
    <w:next w:val="Normal"/>
    <w:semiHidden/>
    <w:locked/>
    <w:rsid w:val="007E2A3B"/>
    <w:pPr>
      <w:ind w:left="400" w:hanging="200"/>
    </w:pPr>
  </w:style>
  <w:style w:type="paragraph" w:styleId="Index3">
    <w:name w:val="index 3"/>
    <w:basedOn w:val="Normal"/>
    <w:next w:val="Normal"/>
    <w:semiHidden/>
    <w:locked/>
    <w:rsid w:val="007E2A3B"/>
    <w:pPr>
      <w:ind w:left="600" w:hanging="200"/>
    </w:pPr>
  </w:style>
  <w:style w:type="paragraph" w:styleId="Index4">
    <w:name w:val="index 4"/>
    <w:basedOn w:val="Normal"/>
    <w:next w:val="Normal"/>
    <w:semiHidden/>
    <w:locked/>
    <w:rsid w:val="007E2A3B"/>
    <w:pPr>
      <w:ind w:left="800" w:hanging="200"/>
    </w:pPr>
  </w:style>
  <w:style w:type="paragraph" w:styleId="Index5">
    <w:name w:val="index 5"/>
    <w:basedOn w:val="Normal"/>
    <w:next w:val="Normal"/>
    <w:semiHidden/>
    <w:locked/>
    <w:rsid w:val="007E2A3B"/>
    <w:pPr>
      <w:ind w:left="1000" w:hanging="200"/>
    </w:pPr>
  </w:style>
  <w:style w:type="paragraph" w:styleId="Index6">
    <w:name w:val="index 6"/>
    <w:basedOn w:val="Normal"/>
    <w:next w:val="Normal"/>
    <w:semiHidden/>
    <w:locked/>
    <w:rsid w:val="007E2A3B"/>
    <w:pPr>
      <w:ind w:left="1200" w:hanging="200"/>
    </w:pPr>
  </w:style>
  <w:style w:type="paragraph" w:styleId="Index7">
    <w:name w:val="index 7"/>
    <w:basedOn w:val="Normal"/>
    <w:next w:val="Normal"/>
    <w:semiHidden/>
    <w:locked/>
    <w:rsid w:val="007E2A3B"/>
    <w:pPr>
      <w:ind w:left="1400" w:hanging="200"/>
    </w:pPr>
  </w:style>
  <w:style w:type="paragraph" w:styleId="Index8">
    <w:name w:val="index 8"/>
    <w:basedOn w:val="Normal"/>
    <w:next w:val="Normal"/>
    <w:semiHidden/>
    <w:locked/>
    <w:rsid w:val="007E2A3B"/>
    <w:pPr>
      <w:ind w:left="1600" w:hanging="200"/>
    </w:pPr>
  </w:style>
  <w:style w:type="paragraph" w:styleId="Index9">
    <w:name w:val="index 9"/>
    <w:basedOn w:val="Normal"/>
    <w:next w:val="Normal"/>
    <w:semiHidden/>
    <w:locked/>
    <w:rsid w:val="007E2A3B"/>
    <w:pPr>
      <w:ind w:left="1800" w:hanging="200"/>
    </w:pPr>
  </w:style>
  <w:style w:type="paragraph" w:styleId="IndexHeading">
    <w:name w:val="index heading"/>
    <w:basedOn w:val="Normal"/>
    <w:next w:val="Index1"/>
    <w:semiHidden/>
    <w:locked/>
    <w:rsid w:val="007E2A3B"/>
    <w:rPr>
      <w:rFonts w:ascii="Arial" w:hAnsi="Arial" w:cs="Arial"/>
      <w:b/>
      <w:bCs/>
    </w:rPr>
  </w:style>
  <w:style w:type="paragraph" w:styleId="MacroText">
    <w:name w:val="macro"/>
    <w:semiHidden/>
    <w:locked/>
    <w:rsid w:val="007E2A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7E2A3B"/>
    <w:pPr>
      <w:ind w:left="200" w:hanging="200"/>
    </w:pPr>
  </w:style>
  <w:style w:type="paragraph" w:styleId="TableofFigures">
    <w:name w:val="table of figures"/>
    <w:basedOn w:val="Normal"/>
    <w:next w:val="Normal"/>
    <w:semiHidden/>
    <w:locked/>
    <w:rsid w:val="007E2A3B"/>
  </w:style>
  <w:style w:type="paragraph" w:styleId="TOAHeading">
    <w:name w:val="toa heading"/>
    <w:basedOn w:val="Normal"/>
    <w:next w:val="Normal"/>
    <w:semiHidden/>
    <w:rsid w:val="007E2A3B"/>
    <w:pPr>
      <w:spacing w:before="120"/>
    </w:pPr>
    <w:rPr>
      <w:rFonts w:ascii="Arial" w:hAnsi="Arial" w:cs="Arial"/>
      <w:b/>
      <w:bCs/>
      <w:sz w:val="24"/>
    </w:rPr>
  </w:style>
  <w:style w:type="paragraph" w:styleId="TOC4">
    <w:name w:val="toc 4"/>
    <w:basedOn w:val="Normal"/>
    <w:next w:val="Normal"/>
    <w:semiHidden/>
    <w:rsid w:val="007E2A3B"/>
    <w:pPr>
      <w:ind w:left="600"/>
    </w:pPr>
  </w:style>
  <w:style w:type="paragraph" w:styleId="TOC5">
    <w:name w:val="toc 5"/>
    <w:basedOn w:val="Normal"/>
    <w:next w:val="Normal"/>
    <w:semiHidden/>
    <w:rsid w:val="007E2A3B"/>
    <w:pPr>
      <w:ind w:left="800"/>
    </w:pPr>
  </w:style>
  <w:style w:type="paragraph" w:styleId="TOC6">
    <w:name w:val="toc 6"/>
    <w:basedOn w:val="Normal"/>
    <w:next w:val="Normal"/>
    <w:semiHidden/>
    <w:rsid w:val="007E2A3B"/>
    <w:pPr>
      <w:ind w:left="1000"/>
    </w:pPr>
  </w:style>
  <w:style w:type="paragraph" w:styleId="TOC7">
    <w:name w:val="toc 7"/>
    <w:basedOn w:val="Normal"/>
    <w:next w:val="Normal"/>
    <w:semiHidden/>
    <w:rsid w:val="007E2A3B"/>
    <w:pPr>
      <w:ind w:left="1200"/>
    </w:pPr>
  </w:style>
  <w:style w:type="paragraph" w:styleId="TOC8">
    <w:name w:val="toc 8"/>
    <w:basedOn w:val="Normal"/>
    <w:next w:val="Normal"/>
    <w:semiHidden/>
    <w:rsid w:val="007E2A3B"/>
    <w:pPr>
      <w:ind w:left="1400"/>
    </w:pPr>
  </w:style>
  <w:style w:type="paragraph" w:styleId="TOC9">
    <w:name w:val="toc 9"/>
    <w:basedOn w:val="Normal"/>
    <w:next w:val="Normal"/>
    <w:semiHidden/>
    <w:rsid w:val="007E2A3B"/>
    <w:pPr>
      <w:ind w:left="1600"/>
    </w:pPr>
  </w:style>
  <w:style w:type="character" w:customStyle="1" w:styleId="legamended2">
    <w:name w:val="legamended2"/>
    <w:basedOn w:val="DefaultParagraphFont"/>
    <w:rsid w:val="007E2A3B"/>
    <w:rPr>
      <w:rFonts w:cs="Times New Roman"/>
      <w:color w:val="0000FF"/>
      <w:shd w:val="clear" w:color="auto" w:fill="FFFFFF"/>
    </w:rPr>
  </w:style>
  <w:style w:type="paragraph" w:customStyle="1" w:styleId="Title1">
    <w:name w:val="Title1"/>
    <w:basedOn w:val="Normal"/>
    <w:rsid w:val="007E2A3B"/>
    <w:pPr>
      <w:spacing w:after="120"/>
    </w:pPr>
    <w:rPr>
      <w:rFonts w:cs="Arial"/>
      <w:sz w:val="32"/>
      <w:szCs w:val="22"/>
      <w:lang w:eastAsia="en-GB"/>
    </w:rPr>
  </w:style>
  <w:style w:type="character" w:styleId="EndnoteReference">
    <w:name w:val="endnote reference"/>
    <w:basedOn w:val="DefaultParagraphFont"/>
    <w:semiHidden/>
    <w:locked/>
    <w:rsid w:val="007E2A3B"/>
    <w:rPr>
      <w:vertAlign w:val="superscript"/>
    </w:rPr>
  </w:style>
  <w:style w:type="paragraph" w:styleId="BodyText">
    <w:name w:val="Body Text"/>
    <w:basedOn w:val="Normal"/>
    <w:rsid w:val="007E2A3B"/>
    <w:pPr>
      <w:tabs>
        <w:tab w:val="left" w:pos="709"/>
        <w:tab w:val="left" w:pos="1559"/>
        <w:tab w:val="left" w:pos="2268"/>
        <w:tab w:val="left" w:pos="2977"/>
        <w:tab w:val="left" w:pos="3686"/>
        <w:tab w:val="left" w:pos="4394"/>
        <w:tab w:val="right" w:pos="8789"/>
      </w:tabs>
      <w:spacing w:before="100" w:after="100" w:line="260" w:lineRule="atLeast"/>
      <w:jc w:val="both"/>
    </w:pPr>
    <w:rPr>
      <w:rFonts w:ascii="Times New Roman" w:eastAsia="Batang" w:hAnsi="Times New Roman"/>
      <w:sz w:val="22"/>
      <w:szCs w:val="20"/>
      <w:lang w:eastAsia="ko-KR"/>
    </w:rPr>
  </w:style>
  <w:style w:type="character" w:customStyle="1" w:styleId="BodyTextChar">
    <w:name w:val="Body Text Char"/>
    <w:basedOn w:val="DefaultParagraphFont"/>
    <w:rsid w:val="007E2A3B"/>
    <w:rPr>
      <w:rFonts w:eastAsia="Batang"/>
      <w:sz w:val="22"/>
      <w:lang w:eastAsia="ko-KR"/>
    </w:rPr>
  </w:style>
  <w:style w:type="paragraph" w:styleId="ListParagraph">
    <w:name w:val="List Paragraph"/>
    <w:basedOn w:val="Normal"/>
    <w:uiPriority w:val="34"/>
    <w:qFormat/>
    <w:rsid w:val="00AB19EB"/>
    <w:pPr>
      <w:ind w:left="720"/>
      <w:contextualSpacing/>
    </w:pPr>
  </w:style>
  <w:style w:type="character" w:customStyle="1" w:styleId="FootnoteTextChar">
    <w:name w:val="Footnote Text Char"/>
    <w:basedOn w:val="DefaultParagraphFont"/>
    <w:link w:val="FootnoteText"/>
    <w:semiHidden/>
    <w:rsid w:val="001D5B7E"/>
    <w:rPr>
      <w:rFonts w:ascii="Verdana" w:hAnsi="Verdana"/>
      <w:sz w:val="18"/>
      <w:lang w:eastAsia="en-US"/>
    </w:rPr>
  </w:style>
  <w:style w:type="character" w:customStyle="1" w:styleId="Heading1Char">
    <w:name w:val="Heading 1 Char"/>
    <w:aliases w:val="Main Heading - Color Char"/>
    <w:basedOn w:val="DefaultParagraphFont"/>
    <w:link w:val="Heading1"/>
    <w:rsid w:val="001C7FC5"/>
    <w:rPr>
      <w:rFonts w:ascii="Verdana" w:hAnsi="Verdana" w:cs="Arial"/>
      <w:b/>
      <w:bCs/>
      <w:color w:val="333399"/>
      <w:sz w:val="24"/>
      <w:szCs w:val="24"/>
      <w:lang w:eastAsia="en-US"/>
    </w:rPr>
  </w:style>
  <w:style w:type="table" w:styleId="TableGrid">
    <w:name w:val="Table Grid"/>
    <w:basedOn w:val="TableNormal"/>
    <w:uiPriority w:val="59"/>
    <w:rsid w:val="004106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AC719F"/>
    <w:pPr>
      <w:spacing w:after="120" w:line="480" w:lineRule="auto"/>
    </w:pPr>
  </w:style>
  <w:style w:type="character" w:customStyle="1" w:styleId="BodyText2Char">
    <w:name w:val="Body Text 2 Char"/>
    <w:basedOn w:val="DefaultParagraphFont"/>
    <w:link w:val="BodyText2"/>
    <w:uiPriority w:val="99"/>
    <w:semiHidden/>
    <w:rsid w:val="00AC719F"/>
    <w:rPr>
      <w:rFonts w:ascii="Verdana" w:hAnsi="Verdana"/>
      <w:szCs w:val="24"/>
      <w:lang w:eastAsia="en-US"/>
    </w:rPr>
  </w:style>
  <w:style w:type="paragraph" w:styleId="Revision">
    <w:name w:val="Revision"/>
    <w:hidden/>
    <w:uiPriority w:val="99"/>
    <w:semiHidden/>
    <w:rsid w:val="00ED3011"/>
    <w:rPr>
      <w:rFonts w:ascii="Verdana" w:hAnsi="Verdana"/>
      <w:szCs w:val="24"/>
      <w:lang w:eastAsia="en-US"/>
    </w:rPr>
  </w:style>
  <w:style w:type="character" w:styleId="FollowedHyperlink">
    <w:name w:val="FollowedHyperlink"/>
    <w:basedOn w:val="DefaultParagraphFont"/>
    <w:uiPriority w:val="99"/>
    <w:semiHidden/>
    <w:unhideWhenUsed/>
    <w:rsid w:val="005E5632"/>
    <w:rPr>
      <w:color w:val="800080" w:themeColor="followedHyperlink"/>
      <w:u w:val="single"/>
    </w:rPr>
  </w:style>
  <w:style w:type="character" w:customStyle="1" w:styleId="FooterChar">
    <w:name w:val="Footer Char"/>
    <w:basedOn w:val="DefaultParagraphFont"/>
    <w:link w:val="Footer"/>
    <w:uiPriority w:val="99"/>
    <w:rsid w:val="00097F7B"/>
    <w:rPr>
      <w:rFonts w:ascii="Verdana" w:hAnsi="Verdana"/>
      <w:sz w:val="16"/>
      <w:szCs w:val="24"/>
      <w:lang w:eastAsia="en-US"/>
    </w:rPr>
  </w:style>
  <w:style w:type="paragraph" w:customStyle="1" w:styleId="Bullet1">
    <w:name w:val="_Bullet 1"/>
    <w:basedOn w:val="Normal"/>
    <w:autoRedefine/>
    <w:rsid w:val="00513523"/>
    <w:pPr>
      <w:numPr>
        <w:numId w:val="26"/>
      </w:numPr>
      <w:spacing w:before="140" w:line="260" w:lineRule="atLeast"/>
      <w:jc w:val="both"/>
    </w:pPr>
    <w:rPr>
      <w:rFonts w:ascii="Arial" w:hAnsi="Arial"/>
    </w:rPr>
  </w:style>
  <w:style w:type="paragraph" w:customStyle="1" w:styleId="Body">
    <w:name w:val="Body"/>
    <w:basedOn w:val="Normal"/>
    <w:rsid w:val="001570E0"/>
    <w:pPr>
      <w:spacing w:after="140" w:line="290" w:lineRule="auto"/>
      <w:jc w:val="both"/>
    </w:pPr>
    <w:rPr>
      <w:rFonts w:ascii="Arial" w:hAnsi="Arial"/>
      <w:kern w:val="20"/>
    </w:rPr>
  </w:style>
  <w:style w:type="paragraph" w:customStyle="1" w:styleId="Level1">
    <w:name w:val="Level 1"/>
    <w:basedOn w:val="Normal"/>
    <w:rsid w:val="001570E0"/>
    <w:pPr>
      <w:numPr>
        <w:numId w:val="34"/>
      </w:numPr>
      <w:spacing w:after="140" w:line="290" w:lineRule="auto"/>
      <w:jc w:val="both"/>
    </w:pPr>
    <w:rPr>
      <w:rFonts w:ascii="Arial" w:hAnsi="Arial"/>
      <w:kern w:val="20"/>
    </w:rPr>
  </w:style>
  <w:style w:type="paragraph" w:customStyle="1" w:styleId="Level2">
    <w:name w:val="Level 2"/>
    <w:basedOn w:val="Normal"/>
    <w:rsid w:val="001570E0"/>
    <w:pPr>
      <w:numPr>
        <w:ilvl w:val="1"/>
        <w:numId w:val="34"/>
      </w:numPr>
      <w:spacing w:after="140" w:line="290" w:lineRule="auto"/>
      <w:jc w:val="both"/>
    </w:pPr>
    <w:rPr>
      <w:rFonts w:ascii="Arial" w:hAnsi="Arial"/>
      <w:kern w:val="20"/>
    </w:rPr>
  </w:style>
  <w:style w:type="paragraph" w:customStyle="1" w:styleId="Level3">
    <w:name w:val="Level 3"/>
    <w:basedOn w:val="Normal"/>
    <w:rsid w:val="001570E0"/>
    <w:pPr>
      <w:numPr>
        <w:ilvl w:val="2"/>
        <w:numId w:val="34"/>
      </w:numPr>
      <w:spacing w:after="140" w:line="290" w:lineRule="auto"/>
      <w:jc w:val="both"/>
    </w:pPr>
    <w:rPr>
      <w:rFonts w:ascii="Arial" w:hAnsi="Arial"/>
      <w:kern w:val="20"/>
    </w:rPr>
  </w:style>
  <w:style w:type="paragraph" w:customStyle="1" w:styleId="Level4">
    <w:name w:val="Level 4"/>
    <w:basedOn w:val="Normal"/>
    <w:rsid w:val="001570E0"/>
    <w:pPr>
      <w:numPr>
        <w:ilvl w:val="3"/>
        <w:numId w:val="34"/>
      </w:numPr>
      <w:spacing w:after="140" w:line="290" w:lineRule="auto"/>
      <w:jc w:val="both"/>
    </w:pPr>
    <w:rPr>
      <w:rFonts w:ascii="Arial" w:hAnsi="Arial"/>
      <w:kern w:val="20"/>
    </w:rPr>
  </w:style>
  <w:style w:type="paragraph" w:customStyle="1" w:styleId="Level5">
    <w:name w:val="Level 5"/>
    <w:basedOn w:val="Normal"/>
    <w:rsid w:val="001570E0"/>
    <w:pPr>
      <w:numPr>
        <w:ilvl w:val="4"/>
        <w:numId w:val="34"/>
      </w:numPr>
      <w:spacing w:after="140" w:line="290" w:lineRule="auto"/>
      <w:jc w:val="both"/>
    </w:pPr>
    <w:rPr>
      <w:rFonts w:ascii="Arial" w:hAnsi="Arial"/>
      <w:kern w:val="20"/>
    </w:rPr>
  </w:style>
  <w:style w:type="paragraph" w:customStyle="1" w:styleId="Level6">
    <w:name w:val="Level 6"/>
    <w:basedOn w:val="Normal"/>
    <w:rsid w:val="001570E0"/>
    <w:pPr>
      <w:numPr>
        <w:ilvl w:val="5"/>
        <w:numId w:val="34"/>
      </w:numPr>
      <w:spacing w:after="140" w:line="290" w:lineRule="auto"/>
      <w:jc w:val="both"/>
    </w:pPr>
    <w:rPr>
      <w:rFonts w:ascii="Arial" w:hAnsi="Arial"/>
      <w:kern w:val="20"/>
    </w:rPr>
  </w:style>
  <w:style w:type="paragraph" w:customStyle="1" w:styleId="Parties">
    <w:name w:val="Parties"/>
    <w:basedOn w:val="Normal"/>
    <w:rsid w:val="001570E0"/>
    <w:pPr>
      <w:numPr>
        <w:numId w:val="35"/>
      </w:numPr>
      <w:spacing w:after="140" w:line="290" w:lineRule="auto"/>
      <w:jc w:val="both"/>
    </w:pPr>
    <w:rPr>
      <w:rFonts w:ascii="Arial" w:hAnsi="Arial"/>
      <w:kern w:val="20"/>
    </w:rPr>
  </w:style>
  <w:style w:type="paragraph" w:customStyle="1" w:styleId="Level7">
    <w:name w:val="Level 7"/>
    <w:basedOn w:val="Normal"/>
    <w:rsid w:val="001570E0"/>
    <w:pPr>
      <w:numPr>
        <w:ilvl w:val="6"/>
        <w:numId w:val="34"/>
      </w:numPr>
      <w:spacing w:after="140" w:line="290" w:lineRule="auto"/>
      <w:jc w:val="both"/>
      <w:outlineLvl w:val="6"/>
    </w:pPr>
    <w:rPr>
      <w:rFonts w:ascii="Arial" w:hAnsi="Arial"/>
      <w:kern w:val="20"/>
    </w:rPr>
  </w:style>
  <w:style w:type="paragraph" w:customStyle="1" w:styleId="Level8">
    <w:name w:val="Level 8"/>
    <w:basedOn w:val="Normal"/>
    <w:rsid w:val="001570E0"/>
    <w:pPr>
      <w:numPr>
        <w:ilvl w:val="7"/>
        <w:numId w:val="34"/>
      </w:numPr>
      <w:spacing w:after="140" w:line="290" w:lineRule="auto"/>
      <w:jc w:val="both"/>
      <w:outlineLvl w:val="7"/>
    </w:pPr>
    <w:rPr>
      <w:rFonts w:ascii="Arial" w:hAnsi="Arial"/>
      <w:kern w:val="20"/>
    </w:rPr>
  </w:style>
  <w:style w:type="paragraph" w:customStyle="1" w:styleId="Level9">
    <w:name w:val="Level 9"/>
    <w:basedOn w:val="Normal"/>
    <w:rsid w:val="001570E0"/>
    <w:pPr>
      <w:numPr>
        <w:ilvl w:val="8"/>
        <w:numId w:val="34"/>
      </w:numPr>
      <w:spacing w:after="140" w:line="290" w:lineRule="auto"/>
      <w:jc w:val="both"/>
      <w:outlineLvl w:val="8"/>
    </w:pPr>
    <w:rPr>
      <w:rFonts w:ascii="Arial" w:hAnsi="Arial"/>
      <w:kern w:val="20"/>
    </w:rPr>
  </w:style>
  <w:style w:type="paragraph" w:customStyle="1" w:styleId="Table1">
    <w:name w:val="Table 1"/>
    <w:basedOn w:val="Normal"/>
    <w:rsid w:val="001570E0"/>
    <w:pPr>
      <w:numPr>
        <w:numId w:val="36"/>
      </w:numPr>
      <w:spacing w:before="60" w:after="60" w:line="290" w:lineRule="auto"/>
      <w:outlineLvl w:val="0"/>
    </w:pPr>
    <w:rPr>
      <w:rFonts w:ascii="Arial" w:hAnsi="Arial"/>
      <w:kern w:val="20"/>
    </w:rPr>
  </w:style>
  <w:style w:type="paragraph" w:customStyle="1" w:styleId="Table2">
    <w:name w:val="Table 2"/>
    <w:basedOn w:val="Normal"/>
    <w:rsid w:val="001570E0"/>
    <w:pPr>
      <w:numPr>
        <w:ilvl w:val="1"/>
        <w:numId w:val="36"/>
      </w:numPr>
      <w:spacing w:before="60" w:after="60" w:line="290" w:lineRule="auto"/>
      <w:outlineLvl w:val="1"/>
    </w:pPr>
    <w:rPr>
      <w:rFonts w:ascii="Arial" w:hAnsi="Arial"/>
      <w:kern w:val="20"/>
    </w:rPr>
  </w:style>
  <w:style w:type="paragraph" w:customStyle="1" w:styleId="Table3">
    <w:name w:val="Table 3"/>
    <w:basedOn w:val="Normal"/>
    <w:rsid w:val="001570E0"/>
    <w:pPr>
      <w:numPr>
        <w:ilvl w:val="2"/>
        <w:numId w:val="36"/>
      </w:numPr>
      <w:spacing w:before="60" w:after="60" w:line="290" w:lineRule="auto"/>
      <w:outlineLvl w:val="2"/>
    </w:pPr>
    <w:rPr>
      <w:rFonts w:ascii="Arial" w:hAnsi="Arial"/>
      <w:kern w:val="20"/>
    </w:rPr>
  </w:style>
  <w:style w:type="paragraph" w:customStyle="1" w:styleId="Table4">
    <w:name w:val="Table 4"/>
    <w:basedOn w:val="Normal"/>
    <w:rsid w:val="001570E0"/>
    <w:pPr>
      <w:numPr>
        <w:ilvl w:val="3"/>
        <w:numId w:val="36"/>
      </w:numPr>
      <w:spacing w:before="60" w:after="60" w:line="290" w:lineRule="auto"/>
      <w:outlineLvl w:val="3"/>
    </w:pPr>
    <w:rPr>
      <w:rFonts w:ascii="Arial" w:hAnsi="Arial"/>
      <w:kern w:val="20"/>
    </w:rPr>
  </w:style>
  <w:style w:type="paragraph" w:customStyle="1" w:styleId="Table5">
    <w:name w:val="Table 5"/>
    <w:basedOn w:val="Normal"/>
    <w:rsid w:val="001570E0"/>
    <w:pPr>
      <w:numPr>
        <w:ilvl w:val="4"/>
        <w:numId w:val="36"/>
      </w:numPr>
      <w:spacing w:before="60" w:after="60" w:line="290" w:lineRule="auto"/>
      <w:outlineLvl w:val="4"/>
    </w:pPr>
    <w:rPr>
      <w:rFonts w:ascii="Arial" w:hAnsi="Arial"/>
      <w:kern w:val="20"/>
    </w:rPr>
  </w:style>
  <w:style w:type="paragraph" w:customStyle="1" w:styleId="Table6">
    <w:name w:val="Table 6"/>
    <w:basedOn w:val="Normal"/>
    <w:rsid w:val="001570E0"/>
    <w:pPr>
      <w:numPr>
        <w:ilvl w:val="5"/>
        <w:numId w:val="36"/>
      </w:numPr>
      <w:spacing w:before="60" w:after="60" w:line="290" w:lineRule="auto"/>
      <w:outlineLvl w:val="5"/>
    </w:pPr>
    <w:rPr>
      <w:rFonts w:ascii="Arial" w:hAnsi="Arial"/>
      <w:kern w:val="20"/>
    </w:rPr>
  </w:style>
</w:styles>
</file>

<file path=word/webSettings.xml><?xml version="1.0" encoding="utf-8"?>
<w:webSettings xmlns:r="http://schemas.openxmlformats.org/officeDocument/2006/relationships" xmlns:w="http://schemas.openxmlformats.org/wordprocessingml/2006/main">
  <w:divs>
    <w:div w:id="18598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ofgem.gov.uk/Pages/MoreInformation.aspx?docid=85&amp;refer=Networks/offtrans/pdc/cdr/cons2009" TargetMode="External"/><Relationship Id="rId26" Type="http://schemas.openxmlformats.org/officeDocument/2006/relationships/hyperlink" Target="http://www.decc.gov.uk/en/content/cms/what_we_do/uk_supply/energy_mix/renewable/policy/offshore/orei/orei.aspx" TargetMode="External"/><Relationship Id="rId3" Type="http://schemas.openxmlformats.org/officeDocument/2006/relationships/customXml" Target="../customXml/item3.xml"/><Relationship Id="rId21" Type="http://schemas.openxmlformats.org/officeDocument/2006/relationships/hyperlink" Target="http://www.ofgem.gov.uk/Networks/offtrans/pdc/cdr/Cons2010/Documents1/Guidance%20Note%20Generic%20OFTO%20licence.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ofgem.gov.uk/Networks/offtrans/pdc/cdr/cons2009/Documents1/Main.pdf" TargetMode="External"/><Relationship Id="rId25" Type="http://schemas.openxmlformats.org/officeDocument/2006/relationships/hyperlink" Target="http://www.decc.gov.uk/en/content/cms/consultations/resp_3rd_pack/resp_3rd_pack.aspx" TargetMode="External"/><Relationship Id="rId2" Type="http://schemas.openxmlformats.org/officeDocument/2006/relationships/customXml" Target="../customXml/item2.xml"/><Relationship Id="rId16" Type="http://schemas.openxmlformats.org/officeDocument/2006/relationships/hyperlink" Target="http://www.ofgem.gov.uk/Pages/MoreInformation.aspx?docid=7&amp;refer=Networks/offtrans/rttt" TargetMode="External"/><Relationship Id="rId20" Type="http://schemas.openxmlformats.org/officeDocument/2006/relationships/hyperlink" Target="http://www.ofgem.gov.uk/Pages/MoreInformation.aspx?docid=52&amp;refer=Networks/offtrans/pdc/cdr/Cons201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fgem.gov.uk/Networks/Policy/Documents1/GUIDANCE%20DOC%20(DECISION%20DOC)%20-%20FINAL.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opsi.gov.uk/si/si2010/uksi_20101903_en_1" TargetMode="External"/><Relationship Id="rId23" Type="http://schemas.openxmlformats.org/officeDocument/2006/relationships/hyperlink" Target="http://www.ofgem.gov.uk/Pages/MoreInformation.aspx?docid=13&amp;refer=Networks/offtrans/rttt"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epr.ofgem.gov.uk/" TargetMode="External"/><Relationship Id="rId31" Type="http://schemas.openxmlformats.org/officeDocument/2006/relationships/fontTable" Target="fontTable.xml"/><Relationship Id="rId30" Type="http://schemas.openxmlformats.org/officeDocument/2006/relationships/header" Target="header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www.ofgem.gov.uk/Pages/MoreInformation.aspx?docid=24&amp;refer=Networks/offtrans/rott" TargetMode="External"/><Relationship Id="rId27" Type="http://schemas.openxmlformats.org/officeDocument/2006/relationships/hyperlink" Target="http://www.ofgem.gov.uk/Networks/offtrans/rttt/Documents1/Pre-Qualification%20Document%20for%20the%20Second%20Transitional%20Tender%20Round.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fgem.gov.uk/Pages/MoreInformation.aspx?docid=24&amp;refer=Networks/offtrans/rott" TargetMode="External"/><Relationship Id="rId13" Type="http://schemas.openxmlformats.org/officeDocument/2006/relationships/hyperlink" Target="http://www.decc.gov.uk/en/content/cms/what_we_do/uk_supply/energy_mix/renewable/policy/offshore/orei/orei.aspx" TargetMode="External"/><Relationship Id="rId3" Type="http://schemas.openxmlformats.org/officeDocument/2006/relationships/hyperlink" Target="http://www.ofgem.gov.uk/Networks/offtrans/pdc/cdr/cons2009/Documents1/Main.pdf" TargetMode="External"/><Relationship Id="rId7" Type="http://schemas.openxmlformats.org/officeDocument/2006/relationships/hyperlink" Target="http://www.ofgem.gov.uk/Networks/offtrans/pdc/cdr/Cons2010/Documents1/Guidance%20Note%20Generic%20OFTO%20licence.pdf" TargetMode="External"/><Relationship Id="rId12" Type="http://schemas.openxmlformats.org/officeDocument/2006/relationships/hyperlink" Target="http://www.decc.gov.uk/en/content/cms/consultations/resp_3rd_pack/resp_3rd_pack.aspx" TargetMode="External"/><Relationship Id="rId2" Type="http://schemas.openxmlformats.org/officeDocument/2006/relationships/hyperlink" Target="http://www.ofgem.gov.uk/Pages/MoreInformation.aspx?docid=7&amp;refer=Networks/offtrans/rttt" TargetMode="External"/><Relationship Id="rId1" Type="http://schemas.openxmlformats.org/officeDocument/2006/relationships/hyperlink" Target="http://www.ofgem.gov.uk/Networks/offtrans/pdc/cdr/cons2009/Documents1/Main.pdf" TargetMode="External"/><Relationship Id="rId6" Type="http://schemas.openxmlformats.org/officeDocument/2006/relationships/hyperlink" Target="http://www.ofgem.gov.uk/Pages/MoreInformation.aspx?docid=52&amp;refer=Networks/offtrans/pdc/cdr/Cons2010" TargetMode="External"/><Relationship Id="rId11" Type="http://schemas.openxmlformats.org/officeDocument/2006/relationships/hyperlink" Target="http://www.ofgem.gov.uk/NETWORKS/OFFTRANS/SF/Pages/sf.aspx" TargetMode="External"/><Relationship Id="rId5" Type="http://schemas.openxmlformats.org/officeDocument/2006/relationships/hyperlink" Target="http://epr.ofgem.gov.uk/" TargetMode="External"/><Relationship Id="rId15" Type="http://schemas.openxmlformats.org/officeDocument/2006/relationships/hyperlink" Target="http://www.dca.gov.uk/foi/codesprac.htm" TargetMode="External"/><Relationship Id="rId10" Type="http://schemas.openxmlformats.org/officeDocument/2006/relationships/hyperlink" Target="http://www.ofgem.gov.uk/Networks/Policy/Documents1/GUIDANCE%20DOC%20(DECISION%20DOC)%20-%20FINAL.pdf" TargetMode="External"/><Relationship Id="rId4" Type="http://schemas.openxmlformats.org/officeDocument/2006/relationships/hyperlink" Target="http://www.ofgem.gov.uk/Pages/MoreInformation.aspx?docid=85&amp;refer=Networks/offtrans/pdc/cdr/cons2009" TargetMode="External"/><Relationship Id="rId9" Type="http://schemas.openxmlformats.org/officeDocument/2006/relationships/hyperlink" Target="http://www.ofgem.gov.uk/Pages/MoreInformation.aspx?docid=13&amp;refer=Networks/offtrans/rttt" TargetMode="External"/><Relationship Id="rId14" Type="http://schemas.openxmlformats.org/officeDocument/2006/relationships/hyperlink" Target="http://www.ofgem.gov.uk/Networks/offtrans/rttt/Documents1/Pre-Qualification%20Document%20for%20the%20Second%20Transitional%20Tender%20Roun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Consultation%20document_template_V.3.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Work_x0020_Area xmlns="2cd398cc-5242-4f22-a36e-b22b9499e21b">Offshore Transmission</Work_x0020_Area>
    <_x003a__x003a_ xmlns="2cd398cc-5242-4f22-a36e-b22b9499e21b">- Main Document</_x003a__x003a_>
    <Ref_x0020_No_x0020_New xmlns="2cd398cc-5242-4f22-a36e-b22b9499e21b" xsi:nil="true"/>
    <_x003a_ xmlns="2cd398cc-5242-4f22-a36e-b22b9499e21b">Offshore Electricity Transmission: Qualification to Tender Document for the Second Transitional Tender Round</_x003a_>
    <Overview xmlns="2cd398cc-5242-4f22-a36e-b22b9499e21b">This Qualification to Tender Document is issued by the Authority pursuant to Regulation 13(2) of the Tender Regulations 2010. This document is for information only; we will only accept submissions from parties that have been invited to respond.</Overview>
    <Publication_x0020_Date_x003a_ xmlns="2cd398cc-5242-4f22-a36e-b22b9499e21b">2011-03-28T00:00:00+00:00</Publication_x0020_Date_x003a_>
    <Closing_x0020_Date xmlns="2cd398cc-5242-4f22-a36e-b22b9499e21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Information" ma:contentTypeID="0x010100028D52C9A5433B438C8A1988457E255700DA084A1BDEDBC3468BC21D386EEDB18B" ma:contentTypeVersion="27" ma:contentTypeDescription="This is for internal and external Ofgem information." ma:contentTypeScope="" ma:versionID="96a9bed1bbaae202dd3e0bde7ba9db4c">
  <xsd:schema xmlns:xsd="http://www.w3.org/2001/XMLSchema" xmlns:p="http://schemas.microsoft.com/office/2006/metadata/properties" xmlns:ns2="eecedeb9-13b3-4e62-b003-046c92e1668a" xmlns:ns3="http://schemas.microsoft.com/sharepoint/v3/fields" xmlns:ns4="efb98dbe-6680-48eb-ac67-85b3a61e7855" targetNamespace="http://schemas.microsoft.com/office/2006/metadata/properties" ma:root="true" ma:fieldsID="1812bf7fa8329c6c4b516354bc6a01d0" ns2:_="" ns3:_="" ns4:_="">
    <xsd:import namespace="eecedeb9-13b3-4e62-b003-046c92e1668a"/>
    <xsd:import namespace="http://schemas.microsoft.com/sharepoint/v3/fields"/>
    <xsd:import namespace="efb98dbe-6680-48eb-ac67-85b3a61e7855"/>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xsd:element ref="ns2:Descriptor" minOccurs="0"/>
                <xsd:element ref="ns2:_dlc_Exempt" minOccurs="0"/>
                <xsd:element ref="ns4:DLCPolicyLabelValue" minOccurs="0"/>
                <xsd:element ref="ns4:DLCPolicyLabelClientValue" minOccurs="0"/>
                <xsd:element ref="ns4:DLCPolicyLabelLock" minOccurs="0"/>
              </xsd:all>
            </xsd:complexType>
          </xsd:element>
        </xsd:sequence>
      </xsd:complexType>
    </xsd:element>
  </xsd:schema>
  <xsd:schema xmlns:xsd="http://www.w3.org/2001/XMLSchema" xmlns:dms="http://schemas.microsoft.com/office/2006/documentManagement/types" targetNamespace="eecedeb9-13b3-4e62-b003-046c92e1668a" elementFormDefault="qualified">
    <xsd:import namespace="http://schemas.microsoft.com/office/2006/documentManagement/type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3"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element name="_dlc_Exempt" ma:index="14" nillable="true" ma:displayName="Exempt from Policy" ma:description="" ma:hidden="true" ma:internalName="_dlc_Exempt" ma:readOnly="tru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dms="http://schemas.microsoft.com/office/2006/documentManagement/types" targetNamespace="efb98dbe-6680-48eb-ac67-85b3a61e7855" elementFormDefault="qualified">
    <xsd:import namespace="http://schemas.microsoft.com/office/2006/documentManagement/types"/>
    <xsd:element name="DLCPolicyLabelValue" ma:index="15" nillable="true" ma:displayName="Label" ma:description="Stores the current value of the label." ma:internalName="DLCPolicyLabelValue" ma:readOnly="true">
      <xsd:simpleType>
        <xsd:restriction base="dms:Note"/>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ct:contentTypeSchema xmlns:ct="http://schemas.microsoft.com/office/2006/metadata/contentType" xmlns:ma="http://schemas.microsoft.com/office/2006/metadata/properties/metaAttributes" ct:_="" ma:_="" ma:contentTypeName="Other" ma:contentTypeID="0x0101001B29A5457858BB40B9775B98A0F7A81700A6E6134AA5256C40AA802191B640C6E4" ma:contentTypeVersion="22" ma:contentTypeDescription="Any item containing internal Ofgem or external information" ma:contentTypeScope="" ma:versionID="1eb3bdea6708bc2f593989d3a4a9641a">
  <xsd:schema xmlns:xsd="http://www.w3.org/2001/XMLSchema" xmlns:p="http://schemas.microsoft.com/office/2006/metadata/properties" xmlns:ns2="2cd398cc-5242-4f22-a36e-b22b9499e21b" targetNamespace="http://schemas.microsoft.com/office/2006/metadata/properties" ma:root="true" ma:fieldsID="8970b3d4a49baebf18458aa3b7b59e7e" ns2:_="">
    <xsd:import namespace="2cd398cc-5242-4f22-a36e-b22b9499e21b"/>
    <xsd:element name="properties">
      <xsd:complexType>
        <xsd:sequence>
          <xsd:element name="documentManagement">
            <xsd:complexType>
              <xsd:all>
                <xsd:element ref="ns2:Publication_x0020_Date_x003a_"/>
                <xsd:element ref="ns2:_x003a_"/>
                <xsd:element ref="ns2:_x003a__x003a_"/>
                <xsd:element ref="ns2:Work_x0020_Area"/>
                <xsd:element ref="ns2:Closing_x0020_Date" minOccurs="0"/>
                <xsd:element ref="ns2:Overview" minOccurs="0"/>
                <xsd:element ref="ns2:Ref_x0020_No_x0020_New" minOccurs="0"/>
              </xsd:all>
            </xsd:complexType>
          </xsd:element>
        </xsd:sequence>
      </xsd:complexType>
    </xsd:element>
  </xsd:schema>
  <xsd:schema xmlns:xsd="http://www.w3.org/2001/XMLSchema" xmlns:dms="http://schemas.microsoft.com/office/2006/documentManagement/types" targetNamespace="2cd398cc-5242-4f22-a36e-b22b9499e21b" elementFormDefault="qualified">
    <xsd:import namespace="http://schemas.microsoft.com/office/2006/documentManagement/types"/>
    <xsd:element name="Publication_x0020_Date_x003a_" ma:index="1" ma:displayName="Publication Date:" ma:default="[today]" ma:description="Publication Date:" ma:format="DateOnly" ma:internalName="Publication_x0020_Date_x003A_">
      <xsd:simpleType>
        <xsd:restriction base="dms:DateTime"/>
      </xsd:simpleType>
    </xsd:element>
    <xsd:element name="_x003a_" ma:index="3" ma:displayName=":" ma:default="" ma:description="To display documents in tables. Also to group them together eg Responses with a Consultation Doc.  The format is YYYY/MM/DD - Title - Ref No &#10;(keep the Title part short and use copy and paste to ensure grouping works - check in Publication view)" ma:internalName="_x003A_">
      <xsd:simpleType>
        <xsd:restriction base="dms:Text">
          <xsd:maxLength value="112"/>
        </xsd:restriction>
      </xsd:simpleType>
    </xsd:element>
    <xsd:element name="_x003a__x003a_" ma:index="4" ma:displayName="::" ma:default="" ma:description="Used to place Subsidiary Documents and Responses in the 'More Information' table, with Subsidiary Documents first" ma:format="Dropdown" ma:internalName="_x003A__x003A_">
      <xsd:simpleType>
        <xsd:restriction base="dms:Choice">
          <xsd:enumeration value="- Main Document"/>
          <xsd:enumeration value="- Subsidiary Document"/>
          <xsd:enumeration value="Response"/>
        </xsd:restriction>
      </xsd:simpleType>
    </xsd:element>
    <xsd:element name="Work_x0020_Area" ma:index="5" ma:displayName="Work Area" ma:description="Choose from the drop-down list" ma:format="Dropdown" ma:internalName="Work_x0020_Area">
      <xsd:simpleType>
        <xsd:restriction base="dms:Choice">
          <xsd:enumeration value="Better Regulation"/>
          <xsd:enumeration value="Careers"/>
          <xsd:enumeration value="Connections"/>
          <xsd:enumeration value="Corporate Planning"/>
          <xsd:enumeration value="Electricity Codes"/>
          <xsd:enumeration value="Electricity Distribution"/>
          <xsd:enumeration value="Enforcement"/>
          <xsd:enumeration value="Environment"/>
          <xsd:enumeration value="Europe"/>
          <xsd:enumeration value="Freedom of Information"/>
          <xsd:enumeration value="Gas Codes"/>
          <xsd:enumeration value="Gas Distribution"/>
          <xsd:enumeration value="Licensing"/>
          <xsd:enumeration value="Ofgem's Role"/>
          <xsd:enumeration value="Offshore Transmission"/>
          <xsd:enumeration value="Project Discovery"/>
          <xsd:enumeration value="Retail Markets"/>
          <xsd:enumeration value="RPI-X@20"/>
          <xsd:enumeration value="Smaller Generators"/>
          <xsd:enumeration value="Social Action"/>
          <xsd:enumeration value="Smarter Markets"/>
          <xsd:enumeration value="Sustainable Development"/>
          <xsd:enumeration value="Technical"/>
          <xsd:enumeration value="Transmission"/>
          <xsd:enumeration value="Vulnerable Consumers"/>
          <xsd:enumeration value="Wholesale Markets"/>
        </xsd:restriction>
      </xsd:simpleType>
    </xsd:element>
    <xsd:element name="Closing_x0020_Date" ma:index="6" nillable="true" ma:displayName="Closing Date" ma:default="" ma:format="DateOnly" ma:internalName="Closing_x0020_Date">
      <xsd:simpleType>
        <xsd:restriction base="dms:DateTime"/>
      </xsd:simpleType>
    </xsd:element>
    <xsd:element name="Overview" ma:index="7" nillable="true" ma:displayName="Overview" ma:default="" ma:description="This is a short overview of the document or item" ma:internalName="Overview" ma:readOnly="false">
      <xsd:simpleType>
        <xsd:restriction base="dms:Note"/>
      </xsd:simpleType>
    </xsd:element>
    <xsd:element name="Ref_x0020_No_x0020_New" ma:index="15" nillable="true" ma:displayName="Ref No" ma:description="This Reference number is allocated by Communications for significant Ofgem publications" ma:internalName="Ref_x0020_No_x0020_New">
      <xsd:simpleType>
        <xsd:restriction base="dms:Text">
          <xsd:maxLength value="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2"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E7E8711-CEE0-4096-B2DD-FC125743EECF}"/>
</file>

<file path=customXml/itemProps2.xml><?xml version="1.0" encoding="utf-8"?>
<ds:datastoreItem xmlns:ds="http://schemas.openxmlformats.org/officeDocument/2006/customXml" ds:itemID="{53CFFBDD-2B57-4F56-AE4C-4F4AC87AD1F3}"/>
</file>

<file path=customXml/itemProps3.xml><?xml version="1.0" encoding="utf-8"?>
<ds:datastoreItem xmlns:ds="http://schemas.openxmlformats.org/officeDocument/2006/customXml" ds:itemID="{84739E02-9AE6-4096-8759-A5C5F7D94EDA}"/>
</file>

<file path=customXml/itemProps4.xml><?xml version="1.0" encoding="utf-8"?>
<ds:datastoreItem xmlns:ds="http://schemas.openxmlformats.org/officeDocument/2006/customXml" ds:itemID="{247CE9F0-0187-459D-8354-02B6C6041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edeb9-13b3-4e62-b003-046c92e1668a"/>
    <ds:schemaRef ds:uri="http://schemas.microsoft.com/sharepoint/v3/fields"/>
    <ds:schemaRef ds:uri="efb98dbe-6680-48eb-ac67-85b3a61e78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BC1DF9B-01F7-4BEA-B604-ECFCD84C2417}"/>
</file>

<file path=docProps/app.xml><?xml version="1.0" encoding="utf-8"?>
<Properties xmlns="http://schemas.openxmlformats.org/officeDocument/2006/extended-properties" xmlns:vt="http://schemas.openxmlformats.org/officeDocument/2006/docPropsVTypes">
  <Template>Consultation document_template_V.3.0.dotm</Template>
  <TotalTime>0</TotalTime>
  <Pages>56</Pages>
  <Words>13406</Words>
  <Characters>79538</Characters>
  <Application>Microsoft Office Word</Application>
  <DocSecurity>0</DocSecurity>
  <Lines>1893</Lines>
  <Paragraphs>774</Paragraphs>
  <ScaleCrop>false</ScaleCrop>
  <HeadingPairs>
    <vt:vector size="2" baseType="variant">
      <vt:variant>
        <vt:lpstr>Title</vt:lpstr>
      </vt:variant>
      <vt:variant>
        <vt:i4>1</vt:i4>
      </vt:variant>
    </vt:vector>
  </HeadingPairs>
  <TitlesOfParts>
    <vt:vector size="1" baseType="lpstr">
      <vt:lpstr>Document type: Qualification to Tender Document_x000d__x000d_</vt:lpstr>
    </vt:vector>
  </TitlesOfParts>
  <Company>Denton Wilde Sapte</Company>
  <LinksUpToDate>false</LinksUpToDate>
  <CharactersWithSpaces>92170</CharactersWithSpaces>
  <SharedDoc>false</SharedDoc>
  <HLinks>
    <vt:vector size="282" baseType="variant">
      <vt:variant>
        <vt:i4>327767</vt:i4>
      </vt:variant>
      <vt:variant>
        <vt:i4>279</vt:i4>
      </vt:variant>
      <vt:variant>
        <vt:i4>0</vt:i4>
      </vt:variant>
      <vt:variant>
        <vt:i4>5</vt:i4>
      </vt:variant>
      <vt:variant>
        <vt:lpwstr>http://www.ofgem.gov.uk/</vt:lpwstr>
      </vt:variant>
      <vt:variant>
        <vt:lpwstr/>
      </vt:variant>
      <vt:variant>
        <vt:i4>1048629</vt:i4>
      </vt:variant>
      <vt:variant>
        <vt:i4>272</vt:i4>
      </vt:variant>
      <vt:variant>
        <vt:i4>0</vt:i4>
      </vt:variant>
      <vt:variant>
        <vt:i4>5</vt:i4>
      </vt:variant>
      <vt:variant>
        <vt:lpwstr/>
      </vt:variant>
      <vt:variant>
        <vt:lpwstr>_Toc276726318</vt:lpwstr>
      </vt:variant>
      <vt:variant>
        <vt:i4>1048629</vt:i4>
      </vt:variant>
      <vt:variant>
        <vt:i4>266</vt:i4>
      </vt:variant>
      <vt:variant>
        <vt:i4>0</vt:i4>
      </vt:variant>
      <vt:variant>
        <vt:i4>5</vt:i4>
      </vt:variant>
      <vt:variant>
        <vt:lpwstr/>
      </vt:variant>
      <vt:variant>
        <vt:lpwstr>_Toc276726317</vt:lpwstr>
      </vt:variant>
      <vt:variant>
        <vt:i4>1048629</vt:i4>
      </vt:variant>
      <vt:variant>
        <vt:i4>260</vt:i4>
      </vt:variant>
      <vt:variant>
        <vt:i4>0</vt:i4>
      </vt:variant>
      <vt:variant>
        <vt:i4>5</vt:i4>
      </vt:variant>
      <vt:variant>
        <vt:lpwstr/>
      </vt:variant>
      <vt:variant>
        <vt:lpwstr>_Toc276726316</vt:lpwstr>
      </vt:variant>
      <vt:variant>
        <vt:i4>1048629</vt:i4>
      </vt:variant>
      <vt:variant>
        <vt:i4>254</vt:i4>
      </vt:variant>
      <vt:variant>
        <vt:i4>0</vt:i4>
      </vt:variant>
      <vt:variant>
        <vt:i4>5</vt:i4>
      </vt:variant>
      <vt:variant>
        <vt:lpwstr/>
      </vt:variant>
      <vt:variant>
        <vt:lpwstr>_Toc276726315</vt:lpwstr>
      </vt:variant>
      <vt:variant>
        <vt:i4>1048629</vt:i4>
      </vt:variant>
      <vt:variant>
        <vt:i4>248</vt:i4>
      </vt:variant>
      <vt:variant>
        <vt:i4>0</vt:i4>
      </vt:variant>
      <vt:variant>
        <vt:i4>5</vt:i4>
      </vt:variant>
      <vt:variant>
        <vt:lpwstr/>
      </vt:variant>
      <vt:variant>
        <vt:lpwstr>_Toc276726314</vt:lpwstr>
      </vt:variant>
      <vt:variant>
        <vt:i4>1048629</vt:i4>
      </vt:variant>
      <vt:variant>
        <vt:i4>242</vt:i4>
      </vt:variant>
      <vt:variant>
        <vt:i4>0</vt:i4>
      </vt:variant>
      <vt:variant>
        <vt:i4>5</vt:i4>
      </vt:variant>
      <vt:variant>
        <vt:lpwstr/>
      </vt:variant>
      <vt:variant>
        <vt:lpwstr>_Toc276726313</vt:lpwstr>
      </vt:variant>
      <vt:variant>
        <vt:i4>1048629</vt:i4>
      </vt:variant>
      <vt:variant>
        <vt:i4>236</vt:i4>
      </vt:variant>
      <vt:variant>
        <vt:i4>0</vt:i4>
      </vt:variant>
      <vt:variant>
        <vt:i4>5</vt:i4>
      </vt:variant>
      <vt:variant>
        <vt:lpwstr/>
      </vt:variant>
      <vt:variant>
        <vt:lpwstr>_Toc276726312</vt:lpwstr>
      </vt:variant>
      <vt:variant>
        <vt:i4>1048629</vt:i4>
      </vt:variant>
      <vt:variant>
        <vt:i4>230</vt:i4>
      </vt:variant>
      <vt:variant>
        <vt:i4>0</vt:i4>
      </vt:variant>
      <vt:variant>
        <vt:i4>5</vt:i4>
      </vt:variant>
      <vt:variant>
        <vt:lpwstr/>
      </vt:variant>
      <vt:variant>
        <vt:lpwstr>_Toc276726311</vt:lpwstr>
      </vt:variant>
      <vt:variant>
        <vt:i4>1048629</vt:i4>
      </vt:variant>
      <vt:variant>
        <vt:i4>224</vt:i4>
      </vt:variant>
      <vt:variant>
        <vt:i4>0</vt:i4>
      </vt:variant>
      <vt:variant>
        <vt:i4>5</vt:i4>
      </vt:variant>
      <vt:variant>
        <vt:lpwstr/>
      </vt:variant>
      <vt:variant>
        <vt:lpwstr>_Toc276726310</vt:lpwstr>
      </vt:variant>
      <vt:variant>
        <vt:i4>1114165</vt:i4>
      </vt:variant>
      <vt:variant>
        <vt:i4>218</vt:i4>
      </vt:variant>
      <vt:variant>
        <vt:i4>0</vt:i4>
      </vt:variant>
      <vt:variant>
        <vt:i4>5</vt:i4>
      </vt:variant>
      <vt:variant>
        <vt:lpwstr/>
      </vt:variant>
      <vt:variant>
        <vt:lpwstr>_Toc276726309</vt:lpwstr>
      </vt:variant>
      <vt:variant>
        <vt:i4>1114165</vt:i4>
      </vt:variant>
      <vt:variant>
        <vt:i4>212</vt:i4>
      </vt:variant>
      <vt:variant>
        <vt:i4>0</vt:i4>
      </vt:variant>
      <vt:variant>
        <vt:i4>5</vt:i4>
      </vt:variant>
      <vt:variant>
        <vt:lpwstr/>
      </vt:variant>
      <vt:variant>
        <vt:lpwstr>_Toc276726308</vt:lpwstr>
      </vt:variant>
      <vt:variant>
        <vt:i4>1114165</vt:i4>
      </vt:variant>
      <vt:variant>
        <vt:i4>206</vt:i4>
      </vt:variant>
      <vt:variant>
        <vt:i4>0</vt:i4>
      </vt:variant>
      <vt:variant>
        <vt:i4>5</vt:i4>
      </vt:variant>
      <vt:variant>
        <vt:lpwstr/>
      </vt:variant>
      <vt:variant>
        <vt:lpwstr>_Toc276726307</vt:lpwstr>
      </vt:variant>
      <vt:variant>
        <vt:i4>1114165</vt:i4>
      </vt:variant>
      <vt:variant>
        <vt:i4>200</vt:i4>
      </vt:variant>
      <vt:variant>
        <vt:i4>0</vt:i4>
      </vt:variant>
      <vt:variant>
        <vt:i4>5</vt:i4>
      </vt:variant>
      <vt:variant>
        <vt:lpwstr/>
      </vt:variant>
      <vt:variant>
        <vt:lpwstr>_Toc276726306</vt:lpwstr>
      </vt:variant>
      <vt:variant>
        <vt:i4>1114165</vt:i4>
      </vt:variant>
      <vt:variant>
        <vt:i4>194</vt:i4>
      </vt:variant>
      <vt:variant>
        <vt:i4>0</vt:i4>
      </vt:variant>
      <vt:variant>
        <vt:i4>5</vt:i4>
      </vt:variant>
      <vt:variant>
        <vt:lpwstr/>
      </vt:variant>
      <vt:variant>
        <vt:lpwstr>_Toc276726305</vt:lpwstr>
      </vt:variant>
      <vt:variant>
        <vt:i4>1114165</vt:i4>
      </vt:variant>
      <vt:variant>
        <vt:i4>188</vt:i4>
      </vt:variant>
      <vt:variant>
        <vt:i4>0</vt:i4>
      </vt:variant>
      <vt:variant>
        <vt:i4>5</vt:i4>
      </vt:variant>
      <vt:variant>
        <vt:lpwstr/>
      </vt:variant>
      <vt:variant>
        <vt:lpwstr>_Toc276726304</vt:lpwstr>
      </vt:variant>
      <vt:variant>
        <vt:i4>1114165</vt:i4>
      </vt:variant>
      <vt:variant>
        <vt:i4>182</vt:i4>
      </vt:variant>
      <vt:variant>
        <vt:i4>0</vt:i4>
      </vt:variant>
      <vt:variant>
        <vt:i4>5</vt:i4>
      </vt:variant>
      <vt:variant>
        <vt:lpwstr/>
      </vt:variant>
      <vt:variant>
        <vt:lpwstr>_Toc276726303</vt:lpwstr>
      </vt:variant>
      <vt:variant>
        <vt:i4>1114165</vt:i4>
      </vt:variant>
      <vt:variant>
        <vt:i4>176</vt:i4>
      </vt:variant>
      <vt:variant>
        <vt:i4>0</vt:i4>
      </vt:variant>
      <vt:variant>
        <vt:i4>5</vt:i4>
      </vt:variant>
      <vt:variant>
        <vt:lpwstr/>
      </vt:variant>
      <vt:variant>
        <vt:lpwstr>_Toc276726302</vt:lpwstr>
      </vt:variant>
      <vt:variant>
        <vt:i4>1114165</vt:i4>
      </vt:variant>
      <vt:variant>
        <vt:i4>170</vt:i4>
      </vt:variant>
      <vt:variant>
        <vt:i4>0</vt:i4>
      </vt:variant>
      <vt:variant>
        <vt:i4>5</vt:i4>
      </vt:variant>
      <vt:variant>
        <vt:lpwstr/>
      </vt:variant>
      <vt:variant>
        <vt:lpwstr>_Toc276726301</vt:lpwstr>
      </vt:variant>
      <vt:variant>
        <vt:i4>1114165</vt:i4>
      </vt:variant>
      <vt:variant>
        <vt:i4>164</vt:i4>
      </vt:variant>
      <vt:variant>
        <vt:i4>0</vt:i4>
      </vt:variant>
      <vt:variant>
        <vt:i4>5</vt:i4>
      </vt:variant>
      <vt:variant>
        <vt:lpwstr/>
      </vt:variant>
      <vt:variant>
        <vt:lpwstr>_Toc276726300</vt:lpwstr>
      </vt:variant>
      <vt:variant>
        <vt:i4>1572916</vt:i4>
      </vt:variant>
      <vt:variant>
        <vt:i4>158</vt:i4>
      </vt:variant>
      <vt:variant>
        <vt:i4>0</vt:i4>
      </vt:variant>
      <vt:variant>
        <vt:i4>5</vt:i4>
      </vt:variant>
      <vt:variant>
        <vt:lpwstr/>
      </vt:variant>
      <vt:variant>
        <vt:lpwstr>_Toc276726299</vt:lpwstr>
      </vt:variant>
      <vt:variant>
        <vt:i4>1572916</vt:i4>
      </vt:variant>
      <vt:variant>
        <vt:i4>152</vt:i4>
      </vt:variant>
      <vt:variant>
        <vt:i4>0</vt:i4>
      </vt:variant>
      <vt:variant>
        <vt:i4>5</vt:i4>
      </vt:variant>
      <vt:variant>
        <vt:lpwstr/>
      </vt:variant>
      <vt:variant>
        <vt:lpwstr>_Toc276726298</vt:lpwstr>
      </vt:variant>
      <vt:variant>
        <vt:i4>1572916</vt:i4>
      </vt:variant>
      <vt:variant>
        <vt:i4>146</vt:i4>
      </vt:variant>
      <vt:variant>
        <vt:i4>0</vt:i4>
      </vt:variant>
      <vt:variant>
        <vt:i4>5</vt:i4>
      </vt:variant>
      <vt:variant>
        <vt:lpwstr/>
      </vt:variant>
      <vt:variant>
        <vt:lpwstr>_Toc276726297</vt:lpwstr>
      </vt:variant>
      <vt:variant>
        <vt:i4>1572916</vt:i4>
      </vt:variant>
      <vt:variant>
        <vt:i4>140</vt:i4>
      </vt:variant>
      <vt:variant>
        <vt:i4>0</vt:i4>
      </vt:variant>
      <vt:variant>
        <vt:i4>5</vt:i4>
      </vt:variant>
      <vt:variant>
        <vt:lpwstr/>
      </vt:variant>
      <vt:variant>
        <vt:lpwstr>_Toc276726296</vt:lpwstr>
      </vt:variant>
      <vt:variant>
        <vt:i4>1572916</vt:i4>
      </vt:variant>
      <vt:variant>
        <vt:i4>134</vt:i4>
      </vt:variant>
      <vt:variant>
        <vt:i4>0</vt:i4>
      </vt:variant>
      <vt:variant>
        <vt:i4>5</vt:i4>
      </vt:variant>
      <vt:variant>
        <vt:lpwstr/>
      </vt:variant>
      <vt:variant>
        <vt:lpwstr>_Toc276726295</vt:lpwstr>
      </vt:variant>
      <vt:variant>
        <vt:i4>1572916</vt:i4>
      </vt:variant>
      <vt:variant>
        <vt:i4>128</vt:i4>
      </vt:variant>
      <vt:variant>
        <vt:i4>0</vt:i4>
      </vt:variant>
      <vt:variant>
        <vt:i4>5</vt:i4>
      </vt:variant>
      <vt:variant>
        <vt:lpwstr/>
      </vt:variant>
      <vt:variant>
        <vt:lpwstr>_Toc276726294</vt:lpwstr>
      </vt:variant>
      <vt:variant>
        <vt:i4>1572916</vt:i4>
      </vt:variant>
      <vt:variant>
        <vt:i4>122</vt:i4>
      </vt:variant>
      <vt:variant>
        <vt:i4>0</vt:i4>
      </vt:variant>
      <vt:variant>
        <vt:i4>5</vt:i4>
      </vt:variant>
      <vt:variant>
        <vt:lpwstr/>
      </vt:variant>
      <vt:variant>
        <vt:lpwstr>_Toc276726293</vt:lpwstr>
      </vt:variant>
      <vt:variant>
        <vt:i4>1572916</vt:i4>
      </vt:variant>
      <vt:variant>
        <vt:i4>116</vt:i4>
      </vt:variant>
      <vt:variant>
        <vt:i4>0</vt:i4>
      </vt:variant>
      <vt:variant>
        <vt:i4>5</vt:i4>
      </vt:variant>
      <vt:variant>
        <vt:lpwstr/>
      </vt:variant>
      <vt:variant>
        <vt:lpwstr>_Toc276726292</vt:lpwstr>
      </vt:variant>
      <vt:variant>
        <vt:i4>1572916</vt:i4>
      </vt:variant>
      <vt:variant>
        <vt:i4>110</vt:i4>
      </vt:variant>
      <vt:variant>
        <vt:i4>0</vt:i4>
      </vt:variant>
      <vt:variant>
        <vt:i4>5</vt:i4>
      </vt:variant>
      <vt:variant>
        <vt:lpwstr/>
      </vt:variant>
      <vt:variant>
        <vt:lpwstr>_Toc276726291</vt:lpwstr>
      </vt:variant>
      <vt:variant>
        <vt:i4>1572916</vt:i4>
      </vt:variant>
      <vt:variant>
        <vt:i4>104</vt:i4>
      </vt:variant>
      <vt:variant>
        <vt:i4>0</vt:i4>
      </vt:variant>
      <vt:variant>
        <vt:i4>5</vt:i4>
      </vt:variant>
      <vt:variant>
        <vt:lpwstr/>
      </vt:variant>
      <vt:variant>
        <vt:lpwstr>_Toc276726290</vt:lpwstr>
      </vt:variant>
      <vt:variant>
        <vt:i4>1638452</vt:i4>
      </vt:variant>
      <vt:variant>
        <vt:i4>98</vt:i4>
      </vt:variant>
      <vt:variant>
        <vt:i4>0</vt:i4>
      </vt:variant>
      <vt:variant>
        <vt:i4>5</vt:i4>
      </vt:variant>
      <vt:variant>
        <vt:lpwstr/>
      </vt:variant>
      <vt:variant>
        <vt:lpwstr>_Toc276726289</vt:lpwstr>
      </vt:variant>
      <vt:variant>
        <vt:i4>1638452</vt:i4>
      </vt:variant>
      <vt:variant>
        <vt:i4>92</vt:i4>
      </vt:variant>
      <vt:variant>
        <vt:i4>0</vt:i4>
      </vt:variant>
      <vt:variant>
        <vt:i4>5</vt:i4>
      </vt:variant>
      <vt:variant>
        <vt:lpwstr/>
      </vt:variant>
      <vt:variant>
        <vt:lpwstr>_Toc276726288</vt:lpwstr>
      </vt:variant>
      <vt:variant>
        <vt:i4>1638452</vt:i4>
      </vt:variant>
      <vt:variant>
        <vt:i4>86</vt:i4>
      </vt:variant>
      <vt:variant>
        <vt:i4>0</vt:i4>
      </vt:variant>
      <vt:variant>
        <vt:i4>5</vt:i4>
      </vt:variant>
      <vt:variant>
        <vt:lpwstr/>
      </vt:variant>
      <vt:variant>
        <vt:lpwstr>_Toc276726287</vt:lpwstr>
      </vt:variant>
      <vt:variant>
        <vt:i4>1638452</vt:i4>
      </vt:variant>
      <vt:variant>
        <vt:i4>80</vt:i4>
      </vt:variant>
      <vt:variant>
        <vt:i4>0</vt:i4>
      </vt:variant>
      <vt:variant>
        <vt:i4>5</vt:i4>
      </vt:variant>
      <vt:variant>
        <vt:lpwstr/>
      </vt:variant>
      <vt:variant>
        <vt:lpwstr>_Toc276726286</vt:lpwstr>
      </vt:variant>
      <vt:variant>
        <vt:i4>1638452</vt:i4>
      </vt:variant>
      <vt:variant>
        <vt:i4>74</vt:i4>
      </vt:variant>
      <vt:variant>
        <vt:i4>0</vt:i4>
      </vt:variant>
      <vt:variant>
        <vt:i4>5</vt:i4>
      </vt:variant>
      <vt:variant>
        <vt:lpwstr/>
      </vt:variant>
      <vt:variant>
        <vt:lpwstr>_Toc276726285</vt:lpwstr>
      </vt:variant>
      <vt:variant>
        <vt:i4>1638452</vt:i4>
      </vt:variant>
      <vt:variant>
        <vt:i4>68</vt:i4>
      </vt:variant>
      <vt:variant>
        <vt:i4>0</vt:i4>
      </vt:variant>
      <vt:variant>
        <vt:i4>5</vt:i4>
      </vt:variant>
      <vt:variant>
        <vt:lpwstr/>
      </vt:variant>
      <vt:variant>
        <vt:lpwstr>_Toc276726284</vt:lpwstr>
      </vt:variant>
      <vt:variant>
        <vt:i4>1638452</vt:i4>
      </vt:variant>
      <vt:variant>
        <vt:i4>62</vt:i4>
      </vt:variant>
      <vt:variant>
        <vt:i4>0</vt:i4>
      </vt:variant>
      <vt:variant>
        <vt:i4>5</vt:i4>
      </vt:variant>
      <vt:variant>
        <vt:lpwstr/>
      </vt:variant>
      <vt:variant>
        <vt:lpwstr>_Toc276726283</vt:lpwstr>
      </vt:variant>
      <vt:variant>
        <vt:i4>1638452</vt:i4>
      </vt:variant>
      <vt:variant>
        <vt:i4>56</vt:i4>
      </vt:variant>
      <vt:variant>
        <vt:i4>0</vt:i4>
      </vt:variant>
      <vt:variant>
        <vt:i4>5</vt:i4>
      </vt:variant>
      <vt:variant>
        <vt:lpwstr/>
      </vt:variant>
      <vt:variant>
        <vt:lpwstr>_Toc276726282</vt:lpwstr>
      </vt:variant>
      <vt:variant>
        <vt:i4>1638452</vt:i4>
      </vt:variant>
      <vt:variant>
        <vt:i4>50</vt:i4>
      </vt:variant>
      <vt:variant>
        <vt:i4>0</vt:i4>
      </vt:variant>
      <vt:variant>
        <vt:i4>5</vt:i4>
      </vt:variant>
      <vt:variant>
        <vt:lpwstr/>
      </vt:variant>
      <vt:variant>
        <vt:lpwstr>_Toc276726281</vt:lpwstr>
      </vt:variant>
      <vt:variant>
        <vt:i4>1638452</vt:i4>
      </vt:variant>
      <vt:variant>
        <vt:i4>44</vt:i4>
      </vt:variant>
      <vt:variant>
        <vt:i4>0</vt:i4>
      </vt:variant>
      <vt:variant>
        <vt:i4>5</vt:i4>
      </vt:variant>
      <vt:variant>
        <vt:lpwstr/>
      </vt:variant>
      <vt:variant>
        <vt:lpwstr>_Toc276726280</vt:lpwstr>
      </vt:variant>
      <vt:variant>
        <vt:i4>1441844</vt:i4>
      </vt:variant>
      <vt:variant>
        <vt:i4>38</vt:i4>
      </vt:variant>
      <vt:variant>
        <vt:i4>0</vt:i4>
      </vt:variant>
      <vt:variant>
        <vt:i4>5</vt:i4>
      </vt:variant>
      <vt:variant>
        <vt:lpwstr/>
      </vt:variant>
      <vt:variant>
        <vt:lpwstr>_Toc276726279</vt:lpwstr>
      </vt:variant>
      <vt:variant>
        <vt:i4>1441844</vt:i4>
      </vt:variant>
      <vt:variant>
        <vt:i4>32</vt:i4>
      </vt:variant>
      <vt:variant>
        <vt:i4>0</vt:i4>
      </vt:variant>
      <vt:variant>
        <vt:i4>5</vt:i4>
      </vt:variant>
      <vt:variant>
        <vt:lpwstr/>
      </vt:variant>
      <vt:variant>
        <vt:lpwstr>_Toc276726278</vt:lpwstr>
      </vt:variant>
      <vt:variant>
        <vt:i4>1441844</vt:i4>
      </vt:variant>
      <vt:variant>
        <vt:i4>26</vt:i4>
      </vt:variant>
      <vt:variant>
        <vt:i4>0</vt:i4>
      </vt:variant>
      <vt:variant>
        <vt:i4>5</vt:i4>
      </vt:variant>
      <vt:variant>
        <vt:lpwstr/>
      </vt:variant>
      <vt:variant>
        <vt:lpwstr>_Toc276726277</vt:lpwstr>
      </vt:variant>
      <vt:variant>
        <vt:i4>1441844</vt:i4>
      </vt:variant>
      <vt:variant>
        <vt:i4>20</vt:i4>
      </vt:variant>
      <vt:variant>
        <vt:i4>0</vt:i4>
      </vt:variant>
      <vt:variant>
        <vt:i4>5</vt:i4>
      </vt:variant>
      <vt:variant>
        <vt:lpwstr/>
      </vt:variant>
      <vt:variant>
        <vt:lpwstr>_Toc276726276</vt:lpwstr>
      </vt:variant>
      <vt:variant>
        <vt:i4>1441844</vt:i4>
      </vt:variant>
      <vt:variant>
        <vt:i4>14</vt:i4>
      </vt:variant>
      <vt:variant>
        <vt:i4>0</vt:i4>
      </vt:variant>
      <vt:variant>
        <vt:i4>5</vt:i4>
      </vt:variant>
      <vt:variant>
        <vt:lpwstr/>
      </vt:variant>
      <vt:variant>
        <vt:lpwstr>_Toc276726275</vt:lpwstr>
      </vt:variant>
      <vt:variant>
        <vt:i4>1441844</vt:i4>
      </vt:variant>
      <vt:variant>
        <vt:i4>8</vt:i4>
      </vt:variant>
      <vt:variant>
        <vt:i4>0</vt:i4>
      </vt:variant>
      <vt:variant>
        <vt:i4>5</vt:i4>
      </vt:variant>
      <vt:variant>
        <vt:lpwstr/>
      </vt:variant>
      <vt:variant>
        <vt:lpwstr>_Toc276726274</vt:lpwstr>
      </vt:variant>
      <vt:variant>
        <vt:i4>1441844</vt:i4>
      </vt:variant>
      <vt:variant>
        <vt:i4>2</vt:i4>
      </vt:variant>
      <vt:variant>
        <vt:i4>0</vt:i4>
      </vt:variant>
      <vt:variant>
        <vt:i4>5</vt:i4>
      </vt:variant>
      <vt:variant>
        <vt:lpwstr/>
      </vt:variant>
      <vt:variant>
        <vt:lpwstr>_Toc276726273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Electricity Transmission: Qualification to Tender Document for the Second Transitional Tender Round</dc:title>
  <dc:subject>The regulatory regime for offshore electricity transmission enables the Authority to grant Offshore Transmission Licences on the basis of a competitive Tender Exercise. Ofgem E-Serve is responsible for managing this process. _x000d__x000d_A Tender Exercise is run over a number of stages, the second of which is the QTT Stage, where Qualifying Bidders are invited to set out their proposals for financing, operating and managing offshore Transmission Assets (referred to as Qualifying Projects). These proposals are evaluated by Ofgem against a set of published criteria. This Qualification to Tender Document sets out the requirements Qualifying Bidders need to demonstrate in this regard. The outcome of Ofgem’s evaluation is the identification of a shortlist of Qualifying Bidders in respect of each Qualifying Project to be invited to participate in the ITT Stage. _x000d__x000d_</dc:subject>
  <dc:creator>Ofgem</dc:creator>
  <cp:keywords>OFTO</cp:keywords>
  <dc:description/>
  <cp:lastModifiedBy>Ofgem</cp:lastModifiedBy>
  <cp:revision>2</cp:revision>
  <cp:lastPrinted>2011-01-25T14:02:00Z</cp:lastPrinted>
  <dcterms:created xsi:type="dcterms:W3CDTF">2011-03-28T15:46:00Z</dcterms:created>
  <dcterms:modified xsi:type="dcterms:W3CDTF">2011-03-28T15:46:00Z</dcterms:modified>
  <cp:contentType>Other</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oFAAuCENMj9rVEI/sWFRFm0XKMXmdu82r2GN+FyO2OeA9N8ap95XY2DqXknxsLMoA9eUDLbARvn8HOBa_x000d_
3fs4hbrEIrtReS0K1ZnoG0U6nZc8Nqv1/5P0evDjfYj761ii9OKRLS0g8cFzDiJa3fs4hbrEIrtR_x000d_
eS0K1ZnoG0U6nZc8Nqv1/5P0evDjfbc0erBtG4ZSL75HO7YZqCmnTORvmdT9X1yFcmwSYfgOBNb5_x000d_
gRkrLGpkxcgj6zLrd</vt:lpwstr>
  </property>
  <property fmtid="{D5CDD505-2E9C-101B-9397-08002B2CF9AE}" pid="3" name="MAIL_MSG_ID2">
    <vt:lpwstr>qF2zhY5BVOyAdv+9GcgcyKrLgY/USQ36PpZrETifr+rgWAKRV5OcBwgOtDJ_x000d_
XOrVAA4GajH7/2g4SJhpbokReVYDwsLgh9rqgaOIAAqHvgtQ</vt:lpwstr>
  </property>
  <property fmtid="{D5CDD505-2E9C-101B-9397-08002B2CF9AE}" pid="4" name="RESPONSE_SENDER_NAME">
    <vt:lpwstr>sAAAXRTqSjcrLAp43zyGxBD5ivY3jFpplTryIKhqttsZdws=</vt:lpwstr>
  </property>
  <property fmtid="{D5CDD505-2E9C-101B-9397-08002B2CF9AE}" pid="5" name="EMAIL_OWNER_ADDRESS">
    <vt:lpwstr>4AAA6DouqOs9baH1KyJLmuHRJG4Mi652vdXIcD+IASQ7Cb+02gMZPjhusQ==</vt:lpwstr>
  </property>
  <property fmtid="{D5CDD505-2E9C-101B-9397-08002B2CF9AE}" pid="6" name="ContentTypeId">
    <vt:lpwstr>0x0101001B29A5457858BB40B9775B98A0F7A81700A6E6134AA5256C40AA802191B640C6E4</vt:lpwstr>
  </property>
  <property fmtid="{D5CDD505-2E9C-101B-9397-08002B2CF9AE}" pid="7" name="Organisation">
    <vt:lpwstr>Choose an Organisation</vt:lpwstr>
  </property>
  <property fmtid="{D5CDD505-2E9C-101B-9397-08002B2CF9AE}" pid="10" name="DLCPolicyLabelValue">
    <vt:lpwstr>Version : 2.0</vt:lpwstr>
  </property>
  <property fmtid="{D5CDD505-2E9C-101B-9397-08002B2CF9AE}" pid="11" name="DLCPolicyLabelClientValue">
    <vt:lpwstr>Version : {_UIVersionString}</vt:lpwstr>
  </property>
  <property fmtid="{D5CDD505-2E9C-101B-9397-08002B2CF9AE}" pid="13" name="::">
    <vt:lpwstr>-Main Document</vt:lpwstr>
  </property>
  <property fmtid="{D5CDD505-2E9C-101B-9397-08002B2CF9AE}" pid="14" name="Classification">
    <vt:lpwstr>Unclassified</vt:lpwstr>
  </property>
</Properties>
</file>