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51" w:rsidRDefault="00320A8C" w:rsidP="009A4651">
      <w:r w:rsidRPr="00320A8C">
        <w:rPr>
          <w:noProof/>
          <w:lang w:val="en-US" w:eastAsia="ja-JP"/>
        </w:rPr>
        <w:pict>
          <v:line id="_x0000_s1055" style="position:absolute;left:0;text-align:left;z-index:251661312" from="4.35pt,308.4pt" to="472.35pt,308.4pt" strokecolor="silver"/>
        </w:pict>
      </w:r>
      <w:r w:rsidRPr="00320A8C">
        <w:rPr>
          <w:noProof/>
          <w:lang w:val="en-US" w:eastAsia="ja-JP"/>
        </w:rPr>
        <w:pict>
          <v:shapetype id="_x0000_t202" coordsize="21600,21600" o:spt="202" path="m,l,21600r21600,l21600,xe">
            <v:stroke joinstyle="miter"/>
            <v:path gradientshapeok="t" o:connecttype="rect"/>
          </v:shapetype>
          <v:shape id="_x0000_s1053" type="#_x0000_t202" style="position:absolute;left:0;text-align:left;margin-left:4.8pt;margin-top:325.95pt;width:403.25pt;height:150.6pt;z-index:251659264" filled="f" stroked="f">
            <v:textbox style="mso-next-textbox:#_x0000_s1053">
              <w:txbxContent>
                <w:p w:rsidR="004F436C" w:rsidRDefault="004F436C" w:rsidP="009A4651">
                  <w:pPr>
                    <w:pStyle w:val="CoverTopic"/>
                  </w:pPr>
                  <w:r>
                    <w:t>Overview:</w:t>
                  </w:r>
                </w:p>
                <w:p w:rsidR="004F436C" w:rsidRPr="00BA50A3" w:rsidRDefault="004F436C" w:rsidP="009A4651">
                  <w:pPr>
                    <w:rPr>
                      <w:sz w:val="16"/>
                      <w:szCs w:val="16"/>
                    </w:rPr>
                  </w:pPr>
                </w:p>
                <w:p w:rsidR="004F436C" w:rsidRDefault="004F436C" w:rsidP="009A4651">
                  <w:pPr>
                    <w:rPr>
                      <w:rStyle w:val="CoverTopicDetails"/>
                    </w:rPr>
                  </w:pPr>
                  <w:r>
                    <w:rPr>
                      <w:rStyle w:val="CoverTopicDetails"/>
                    </w:rPr>
                    <w:t xml:space="preserve">A new regulatory regime has been established for offshore electricity transmission.  A key part of this regime is that the grant of Offshore Electricity Transmission </w:t>
                  </w:r>
                  <w:proofErr w:type="spellStart"/>
                  <w:r>
                    <w:rPr>
                      <w:rStyle w:val="CoverTopicDetails"/>
                    </w:rPr>
                    <w:t>Licences</w:t>
                  </w:r>
                  <w:proofErr w:type="spellEnd"/>
                  <w:r>
                    <w:rPr>
                      <w:rStyle w:val="CoverTopicDetails"/>
                    </w:rPr>
                    <w:t xml:space="preserve"> is on the basis of a competitive tender process.  Ofgem is responsible for managing this process.</w:t>
                  </w:r>
                </w:p>
                <w:p w:rsidR="004F436C" w:rsidRDefault="004F436C" w:rsidP="009A4651">
                  <w:pPr>
                    <w:rPr>
                      <w:rStyle w:val="CoverTopicDetails"/>
                    </w:rPr>
                  </w:pPr>
                </w:p>
                <w:p w:rsidR="004F436C" w:rsidRPr="009E2ED5" w:rsidRDefault="004F436C" w:rsidP="009A4651">
                  <w:pPr>
                    <w:rPr>
                      <w:rStyle w:val="CoverTopicDetails"/>
                    </w:rPr>
                  </w:pPr>
                  <w:r>
                    <w:rPr>
                      <w:rStyle w:val="CoverTopicDetails"/>
                    </w:rPr>
                    <w:t xml:space="preserve">This Invitation to Tender Document is issued by the Authority pursuant to Regulation 13(2) of the Electricity (Competitive Tenders for Offshore Transmission </w:t>
                  </w:r>
                  <w:proofErr w:type="spellStart"/>
                  <w:r>
                    <w:rPr>
                      <w:rStyle w:val="CoverTopicDetails"/>
                    </w:rPr>
                    <w:t>Licences</w:t>
                  </w:r>
                  <w:proofErr w:type="spellEnd"/>
                  <w:r>
                    <w:rPr>
                      <w:rStyle w:val="CoverTopicDetails"/>
                    </w:rPr>
                    <w:t xml:space="preserve">) Regulations 2009, and applies to the first round of tenders for the grant of Offshore Electricity Transmission </w:t>
                  </w:r>
                  <w:proofErr w:type="spellStart"/>
                  <w:r>
                    <w:rPr>
                      <w:rStyle w:val="CoverTopicDetails"/>
                    </w:rPr>
                    <w:t>Licences</w:t>
                  </w:r>
                  <w:proofErr w:type="spellEnd"/>
                  <w:r>
                    <w:rPr>
                      <w:rStyle w:val="CoverTopicDetails"/>
                    </w:rPr>
                    <w:t xml:space="preserve"> </w:t>
                  </w:r>
                </w:p>
                <w:p w:rsidR="004F436C" w:rsidRPr="00AE1BF7" w:rsidRDefault="004F436C" w:rsidP="009A4651">
                  <w:pPr>
                    <w:rPr>
                      <w:rStyle w:val="CoverTopicDetails"/>
                    </w:rPr>
                  </w:pPr>
                </w:p>
              </w:txbxContent>
            </v:textbox>
          </v:shape>
        </w:pict>
      </w:r>
      <w:r w:rsidRPr="00320A8C">
        <w:rPr>
          <w:noProof/>
          <w:lang w:val="en-US" w:eastAsia="ja-JP"/>
        </w:rPr>
        <w:pict>
          <v:shape id="_x0000_s1054" type="#_x0000_t202" style="position:absolute;left:0;text-align:left;margin-left:4.8pt;margin-top:272.9pt;width:414pt;height:27pt;z-index:251660288" filled="f" stroked="f">
            <v:textbox style="mso-next-textbox:#_x0000_s1054">
              <w:txbxContent>
                <w:p w:rsidR="004F436C" w:rsidRPr="003E11D3" w:rsidRDefault="004F436C" w:rsidP="009A4651">
                  <w:r w:rsidRPr="005728D8">
                    <w:rPr>
                      <w:rStyle w:val="CoverTopicChar"/>
                      <w:rFonts w:eastAsia="Batang"/>
                    </w:rPr>
                    <w:t>Date of publication</w:t>
                  </w:r>
                  <w:r w:rsidRPr="003E11D3">
                    <w:t>:</w:t>
                  </w:r>
                  <w:r>
                    <w:t xml:space="preserve"> 22 December 2009</w:t>
                  </w:r>
                </w:p>
                <w:p w:rsidR="004F436C" w:rsidRPr="00ED344A" w:rsidRDefault="004F436C" w:rsidP="009A4651">
                  <w:pPr>
                    <w:rPr>
                      <w:sz w:val="8"/>
                      <w:szCs w:val="8"/>
                    </w:rPr>
                  </w:pPr>
                </w:p>
                <w:p w:rsidR="004F436C" w:rsidRDefault="004F436C" w:rsidP="009A4651"/>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OES.jpg" style="width:437.25pt;height:669pt;visibility:visible">
            <v:imagedata r:id="rId13" o:title="OES"/>
          </v:shape>
        </w:pict>
      </w:r>
      <w:r w:rsidRPr="00320A8C">
        <w:rPr>
          <w:noProof/>
          <w:lang w:val="en-US" w:eastAsia="ja-JP"/>
        </w:rPr>
        <w:pict>
          <v:shape id="_x0000_s1051" type="#_x0000_t202" style="position:absolute;left:0;text-align:left;margin-left:26.5pt;margin-top:192.4pt;width:354.55pt;height:54pt;z-index:251657216;mso-position-horizontal-relative:text;mso-position-vertical-relative:text" filled="f" stroked="f">
            <v:textbox style="mso-next-textbox:#_x0000_s1051">
              <w:txbxContent>
                <w:p w:rsidR="004F436C" w:rsidRDefault="004F436C" w:rsidP="009A4651">
                  <w:r w:rsidRPr="005728D8">
                    <w:rPr>
                      <w:rStyle w:val="CoverTopicChar"/>
                      <w:rFonts w:eastAsia="Batang"/>
                    </w:rPr>
                    <w:t>Document type:</w:t>
                  </w:r>
                  <w:r>
                    <w:t xml:space="preserve"> </w:t>
                  </w:r>
                  <w:r>
                    <w:rPr>
                      <w:rStyle w:val="CoverDocumentTypeexplanation"/>
                    </w:rPr>
                    <w:t>Invitation to Tender Document</w:t>
                  </w:r>
                </w:p>
                <w:p w:rsidR="004F436C" w:rsidRPr="000128C0" w:rsidRDefault="004F436C" w:rsidP="009A4651">
                  <w:pPr>
                    <w:rPr>
                      <w:sz w:val="32"/>
                      <w:szCs w:val="32"/>
                    </w:rPr>
                  </w:pPr>
                </w:p>
              </w:txbxContent>
            </v:textbox>
          </v:shape>
        </w:pict>
      </w:r>
      <w:r w:rsidRPr="00320A8C">
        <w:rPr>
          <w:noProof/>
          <w:lang w:val="en-US" w:eastAsia="ja-JP"/>
        </w:rPr>
        <w:pict>
          <v:shape id="_x0000_s1052" type="#_x0000_t202" style="position:absolute;left:0;text-align:left;margin-left:30.4pt;margin-top:113.1pt;width:477pt;height:46.95pt;z-index:251658240;mso-position-horizontal-relative:text;mso-position-vertical-relative:text" filled="f" stroked="f">
            <v:textbox style="mso-next-textbox:#_x0000_s1052">
              <w:txbxContent>
                <w:p w:rsidR="004F436C" w:rsidRDefault="004F436C" w:rsidP="009A4651">
                  <w:pPr>
                    <w:pStyle w:val="DraftCover"/>
                  </w:pPr>
                  <w:r>
                    <w:t>Invitation to Tender Document</w:t>
                  </w:r>
                </w:p>
                <w:p w:rsidR="004F436C" w:rsidRPr="000C20CD" w:rsidRDefault="004F436C" w:rsidP="009A4651">
                  <w:pPr>
                    <w:pStyle w:val="DraftCover"/>
                  </w:pPr>
                  <w:r>
                    <w:t>2009 Transitional Tenders</w:t>
                  </w:r>
                </w:p>
              </w:txbxContent>
            </v:textbox>
          </v:shape>
        </w:pict>
      </w:r>
      <w:r w:rsidRPr="00320A8C">
        <w:rPr>
          <w:noProof/>
          <w:lang w:val="en-US" w:eastAsia="ja-JP"/>
        </w:rPr>
        <w:pict>
          <v:group id="_x0000_s1048" style="position:absolute;left:0;text-align:left;margin-left:-6.45pt;margin-top:-4.75pt;width:564.45pt;height:42.45pt;z-index:251656192;mso-position-horizontal-relative:text;mso-position-vertical-relative:text" coordorigin="778,359" coordsize="11289,849">
            <v:shape id="_x0000_s1049" type="#_x0000_t202" style="position:absolute;left:778;top:359;width:11289;height:404" filled="f" stroked="f">
              <v:textbox style="mso-next-textbox:#_x0000_s1049;mso-fit-shape-to-text:t">
                <w:txbxContent>
                  <w:p w:rsidR="004F436C" w:rsidRPr="006A67D0" w:rsidRDefault="004F436C" w:rsidP="009A4651"/>
                </w:txbxContent>
              </v:textbox>
            </v:shape>
            <v:shape id="_x0000_s1050" type="#_x0000_t202" style="position:absolute;left:9367;top:804;width:388;height:404;mso-wrap-style:none" filled="f" stroked="f">
              <v:textbox style="mso-next-textbox:#_x0000_s1050;mso-fit-shape-to-text:t">
                <w:txbxContent>
                  <w:p w:rsidR="004F436C" w:rsidRDefault="004F436C" w:rsidP="009A4651"/>
                </w:txbxContent>
              </v:textbox>
            </v:shape>
          </v:group>
        </w:pict>
      </w:r>
    </w:p>
    <w:p w:rsidR="00A234AD" w:rsidRDefault="00A234AD" w:rsidP="00A234AD">
      <w:pPr>
        <w:pStyle w:val="BodyText"/>
        <w:rPr>
          <w:b/>
          <w:u w:val="single"/>
        </w:rPr>
      </w:pPr>
    </w:p>
    <w:p w:rsidR="005F5ACC" w:rsidRDefault="005F5ACC" w:rsidP="009A4651">
      <w:pPr>
        <w:pStyle w:val="BodyText"/>
        <w:jc w:val="center"/>
        <w:rPr>
          <w:rFonts w:ascii="Verdana" w:hAnsi="Verdana"/>
          <w:b/>
          <w:bCs/>
          <w:sz w:val="20"/>
        </w:rPr>
      </w:pPr>
      <w:bookmarkStart w:id="0" w:name="_Toc205910326"/>
    </w:p>
    <w:p w:rsidR="005F5ACC" w:rsidRDefault="005F5ACC" w:rsidP="009A4651">
      <w:pPr>
        <w:pStyle w:val="BodyText"/>
        <w:jc w:val="center"/>
        <w:rPr>
          <w:rFonts w:ascii="Verdana" w:hAnsi="Verdana"/>
          <w:b/>
          <w:bCs/>
          <w:sz w:val="20"/>
        </w:rPr>
      </w:pPr>
      <w:r>
        <w:rPr>
          <w:rFonts w:ascii="Verdana" w:hAnsi="Verdana"/>
          <w:b/>
          <w:bCs/>
          <w:sz w:val="20"/>
        </w:rPr>
        <w:t>NOTE TO READERS</w:t>
      </w:r>
    </w:p>
    <w:p w:rsidR="005F5ACC" w:rsidRPr="005F5ACC" w:rsidRDefault="005F5ACC" w:rsidP="005F5ACC">
      <w:pPr>
        <w:pStyle w:val="BodyText"/>
        <w:rPr>
          <w:rFonts w:ascii="Verdana" w:hAnsi="Verdana"/>
          <w:sz w:val="20"/>
        </w:rPr>
      </w:pPr>
      <w:r>
        <w:rPr>
          <w:rFonts w:ascii="Verdana" w:hAnsi="Verdana"/>
          <w:sz w:val="20"/>
        </w:rPr>
        <w:t xml:space="preserve">This is the ITT document related to the ITT Stage for </w:t>
      </w:r>
      <w:r w:rsidR="004F436C">
        <w:rPr>
          <w:rFonts w:ascii="Verdana" w:hAnsi="Verdana"/>
          <w:sz w:val="20"/>
        </w:rPr>
        <w:t>the first transitional tender round (</w:t>
      </w:r>
      <w:r>
        <w:rPr>
          <w:rFonts w:ascii="Verdana" w:hAnsi="Verdana"/>
          <w:sz w:val="20"/>
        </w:rPr>
        <w:t>TR1</w:t>
      </w:r>
      <w:r w:rsidR="004F436C">
        <w:rPr>
          <w:rFonts w:ascii="Verdana" w:hAnsi="Verdana"/>
          <w:sz w:val="20"/>
        </w:rPr>
        <w:t>), which commenced</w:t>
      </w:r>
      <w:r>
        <w:rPr>
          <w:rFonts w:ascii="Verdana" w:hAnsi="Verdana"/>
          <w:sz w:val="20"/>
        </w:rPr>
        <w:t xml:space="preserve"> in December 2009. Note that the references to Greater </w:t>
      </w:r>
      <w:proofErr w:type="spellStart"/>
      <w:r>
        <w:rPr>
          <w:rFonts w:ascii="Verdana" w:hAnsi="Verdana"/>
          <w:sz w:val="20"/>
        </w:rPr>
        <w:t>Gabbard</w:t>
      </w:r>
      <w:proofErr w:type="spellEnd"/>
      <w:r>
        <w:rPr>
          <w:rFonts w:ascii="Verdana" w:hAnsi="Verdana"/>
          <w:sz w:val="20"/>
        </w:rPr>
        <w:t xml:space="preserve"> are </w:t>
      </w:r>
      <w:proofErr w:type="spellStart"/>
      <w:r>
        <w:rPr>
          <w:rFonts w:ascii="Verdana" w:hAnsi="Verdana"/>
          <w:sz w:val="20"/>
        </w:rPr>
        <w:t>superceded</w:t>
      </w:r>
      <w:proofErr w:type="spellEnd"/>
      <w:r>
        <w:rPr>
          <w:rFonts w:ascii="Verdana" w:hAnsi="Verdana"/>
          <w:sz w:val="20"/>
        </w:rPr>
        <w:t xml:space="preserve"> by</w:t>
      </w:r>
      <w:r w:rsidR="00CC4272">
        <w:rPr>
          <w:rFonts w:ascii="Verdana" w:hAnsi="Verdana"/>
          <w:sz w:val="20"/>
        </w:rPr>
        <w:t xml:space="preserve"> a re-run of the ITT</w:t>
      </w:r>
      <w:r w:rsidR="004F436C">
        <w:rPr>
          <w:rFonts w:ascii="Verdana" w:hAnsi="Verdana"/>
          <w:sz w:val="20"/>
        </w:rPr>
        <w:t xml:space="preserve"> Stage for that project</w:t>
      </w:r>
      <w:r w:rsidR="00CC4272">
        <w:rPr>
          <w:rFonts w:ascii="Verdana" w:hAnsi="Verdana"/>
          <w:sz w:val="20"/>
        </w:rPr>
        <w:t>, for which the d</w:t>
      </w:r>
      <w:r w:rsidR="004F436C">
        <w:rPr>
          <w:rFonts w:ascii="Verdana" w:hAnsi="Verdana"/>
          <w:sz w:val="20"/>
        </w:rPr>
        <w:t xml:space="preserve">ate for submissions expired on </w:t>
      </w:r>
      <w:r w:rsidR="00CC4272">
        <w:rPr>
          <w:rFonts w:ascii="Verdana" w:hAnsi="Verdana"/>
          <w:sz w:val="20"/>
        </w:rPr>
        <w:t xml:space="preserve">9 </w:t>
      </w:r>
      <w:proofErr w:type="spellStart"/>
      <w:r w:rsidR="00CC4272">
        <w:rPr>
          <w:rFonts w:ascii="Verdana" w:hAnsi="Verdana"/>
          <w:sz w:val="20"/>
        </w:rPr>
        <w:t>Feburary</w:t>
      </w:r>
      <w:proofErr w:type="spellEnd"/>
      <w:r w:rsidR="004F436C">
        <w:rPr>
          <w:rFonts w:ascii="Verdana" w:hAnsi="Verdana"/>
          <w:sz w:val="20"/>
        </w:rPr>
        <w:t xml:space="preserve"> 2011</w:t>
      </w:r>
      <w:r w:rsidR="00CC4272">
        <w:rPr>
          <w:rFonts w:ascii="Verdana" w:hAnsi="Verdana"/>
          <w:sz w:val="20"/>
        </w:rPr>
        <w:t xml:space="preserve">. </w:t>
      </w:r>
      <w:r>
        <w:rPr>
          <w:rFonts w:ascii="Verdana" w:hAnsi="Verdana"/>
          <w:sz w:val="20"/>
        </w:rPr>
        <w:t xml:space="preserve">The ITT re-run document for Greater </w:t>
      </w:r>
      <w:proofErr w:type="spellStart"/>
      <w:r>
        <w:rPr>
          <w:rFonts w:ascii="Verdana" w:hAnsi="Verdana"/>
          <w:sz w:val="20"/>
        </w:rPr>
        <w:t>Gabbard</w:t>
      </w:r>
      <w:proofErr w:type="spellEnd"/>
      <w:r>
        <w:rPr>
          <w:rFonts w:ascii="Verdana" w:hAnsi="Verdana"/>
          <w:sz w:val="20"/>
        </w:rPr>
        <w:t xml:space="preserve"> will be published in due cou</w:t>
      </w:r>
      <w:r w:rsidR="004F436C">
        <w:rPr>
          <w:rFonts w:ascii="Verdana" w:hAnsi="Verdana"/>
          <w:sz w:val="20"/>
        </w:rPr>
        <w:t>rse upon completion of the ITT S</w:t>
      </w:r>
      <w:r>
        <w:rPr>
          <w:rFonts w:ascii="Verdana" w:hAnsi="Verdana"/>
          <w:sz w:val="20"/>
        </w:rPr>
        <w:t>tage</w:t>
      </w:r>
      <w:r w:rsidR="004F436C">
        <w:rPr>
          <w:rFonts w:ascii="Verdana" w:hAnsi="Verdana"/>
          <w:sz w:val="20"/>
        </w:rPr>
        <w:t xml:space="preserve"> for that project</w:t>
      </w:r>
      <w:r>
        <w:rPr>
          <w:rFonts w:ascii="Verdana" w:hAnsi="Verdana"/>
          <w:sz w:val="20"/>
        </w:rPr>
        <w:t>.</w:t>
      </w:r>
    </w:p>
    <w:p w:rsidR="005F5ACC" w:rsidRDefault="005F5ACC" w:rsidP="009A4651">
      <w:pPr>
        <w:pStyle w:val="BodyText"/>
        <w:jc w:val="center"/>
        <w:rPr>
          <w:rFonts w:ascii="Verdana" w:hAnsi="Verdana"/>
          <w:b/>
          <w:bCs/>
          <w:sz w:val="20"/>
        </w:rPr>
      </w:pPr>
    </w:p>
    <w:p w:rsidR="00A234AD" w:rsidRPr="00D737B1" w:rsidRDefault="003B5FB7" w:rsidP="009A4651">
      <w:pPr>
        <w:pStyle w:val="BodyText"/>
        <w:jc w:val="center"/>
        <w:rPr>
          <w:rFonts w:ascii="Verdana" w:hAnsi="Verdana"/>
          <w:b/>
          <w:bCs/>
          <w:sz w:val="20"/>
        </w:rPr>
      </w:pPr>
      <w:r w:rsidRPr="003B5FB7">
        <w:rPr>
          <w:rFonts w:ascii="Verdana" w:hAnsi="Verdana"/>
          <w:b/>
          <w:bCs/>
          <w:sz w:val="20"/>
        </w:rPr>
        <w:t>IMPORTANT NOTICE</w:t>
      </w:r>
      <w:bookmarkEnd w:id="0"/>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Introduction</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This Invitation to Tender (ITT) Document is issued by the Authority pursuant to regulation </w:t>
      </w:r>
      <w:r w:rsidR="00166B65">
        <w:rPr>
          <w:rFonts w:ascii="Verdana" w:hAnsi="Verdana"/>
          <w:bCs/>
          <w:sz w:val="20"/>
        </w:rPr>
        <w:t>13</w:t>
      </w:r>
      <w:r w:rsidRPr="003B5FB7">
        <w:rPr>
          <w:rFonts w:ascii="Verdana" w:hAnsi="Verdana"/>
          <w:bCs/>
          <w:sz w:val="20"/>
        </w:rPr>
        <w:t xml:space="preserve">(2) of the Tender Regulations and applies to the first Tender Round for the grant of Offshore Transmission Licences under the Transitional Regime.  </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By accepting and participating in the Tender Process each Qualifying Bidder agrees to be bound by, and to comply with, the rules and requirements set out in the Tender Regulations, the ITT Document and the Tender Rules, issued by the Authority.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sz w:val="20"/>
        </w:rPr>
        <w:t xml:space="preserve">A material breach of the Tender Regulations, ITT Document or the Tender Rules would give Ofgem the right, under the Tender Regulations, to </w:t>
      </w:r>
      <w:r w:rsidRPr="003B5FB7">
        <w:rPr>
          <w:rFonts w:ascii="Verdana" w:hAnsi="Verdana"/>
          <w:bCs/>
          <w:iCs/>
          <w:sz w:val="20"/>
        </w:rPr>
        <w:t xml:space="preserve">disqualify a Qualifying Bidder from the Tender Process.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Non-reliance, accuracy of information and exclusion of liability</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It is the responsibility of each Qualifying Bidder to ensure that it has all of the information it needs to prepare its ITT Submission.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While information provided by Ofgem and/or its Related Parties in this ITT Document or otherwise in relation to the Tender Round has been prepared in good faith, it does not purport to be comprehensive or to have been independently verified.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Neither Ofgem nor any of its Related Parties makes any representation or warranty (express or implied) as to the accuracy, reasonableness or completeness of the information provided by it or its Related Parties in this ITT Document or otherwise in relation to the Tender Round or any information provided by Ofgem or Developers through Sale and Purchase Agreements, Data Rooms or otherwise.  All such persons or entities expressly disclaim any and all liability (other than in respect of fraudulent misrepresentation) based on or relating to any such information or representations or warranties (express or implied) contained in, or errors or omissions from, the information or based on or relating to its use by a Qualifying Bidder /or any other interested party.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Use of information</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This ITT Document has been prepared and issued to set out the requirements for ITT Submissions.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This ITT Document is not intended to provide the basis of any investment decision, nor is it intended to be considered as an investment recommendation by Ofgem or by any of its Related Parties.  Each Qualifying Bidder and any other interested party must make its own independent assessment of the </w:t>
      </w:r>
      <w:r w:rsidR="00166B65">
        <w:rPr>
          <w:rFonts w:ascii="Verdana" w:hAnsi="Verdana"/>
          <w:bCs/>
          <w:iCs/>
          <w:sz w:val="20"/>
        </w:rPr>
        <w:t xml:space="preserve">Qualifying </w:t>
      </w:r>
      <w:r w:rsidRPr="003B5FB7">
        <w:rPr>
          <w:rFonts w:ascii="Verdana" w:hAnsi="Verdana"/>
          <w:bCs/>
          <w:iCs/>
          <w:sz w:val="20"/>
        </w:rPr>
        <w:t>Project after making such investigation and taking such professional advice as it deems necessary.</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lastRenderedPageBreak/>
        <w:t xml:space="preserve">The material in this ITT Document is not and should not be regarded as legal or professional advice.  </w:t>
      </w:r>
      <w:r w:rsidR="00166B65">
        <w:rPr>
          <w:rFonts w:ascii="Verdana" w:hAnsi="Verdana"/>
          <w:bCs/>
          <w:iCs/>
          <w:sz w:val="20"/>
        </w:rPr>
        <w:t>Qualifying Bidders</w:t>
      </w:r>
      <w:r w:rsidRPr="003B5FB7">
        <w:rPr>
          <w:rFonts w:ascii="Verdana" w:hAnsi="Verdana"/>
          <w:bCs/>
          <w:iCs/>
          <w:sz w:val="20"/>
        </w:rPr>
        <w:t xml:space="preserve"> should seek their own legal or other professional advice where appropriate.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Copyright</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The information contained within this ITT Document is subject to Crown copyright protection unless otherwise indicated. The Crown copyright protected material may be reproduced free of charge in any format or medium provided it is reproduced accurately and not in a misleading or derogatory manner. Where any of the Crown copyright material in this ITT Document is being published or copied to others, the source of the material must be identified and the copyright status acknowledged.</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Freedom of information</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The Freedom of Information Act 2000 provides a general right of access to all information held by public authorities.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The Environmental Information Regulations 2004 provides a general right of access to environmental information held by public authorities.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Ofgem is subject to the Freedom of Information Act 2000 and/or the Environmental Information Regulations 2004.  Qualifying Bidders will be invited in the</w:t>
      </w:r>
      <w:r w:rsidR="00166B65">
        <w:rPr>
          <w:rFonts w:ascii="Verdana" w:hAnsi="Verdana"/>
          <w:bCs/>
          <w:iCs/>
          <w:sz w:val="20"/>
        </w:rPr>
        <w:t>ir</w:t>
      </w:r>
      <w:r w:rsidRPr="003B5FB7">
        <w:rPr>
          <w:rFonts w:ascii="Verdana" w:hAnsi="Verdana"/>
          <w:bCs/>
          <w:iCs/>
          <w:sz w:val="20"/>
        </w:rPr>
        <w:t xml:space="preserve"> ITT Submission to identify which parts, if any, of their ITT Submissions are provided to Ofgem in confidence and provide reasons why they consider the information is eligible for exemption under the Freedom of Information Act 2000 or the Environmental Information Regulations 2004 and should be kept confidential</w:t>
      </w:r>
      <w:r w:rsidR="00166B65">
        <w:rPr>
          <w:rFonts w:ascii="Verdana" w:hAnsi="Verdana"/>
          <w:bCs/>
          <w:iCs/>
          <w:sz w:val="20"/>
        </w:rPr>
        <w:t xml:space="preserve"> if a request for disclosure is subsequently received by Ofgem</w:t>
      </w:r>
      <w:r w:rsidRPr="003B5FB7">
        <w:rPr>
          <w:rFonts w:ascii="Verdana" w:hAnsi="Verdana"/>
          <w:bCs/>
          <w:iCs/>
          <w:sz w:val="20"/>
        </w:rPr>
        <w:t xml:space="preserve">.  Ofgem will take any such statement of confidentiality into account in considering whether an exemption applies, but Ofgem is not bound by any such statement.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Although Ofgem is not under any statutory obligation to consult with a Qualifying Bidder in relation to requests for information made under the Freedom of Information Act 2000 or the Environmental Information Regulations 2004, Ofgem will endeavour to inform the relevant Qualifying Bidder of requests wherever it is reasonably practicable to do so.  However, all decisions about disclosure of information will be made at the sole discretion of Ofgem regardless of whether or not a Qualifying Bidder has identified any information as being in its opinion eligible for exemption.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For further information and guidance, Qualifying Bidders' attention is drawn to the Lord Chancellor's Code of Practice issued under Section 45 of the Freedom of Information Act 2000 (see </w:t>
      </w:r>
      <w:hyperlink r:id="rId14" w:history="1">
        <w:r w:rsidR="007B5F66" w:rsidRPr="00335C33">
          <w:rPr>
            <w:rStyle w:val="Hyperlink"/>
            <w:rFonts w:ascii="Verdana" w:hAnsi="Verdana"/>
            <w:bCs/>
            <w:iCs/>
            <w:sz w:val="20"/>
          </w:rPr>
          <w:t>http://www.dca.gov.uk/foi/codesprac.htm</w:t>
        </w:r>
      </w:hyperlink>
      <w:r w:rsidR="007B5F66">
        <w:rPr>
          <w:rFonts w:ascii="Verdana" w:hAnsi="Verdana"/>
          <w:bCs/>
          <w:iCs/>
          <w:sz w:val="20"/>
        </w:rPr>
        <w:t>)</w:t>
      </w:r>
      <w:r w:rsidRPr="003B5FB7">
        <w:rPr>
          <w:rFonts w:ascii="Verdana" w:hAnsi="Verdana"/>
          <w:bCs/>
          <w:iCs/>
          <w:sz w:val="20"/>
        </w:rPr>
        <w:t xml:space="preserve">.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Data protection</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In participating in the Tender Round, Qualifying Bidders must comply with the Data Protection Act 1998 and all relevant regulations together with any codes of conduct and guidance issued by the Information Commissioner and must not do or cause or permit to be done anything which may cause or otherwise result in a breach by Ofgem of such requirements.</w:t>
      </w:r>
      <w:bookmarkStart w:id="1" w:name="_Ref230686568"/>
      <w:r w:rsidRPr="003B5FB7">
        <w:rPr>
          <w:rFonts w:ascii="Verdana" w:hAnsi="Verdana"/>
          <w:bCs/>
          <w:iCs/>
          <w:sz w:val="20"/>
        </w:rPr>
        <w:t xml:space="preserve">  </w:t>
      </w:r>
    </w:p>
    <w:p w:rsidR="0036530C" w:rsidRPr="00D737B1" w:rsidRDefault="003B5FB7" w:rsidP="0036530C">
      <w:pPr>
        <w:pStyle w:val="BodyText"/>
        <w:tabs>
          <w:tab w:val="clear" w:pos="709"/>
        </w:tabs>
        <w:rPr>
          <w:rFonts w:ascii="Verdana" w:hAnsi="Verdana"/>
          <w:bCs/>
          <w:iCs/>
          <w:sz w:val="20"/>
        </w:rPr>
      </w:pPr>
      <w:proofErr w:type="spellStart"/>
      <w:r w:rsidRPr="003B5FB7">
        <w:rPr>
          <w:rFonts w:ascii="Verdana" w:hAnsi="Verdana"/>
          <w:bCs/>
          <w:iCs/>
          <w:sz w:val="20"/>
        </w:rPr>
        <w:t>BravoSolution</w:t>
      </w:r>
      <w:proofErr w:type="spellEnd"/>
      <w:r w:rsidRPr="003B5FB7">
        <w:rPr>
          <w:rFonts w:ascii="Verdana" w:hAnsi="Verdana"/>
          <w:bCs/>
          <w:iCs/>
          <w:sz w:val="20"/>
        </w:rPr>
        <w:t xml:space="preserve"> UK Ltd, on behalf of Ofgem, will collect, hold and use personal data obtained from and about Qualifying Bidders and, in order to participate in the Tender Round, Qualifying Bidders must agree to such data being collected, held and used.</w:t>
      </w:r>
      <w:bookmarkEnd w:id="1"/>
    </w:p>
    <w:p w:rsidR="0036530C" w:rsidRPr="00D737B1" w:rsidRDefault="003B5FB7" w:rsidP="0036530C">
      <w:pPr>
        <w:pStyle w:val="BodyText"/>
        <w:tabs>
          <w:tab w:val="clear" w:pos="709"/>
        </w:tabs>
        <w:rPr>
          <w:rFonts w:ascii="Verdana" w:hAnsi="Verdana"/>
          <w:bCs/>
          <w:iCs/>
          <w:sz w:val="20"/>
        </w:rPr>
      </w:pPr>
      <w:r w:rsidRPr="003B5FB7">
        <w:rPr>
          <w:rFonts w:ascii="Verdana" w:hAnsi="Verdana"/>
          <w:b/>
          <w:bCs/>
          <w:iCs/>
          <w:sz w:val="20"/>
        </w:rPr>
        <w:t xml:space="preserve">Information provided by Qualifying Bidders </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lastRenderedPageBreak/>
        <w:t xml:space="preserve">Ofgem is relying on the information provided by Qualifying Bidders before and during the Tender </w:t>
      </w:r>
      <w:r w:rsidRPr="003B5FB7">
        <w:rPr>
          <w:rFonts w:ascii="Verdana" w:hAnsi="Verdana"/>
          <w:bCs/>
          <w:iCs/>
          <w:sz w:val="20"/>
        </w:rPr>
        <w:t>Round</w:t>
      </w:r>
      <w:r w:rsidRPr="003B5FB7">
        <w:rPr>
          <w:rFonts w:ascii="Verdana" w:hAnsi="Verdana"/>
          <w:bCs/>
          <w:sz w:val="20"/>
        </w:rPr>
        <w:t xml:space="preserve"> (including but not limited to information concerning the members and structure of their consortia where relevant).  </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If, at any time following the making of any ITT Submission and before Ofgem publishes the name of the Preferred Bidder, there are any material changes or proposed changes to the information provided in the ITT Submission, or a Qualifying Bidder becomes aware that information previously submitted is no longer true or accurate, such Qualifying Bidder must advise Ofgem as soon as is reasonably practicable.  </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For the avoidance of doubt, where a Qualifying Bidder informs Ofgem of any such material change or proposed change, Ofgem shall be entitled to re-evaluate that Qualifying </w:t>
      </w:r>
      <w:r w:rsidR="00166B65">
        <w:rPr>
          <w:rFonts w:ascii="Verdana" w:hAnsi="Verdana"/>
          <w:bCs/>
          <w:sz w:val="20"/>
        </w:rPr>
        <w:t>Bidder</w:t>
      </w:r>
      <w:r w:rsidRPr="003B5FB7">
        <w:rPr>
          <w:rFonts w:ascii="Verdana" w:hAnsi="Verdana"/>
          <w:bCs/>
          <w:sz w:val="20"/>
        </w:rPr>
        <w:t xml:space="preserve">'s ITT Submission in light of that material change or proposed change.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sz w:val="20"/>
        </w:rPr>
        <w:t xml:space="preserve">By participating in the Tender Round, each Qualifying Bidder shall be deemed to consent to the disclosure by Ofgem to </w:t>
      </w:r>
      <w:proofErr w:type="spellStart"/>
      <w:r w:rsidRPr="003B5FB7">
        <w:rPr>
          <w:rFonts w:ascii="Verdana" w:hAnsi="Verdana"/>
          <w:bCs/>
          <w:sz w:val="20"/>
        </w:rPr>
        <w:t>Ofgem's</w:t>
      </w:r>
      <w:proofErr w:type="spellEnd"/>
      <w:r w:rsidRPr="003B5FB7">
        <w:rPr>
          <w:rFonts w:ascii="Verdana" w:hAnsi="Verdana"/>
          <w:bCs/>
          <w:sz w:val="20"/>
        </w:rPr>
        <w:t xml:space="preserve"> Related Parties of any information given to Ofgem either before or during the Tender Round by that Qualifying Bidder.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Grounds for cancellation or disqualification</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Parts 11 and 12 of the Tender Regulations set out the grounds on which the Tender Process may be cancelled in relation to a particular </w:t>
      </w:r>
      <w:r w:rsidR="00166B65">
        <w:rPr>
          <w:rFonts w:ascii="Verdana" w:hAnsi="Verdana"/>
          <w:bCs/>
          <w:iCs/>
          <w:sz w:val="20"/>
        </w:rPr>
        <w:t xml:space="preserve">Qualifying </w:t>
      </w:r>
      <w:r w:rsidRPr="003B5FB7">
        <w:rPr>
          <w:rFonts w:ascii="Verdana" w:hAnsi="Verdana"/>
          <w:bCs/>
          <w:iCs/>
          <w:sz w:val="20"/>
        </w:rPr>
        <w:t xml:space="preserve">Project and the grounds on which a Qualifying Bidder may be disqualified from participating in the Tender Round.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 xml:space="preserve">Confidentiality and publicity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The Confidentiality Agreements signed by the Qualifying Bidder at the QTT stage will cover information received during the ITT stage and any subsequent stage</w:t>
      </w:r>
      <w:r w:rsidR="00166B65">
        <w:rPr>
          <w:rFonts w:ascii="Verdana" w:hAnsi="Verdana"/>
          <w:bCs/>
          <w:iCs/>
          <w:sz w:val="20"/>
        </w:rPr>
        <w:t xml:space="preserve"> of the Tender Process</w:t>
      </w:r>
      <w:r w:rsidRPr="003B5FB7">
        <w:rPr>
          <w:rFonts w:ascii="Verdana" w:hAnsi="Verdana"/>
          <w:bCs/>
          <w:iCs/>
          <w:sz w:val="20"/>
        </w:rPr>
        <w:t>.  Qualifying Bidders and Developers must comply with their obligations under such agreements and procure compliance by their directors, employees, advisers, subcontractors, etc, as provided for under such agreements.</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Qualifying Bidders shall not undertake (or permit to be undertaken) at any time during the Tender Process, any publicity activity with any section of the media in relation to any Project other than with the prior written agreement of Ofgem.  Such agreement shall extend to the content of any publicity.  In this paragraph the word 'media' includes (without limitation) radio, television, newspapers, trade and specialist press, the internet and e-mail accessible by the public at large and the representatives of such media.</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Right to vary Tender Process</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Subject to the provisions of the Tender Regulations and EU public procurement law, Ofgem reserves the right to vary any element of the Tender Process, issue supplementary documentation (including rules particular to each stage of the Tender Process) or make additional arrangements at any time during the Tender Process to clarify any issue or amend any aspect of the Tender Process.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All supplementary documentation issued by Ofgem during the Tender Round will be deemed to form part of this ITT Document to the extent indicated in the amendment.  Subject to the provisions of the Tender Regulations, Ofgem may extend the Tender Process and postpone any submission date.</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Costs</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lastRenderedPageBreak/>
        <w:t xml:space="preserve">Each Qualifying Bidder will bear its own costs of participating in the Tender Process and will be responsible for meeting the costs incurred by Ofgem in administering the Tender Process in accordance with the Tender Regulations.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Ofgem is under no obligation and shall not accept any liability for any costs or expenses incurred by any Qualifying Bidder, including without limitation any unsuccessful Qualifying Bidder, for any costs, expenses, damages or losses incurred in connection with the Tender Process.  </w:t>
      </w:r>
    </w:p>
    <w:p w:rsidR="0036530C" w:rsidRPr="00D737B1" w:rsidRDefault="003B5FB7" w:rsidP="0036530C">
      <w:pPr>
        <w:pStyle w:val="BodyText"/>
        <w:tabs>
          <w:tab w:val="clear" w:pos="709"/>
        </w:tabs>
        <w:rPr>
          <w:rFonts w:ascii="Verdana" w:hAnsi="Verdana"/>
          <w:b/>
          <w:bCs/>
          <w:iCs/>
          <w:sz w:val="20"/>
        </w:rPr>
      </w:pPr>
      <w:r w:rsidRPr="003B5FB7">
        <w:rPr>
          <w:rFonts w:ascii="Verdana" w:hAnsi="Verdana"/>
          <w:b/>
          <w:bCs/>
          <w:iCs/>
          <w:sz w:val="20"/>
        </w:rPr>
        <w:t>Miscellaneous</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Ofgem is not bound to accept any </w:t>
      </w:r>
      <w:r w:rsidR="00166B65">
        <w:rPr>
          <w:rFonts w:ascii="Verdana" w:hAnsi="Verdana"/>
          <w:bCs/>
          <w:iCs/>
          <w:sz w:val="20"/>
        </w:rPr>
        <w:t xml:space="preserve">ITT </w:t>
      </w:r>
      <w:r w:rsidRPr="003B5FB7">
        <w:rPr>
          <w:rFonts w:ascii="Verdana" w:hAnsi="Verdana"/>
          <w:bCs/>
          <w:iCs/>
          <w:sz w:val="20"/>
        </w:rPr>
        <w:t xml:space="preserve">Submission made by a Qualifying Bidder.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If a Qualifying Bidder withdraws or is disqualified from one or more Tender Processes or Ofgem cancels a Tender Process (in each case in accordance with the Tender Regulations), Ofgem shall not incur any liability for any losses whatsoever (whether in contract, tort or otherwise and including direct, indirect and consequential losses) towards any Qualifying Bidder or any of their Related Parties.</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 xml:space="preserve">Nothing in this ITT Document is intended to, or shall be deemed </w:t>
      </w:r>
      <w:proofErr w:type="gramStart"/>
      <w:r w:rsidRPr="003B5FB7">
        <w:rPr>
          <w:rFonts w:ascii="Verdana" w:hAnsi="Verdana"/>
          <w:bCs/>
          <w:iCs/>
          <w:sz w:val="20"/>
        </w:rPr>
        <w:t>to,</w:t>
      </w:r>
      <w:proofErr w:type="gramEnd"/>
      <w:r w:rsidRPr="003B5FB7">
        <w:rPr>
          <w:rFonts w:ascii="Verdana" w:hAnsi="Verdana"/>
          <w:bCs/>
          <w:iCs/>
          <w:sz w:val="20"/>
        </w:rPr>
        <w:t xml:space="preserve"> establish any partnership or joint venture between Ofgem and any Qualifying Bidder.  </w:t>
      </w:r>
    </w:p>
    <w:p w:rsidR="0036530C" w:rsidRPr="00D737B1" w:rsidRDefault="003B5FB7" w:rsidP="0036530C">
      <w:pPr>
        <w:pStyle w:val="BodyText"/>
        <w:tabs>
          <w:tab w:val="clear" w:pos="709"/>
        </w:tabs>
        <w:rPr>
          <w:rFonts w:ascii="Verdana" w:hAnsi="Verdana"/>
          <w:bCs/>
          <w:iCs/>
          <w:sz w:val="20"/>
        </w:rPr>
      </w:pPr>
      <w:r w:rsidRPr="003B5FB7">
        <w:rPr>
          <w:rFonts w:ascii="Verdana" w:hAnsi="Verdana"/>
          <w:bCs/>
          <w:iCs/>
          <w:sz w:val="20"/>
        </w:rPr>
        <w:t>Legal, technical and financial advisers are acting for Ofgem in relation to the Tender Round and will not regard any Qualifying Bidder or other interested party as their client or be responsible to anyone other than Ofgem for providing the protections afforded to their clients or for advising any other person on the Tender Round or any matter related to it.</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The Tender Rules and this ITT Document inevitably describe certain matters which are dealt with in the Tender Regulations but the Tender Rules and this ITT Document are not, and should not be seen as, a substitute for a proper understanding of the Tender Regulations.  All </w:t>
      </w:r>
      <w:r w:rsidRPr="003B5FB7">
        <w:rPr>
          <w:rFonts w:ascii="Verdana" w:hAnsi="Verdana"/>
          <w:bCs/>
          <w:iCs/>
          <w:sz w:val="20"/>
        </w:rPr>
        <w:t xml:space="preserve">Qualifying </w:t>
      </w:r>
      <w:r w:rsidR="00166B65">
        <w:rPr>
          <w:rFonts w:ascii="Verdana" w:hAnsi="Verdana"/>
          <w:bCs/>
          <w:iCs/>
          <w:sz w:val="20"/>
        </w:rPr>
        <w:t>Bidder</w:t>
      </w:r>
      <w:r w:rsidRPr="003B5FB7">
        <w:rPr>
          <w:rFonts w:ascii="Verdana" w:hAnsi="Verdana"/>
          <w:bCs/>
          <w:iCs/>
          <w:sz w:val="20"/>
        </w:rPr>
        <w:t>s</w:t>
      </w:r>
      <w:r w:rsidRPr="003B5FB7">
        <w:rPr>
          <w:rFonts w:ascii="Verdana" w:hAnsi="Verdana"/>
          <w:bCs/>
          <w:sz w:val="20"/>
        </w:rPr>
        <w:t xml:space="preserve"> are strongly encouraged to become conversant with the Tender Regulations in addition to reading the Tender Rules and this ITT Document.  </w:t>
      </w:r>
    </w:p>
    <w:p w:rsidR="0036530C" w:rsidRPr="00D737B1" w:rsidRDefault="003B5FB7" w:rsidP="0036530C">
      <w:pPr>
        <w:pStyle w:val="BodyText"/>
        <w:tabs>
          <w:tab w:val="clear" w:pos="709"/>
        </w:tabs>
        <w:rPr>
          <w:rFonts w:ascii="Verdana" w:hAnsi="Verdana"/>
          <w:bCs/>
          <w:sz w:val="20"/>
        </w:rPr>
      </w:pPr>
      <w:r w:rsidRPr="003B5FB7">
        <w:rPr>
          <w:rFonts w:ascii="Verdana" w:hAnsi="Verdana"/>
          <w:bCs/>
          <w:sz w:val="20"/>
        </w:rPr>
        <w:t xml:space="preserve">In the event of any conflict between this ITT Document and the Tender Regulations, the Tender Regulations take precedence.  </w:t>
      </w:r>
    </w:p>
    <w:p w:rsidR="00A234AD" w:rsidRPr="00D737B1" w:rsidRDefault="003B5FB7" w:rsidP="00A234AD">
      <w:pPr>
        <w:pStyle w:val="BodyText"/>
        <w:tabs>
          <w:tab w:val="clear" w:pos="709"/>
        </w:tabs>
        <w:rPr>
          <w:rFonts w:ascii="Verdana" w:hAnsi="Verdana"/>
          <w:b/>
          <w:bCs/>
          <w:sz w:val="20"/>
        </w:rPr>
      </w:pPr>
      <w:r w:rsidRPr="003B5FB7">
        <w:rPr>
          <w:rFonts w:ascii="Verdana" w:hAnsi="Verdana"/>
          <w:b/>
          <w:bCs/>
          <w:sz w:val="20"/>
        </w:rPr>
        <w:br w:type="page"/>
      </w:r>
    </w:p>
    <w:p w:rsidR="001E40DC" w:rsidRDefault="003B5FB7" w:rsidP="00A234AD">
      <w:pPr>
        <w:pStyle w:val="BodyText"/>
        <w:tabs>
          <w:tab w:val="clear" w:pos="1559"/>
          <w:tab w:val="left" w:pos="1080"/>
        </w:tabs>
        <w:jc w:val="center"/>
        <w:rPr>
          <w:rFonts w:ascii="Verdana" w:hAnsi="Verdana"/>
          <w:b/>
          <w:bCs/>
          <w:sz w:val="20"/>
        </w:rPr>
      </w:pPr>
      <w:r w:rsidRPr="003B5FB7">
        <w:rPr>
          <w:rFonts w:ascii="Verdana" w:hAnsi="Verdana"/>
          <w:b/>
          <w:bCs/>
          <w:sz w:val="20"/>
        </w:rPr>
        <w:t>CONTENTS</w:t>
      </w:r>
    </w:p>
    <w:p w:rsidR="001E40DC" w:rsidRPr="00D737B1" w:rsidRDefault="001E40DC" w:rsidP="00A234AD">
      <w:pPr>
        <w:pStyle w:val="BodyText"/>
        <w:tabs>
          <w:tab w:val="clear" w:pos="1559"/>
          <w:tab w:val="left" w:pos="1080"/>
        </w:tabs>
        <w:jc w:val="center"/>
        <w:rPr>
          <w:rFonts w:ascii="Verdana" w:hAnsi="Verdana"/>
          <w:b/>
          <w:bCs/>
          <w:sz w:val="20"/>
        </w:rPr>
      </w:pPr>
    </w:p>
    <w:p w:rsidR="00A234AD" w:rsidRPr="00D737B1" w:rsidRDefault="009C49AA" w:rsidP="009A4651">
      <w:pPr>
        <w:pStyle w:val="BodyText"/>
        <w:tabs>
          <w:tab w:val="clear" w:pos="1559"/>
          <w:tab w:val="left" w:pos="1080"/>
        </w:tabs>
        <w:jc w:val="center"/>
        <w:rPr>
          <w:rFonts w:ascii="Verdana" w:hAnsi="Verdana"/>
          <w:sz w:val="20"/>
        </w:rPr>
      </w:pPr>
      <w:r w:rsidRPr="007B5F66" w:rsidDel="009A4651">
        <w:rPr>
          <w:rFonts w:ascii="Verdana" w:hAnsi="Verdana"/>
          <w:b/>
          <w:bCs/>
          <w:sz w:val="20"/>
          <w:highlight w:val="yellow"/>
        </w:rPr>
        <w:t xml:space="preserve"> </w:t>
      </w:r>
    </w:p>
    <w:p w:rsidR="003B5FB7" w:rsidRDefault="008A3160" w:rsidP="003B5FB7">
      <w:pPr>
        <w:pStyle w:val="BodyText"/>
        <w:tabs>
          <w:tab w:val="clear" w:pos="709"/>
        </w:tabs>
        <w:jc w:val="left"/>
        <w:rPr>
          <w:rFonts w:ascii="Verdana" w:hAnsi="Verdana"/>
          <w:sz w:val="20"/>
        </w:rPr>
      </w:pPr>
      <w:r>
        <w:rPr>
          <w:rFonts w:ascii="Verdana" w:hAnsi="Verdana"/>
          <w:sz w:val="20"/>
        </w:rPr>
        <w:t>1.</w:t>
      </w:r>
      <w:r w:rsidR="001B1103">
        <w:rPr>
          <w:rFonts w:ascii="Verdana" w:hAnsi="Verdana"/>
          <w:sz w:val="20"/>
        </w:rPr>
        <w:t xml:space="preserve"> </w:t>
      </w:r>
      <w:r w:rsidR="009A4651">
        <w:rPr>
          <w:rFonts w:ascii="Verdana" w:hAnsi="Verdana"/>
          <w:sz w:val="20"/>
        </w:rPr>
        <w:t>I</w:t>
      </w:r>
      <w:r w:rsidR="003B5FB7" w:rsidRPr="003B5FB7">
        <w:rPr>
          <w:rFonts w:ascii="Verdana" w:hAnsi="Verdana"/>
          <w:sz w:val="20"/>
        </w:rPr>
        <w:t xml:space="preserve">ntroduction to the </w:t>
      </w:r>
      <w:r>
        <w:rPr>
          <w:rFonts w:ascii="Verdana" w:hAnsi="Verdana"/>
          <w:sz w:val="20"/>
        </w:rPr>
        <w:t>t</w:t>
      </w:r>
      <w:r w:rsidR="003B5FB7" w:rsidRPr="003B5FB7">
        <w:rPr>
          <w:rFonts w:ascii="Verdana" w:hAnsi="Verdana"/>
          <w:sz w:val="20"/>
        </w:rPr>
        <w:t>ender process</w:t>
      </w:r>
      <w:r w:rsidR="001B1103">
        <w:rPr>
          <w:rFonts w:ascii="Verdana" w:hAnsi="Verdana"/>
          <w:sz w:val="20"/>
        </w:rPr>
        <w:t>………………………………………………………</w:t>
      </w:r>
      <w:r w:rsidR="00DE5AC2">
        <w:rPr>
          <w:rFonts w:ascii="Verdana" w:hAnsi="Verdana"/>
          <w:sz w:val="20"/>
        </w:rPr>
        <w:t>…….</w:t>
      </w:r>
      <w:r w:rsidR="001B1103">
        <w:rPr>
          <w:rFonts w:ascii="Verdana" w:hAnsi="Verdana"/>
          <w:sz w:val="20"/>
        </w:rPr>
        <w:t>7</w:t>
      </w:r>
    </w:p>
    <w:p w:rsidR="001B1103" w:rsidRPr="003B5FB7" w:rsidRDefault="001B1103" w:rsidP="003B5FB7">
      <w:pPr>
        <w:pStyle w:val="BodyText"/>
        <w:tabs>
          <w:tab w:val="clear" w:pos="709"/>
        </w:tabs>
        <w:jc w:val="left"/>
        <w:rPr>
          <w:rFonts w:ascii="Verdana" w:hAnsi="Verdana"/>
          <w:sz w:val="20"/>
        </w:rPr>
      </w:pPr>
      <w:r>
        <w:rPr>
          <w:rFonts w:ascii="Verdana" w:hAnsi="Verdana"/>
          <w:sz w:val="20"/>
        </w:rPr>
        <w:t>2.</w:t>
      </w:r>
      <w:r w:rsidR="00DE5AC2">
        <w:rPr>
          <w:rFonts w:ascii="Verdana" w:hAnsi="Verdana"/>
          <w:sz w:val="20"/>
        </w:rPr>
        <w:t xml:space="preserve"> Regulatory Framework……………………………………………………………………………….8</w:t>
      </w:r>
    </w:p>
    <w:p w:rsidR="003B5FB7" w:rsidRPr="003B5FB7" w:rsidRDefault="00DE5AC2" w:rsidP="003B5FB7">
      <w:pPr>
        <w:pStyle w:val="BodyText"/>
        <w:tabs>
          <w:tab w:val="clear" w:pos="709"/>
        </w:tabs>
        <w:jc w:val="left"/>
        <w:rPr>
          <w:rFonts w:ascii="Verdana" w:hAnsi="Verdana"/>
          <w:sz w:val="20"/>
        </w:rPr>
      </w:pPr>
      <w:r>
        <w:rPr>
          <w:rFonts w:ascii="Verdana" w:hAnsi="Verdana"/>
          <w:sz w:val="20"/>
        </w:rPr>
        <w:t>3. Instructions to Qualifying Bidders…………………………………………………………….11</w:t>
      </w:r>
    </w:p>
    <w:p w:rsidR="003B5FB7" w:rsidRPr="003B5FB7" w:rsidRDefault="00DE5AC2" w:rsidP="003B5FB7">
      <w:pPr>
        <w:pStyle w:val="BodyText"/>
        <w:tabs>
          <w:tab w:val="clear" w:pos="709"/>
        </w:tabs>
        <w:jc w:val="left"/>
        <w:rPr>
          <w:rFonts w:ascii="Verdana" w:hAnsi="Verdana"/>
          <w:sz w:val="20"/>
        </w:rPr>
      </w:pPr>
      <w:r>
        <w:rPr>
          <w:rFonts w:ascii="Verdana" w:hAnsi="Verdana"/>
          <w:sz w:val="20"/>
        </w:rPr>
        <w:t>4. Mark up of documents during the ITT stage……………………………………………14</w:t>
      </w:r>
    </w:p>
    <w:p w:rsidR="003B5FB7" w:rsidRPr="003B5FB7" w:rsidRDefault="00DE5AC2" w:rsidP="003B5FB7">
      <w:pPr>
        <w:pStyle w:val="BodyText"/>
        <w:tabs>
          <w:tab w:val="clear" w:pos="709"/>
        </w:tabs>
        <w:jc w:val="left"/>
        <w:rPr>
          <w:rFonts w:ascii="Verdana" w:hAnsi="Verdana"/>
          <w:sz w:val="20"/>
        </w:rPr>
      </w:pPr>
      <w:r>
        <w:rPr>
          <w:rFonts w:ascii="Verdana" w:hAnsi="Verdana"/>
          <w:sz w:val="20"/>
        </w:rPr>
        <w:t>5. ITT submissions…………………………………………………………………………………………16</w:t>
      </w:r>
    </w:p>
    <w:p w:rsidR="003B5FB7" w:rsidRPr="003B5FB7" w:rsidRDefault="00DE5AC2" w:rsidP="003B5FB7">
      <w:pPr>
        <w:pStyle w:val="BodyText"/>
        <w:tabs>
          <w:tab w:val="clear" w:pos="709"/>
        </w:tabs>
        <w:jc w:val="left"/>
        <w:rPr>
          <w:rFonts w:ascii="Verdana" w:hAnsi="Verdana"/>
          <w:sz w:val="20"/>
        </w:rPr>
      </w:pPr>
      <w:r>
        <w:rPr>
          <w:rFonts w:ascii="Verdana" w:hAnsi="Verdana"/>
          <w:sz w:val="20"/>
        </w:rPr>
        <w:t>6. Assumptions for ITT submissions……………………………………………………………..17</w:t>
      </w:r>
    </w:p>
    <w:p w:rsidR="003B5FB7" w:rsidRPr="003B5FB7" w:rsidRDefault="00DE5AC2" w:rsidP="003B5FB7">
      <w:pPr>
        <w:pStyle w:val="BodyText"/>
        <w:tabs>
          <w:tab w:val="clear" w:pos="709"/>
        </w:tabs>
        <w:jc w:val="left"/>
        <w:rPr>
          <w:rFonts w:ascii="Verdana" w:hAnsi="Verdana"/>
          <w:sz w:val="20"/>
        </w:rPr>
      </w:pPr>
      <w:r>
        <w:rPr>
          <w:rFonts w:ascii="Verdana" w:hAnsi="Verdana"/>
          <w:sz w:val="20"/>
        </w:rPr>
        <w:t>7. Evaluation of ITT submissions…………………………………………………………………..20</w:t>
      </w:r>
    </w:p>
    <w:p w:rsidR="00DE5AC2" w:rsidRDefault="00DE5AC2" w:rsidP="003B5FB7">
      <w:pPr>
        <w:pStyle w:val="BodyText"/>
        <w:tabs>
          <w:tab w:val="clear" w:pos="709"/>
        </w:tabs>
        <w:jc w:val="left"/>
        <w:rPr>
          <w:rFonts w:ascii="Verdana" w:hAnsi="Verdana"/>
          <w:sz w:val="20"/>
        </w:rPr>
      </w:pPr>
      <w:r>
        <w:rPr>
          <w:rFonts w:ascii="Verdana" w:hAnsi="Verdana"/>
          <w:sz w:val="20"/>
        </w:rPr>
        <w:t>8. Selection of preferred bidder and next steps…………………………………………..26</w:t>
      </w:r>
    </w:p>
    <w:p w:rsidR="003B5FB7" w:rsidRPr="003B5FB7" w:rsidRDefault="00DE5AC2" w:rsidP="00DE5AC2">
      <w:pPr>
        <w:pStyle w:val="BodyText"/>
        <w:tabs>
          <w:tab w:val="clear" w:pos="709"/>
        </w:tabs>
        <w:jc w:val="left"/>
        <w:rPr>
          <w:rFonts w:ascii="Verdana" w:hAnsi="Verdana"/>
          <w:sz w:val="20"/>
        </w:rPr>
      </w:pPr>
      <w:r>
        <w:rPr>
          <w:rFonts w:ascii="Verdana" w:hAnsi="Verdana"/>
          <w:sz w:val="20"/>
        </w:rPr>
        <w:t>9. Miscellaneous……………………………………………………………………………………………..27</w:t>
      </w:r>
    </w:p>
    <w:p w:rsidR="00DE5AC2" w:rsidRDefault="00DE5AC2" w:rsidP="003B5FB7">
      <w:pPr>
        <w:pStyle w:val="BodyText"/>
        <w:tabs>
          <w:tab w:val="clear" w:pos="709"/>
        </w:tabs>
        <w:jc w:val="left"/>
        <w:rPr>
          <w:rFonts w:ascii="Verdana" w:hAnsi="Verdana"/>
          <w:b/>
          <w:sz w:val="20"/>
        </w:rPr>
      </w:pPr>
      <w:r>
        <w:rPr>
          <w:rFonts w:ascii="Verdana" w:hAnsi="Verdana"/>
          <w:b/>
          <w:sz w:val="20"/>
        </w:rPr>
        <w:t>Appendix 1: Qualifying bidder meeting schedule…………………………28</w:t>
      </w:r>
    </w:p>
    <w:p w:rsidR="00DE5AC2" w:rsidRDefault="00DE5AC2" w:rsidP="003B5FB7">
      <w:pPr>
        <w:pStyle w:val="BodyText"/>
        <w:tabs>
          <w:tab w:val="clear" w:pos="709"/>
        </w:tabs>
        <w:jc w:val="left"/>
        <w:rPr>
          <w:rFonts w:ascii="Verdana" w:hAnsi="Verdana"/>
          <w:b/>
          <w:sz w:val="20"/>
        </w:rPr>
      </w:pPr>
      <w:r>
        <w:rPr>
          <w:rFonts w:ascii="Verdana" w:hAnsi="Verdana"/>
          <w:b/>
          <w:sz w:val="20"/>
        </w:rPr>
        <w:t>Appendix 2: Qualifying bidder requirements……………………………….29</w:t>
      </w:r>
    </w:p>
    <w:p w:rsidR="00DE5AC2" w:rsidRDefault="00DE5AC2" w:rsidP="003B5FB7">
      <w:pPr>
        <w:pStyle w:val="BodyText"/>
        <w:tabs>
          <w:tab w:val="clear" w:pos="709"/>
        </w:tabs>
        <w:jc w:val="left"/>
        <w:rPr>
          <w:rFonts w:ascii="Verdana" w:hAnsi="Verdana"/>
          <w:b/>
          <w:sz w:val="20"/>
        </w:rPr>
      </w:pPr>
      <w:r>
        <w:rPr>
          <w:rFonts w:ascii="Verdana" w:hAnsi="Verdana"/>
          <w:b/>
          <w:sz w:val="20"/>
        </w:rPr>
        <w:t>Appendix 3: Qualifying bidder ITT certificate………………………………42</w:t>
      </w:r>
    </w:p>
    <w:p w:rsidR="00DE5AC2" w:rsidRDefault="00DE5AC2" w:rsidP="003B5FB7">
      <w:pPr>
        <w:pStyle w:val="BodyText"/>
        <w:tabs>
          <w:tab w:val="clear" w:pos="709"/>
        </w:tabs>
        <w:jc w:val="left"/>
        <w:rPr>
          <w:rFonts w:ascii="Verdana" w:hAnsi="Verdana"/>
          <w:b/>
          <w:sz w:val="20"/>
        </w:rPr>
      </w:pPr>
      <w:r>
        <w:rPr>
          <w:rFonts w:ascii="Verdana" w:hAnsi="Verdana"/>
          <w:b/>
          <w:sz w:val="20"/>
        </w:rPr>
        <w:t>Appendix 4: Confidentiality………………………………………………………..44</w:t>
      </w:r>
    </w:p>
    <w:p w:rsidR="00DE5AC2" w:rsidRDefault="00DE5AC2" w:rsidP="003B5FB7">
      <w:pPr>
        <w:pStyle w:val="BodyText"/>
        <w:tabs>
          <w:tab w:val="clear" w:pos="709"/>
        </w:tabs>
        <w:jc w:val="left"/>
        <w:rPr>
          <w:rFonts w:ascii="Verdana" w:hAnsi="Verdana"/>
          <w:b/>
          <w:sz w:val="20"/>
        </w:rPr>
      </w:pPr>
      <w:r>
        <w:rPr>
          <w:rFonts w:ascii="Verdana" w:hAnsi="Verdana"/>
          <w:b/>
          <w:sz w:val="20"/>
        </w:rPr>
        <w:t>Appendix 5: Glossary………………………………………………………………..45</w:t>
      </w:r>
    </w:p>
    <w:p w:rsidR="005D687B" w:rsidRPr="00D737B1" w:rsidRDefault="005D687B" w:rsidP="005D687B">
      <w:pPr>
        <w:pStyle w:val="BodyText"/>
        <w:tabs>
          <w:tab w:val="clear" w:pos="709"/>
        </w:tabs>
        <w:jc w:val="left"/>
        <w:rPr>
          <w:rFonts w:ascii="Verdana" w:hAnsi="Verdana"/>
          <w:sz w:val="20"/>
        </w:rPr>
        <w:sectPr w:rsidR="005D687B" w:rsidRPr="00D737B1">
          <w:headerReference w:type="default" r:id="rId15"/>
          <w:pgSz w:w="11907" w:h="16840" w:code="9"/>
          <w:pgMar w:top="1701" w:right="1559" w:bottom="1758" w:left="1559" w:header="709" w:footer="709" w:gutter="0"/>
          <w:cols w:space="720"/>
          <w:noEndnote/>
        </w:sectPr>
      </w:pPr>
    </w:p>
    <w:p w:rsidR="008E5C5D" w:rsidRPr="003144AD" w:rsidRDefault="003B5FB7" w:rsidP="00794CF7">
      <w:pPr>
        <w:pStyle w:val="Heading1"/>
        <w:numPr>
          <w:ilvl w:val="0"/>
          <w:numId w:val="10"/>
        </w:numPr>
        <w:jc w:val="left"/>
        <w:rPr>
          <w:rFonts w:ascii="Verdana" w:hAnsi="Verdana"/>
          <w:szCs w:val="22"/>
        </w:rPr>
      </w:pPr>
      <w:bookmarkStart w:id="2" w:name="_Toc210033209"/>
      <w:bookmarkStart w:id="3" w:name="_Toc231812520"/>
      <w:bookmarkStart w:id="4" w:name="_Ref231877864"/>
      <w:bookmarkStart w:id="5" w:name="_Toc233782500"/>
      <w:bookmarkStart w:id="6" w:name="_Toc241562331"/>
      <w:bookmarkStart w:id="7" w:name="_Toc249178460"/>
      <w:bookmarkStart w:id="8" w:name="_Toc210033214"/>
      <w:r w:rsidRPr="003B5FB7">
        <w:rPr>
          <w:rFonts w:ascii="Verdana" w:hAnsi="Verdana"/>
          <w:szCs w:val="22"/>
        </w:rPr>
        <w:lastRenderedPageBreak/>
        <w:t xml:space="preserve">INTRODUCTION TO THE </w:t>
      </w:r>
      <w:bookmarkEnd w:id="2"/>
      <w:r w:rsidRPr="003B5FB7">
        <w:rPr>
          <w:rFonts w:ascii="Verdana" w:hAnsi="Verdana"/>
          <w:szCs w:val="22"/>
        </w:rPr>
        <w:t>Tender Process</w:t>
      </w:r>
      <w:bookmarkEnd w:id="3"/>
      <w:bookmarkEnd w:id="4"/>
      <w:bookmarkEnd w:id="5"/>
      <w:bookmarkEnd w:id="6"/>
      <w:bookmarkEnd w:id="7"/>
    </w:p>
    <w:p w:rsidR="00F9311B" w:rsidRDefault="00F9311B" w:rsidP="00794CF7">
      <w:pPr>
        <w:pStyle w:val="Heading2"/>
        <w:numPr>
          <w:ilvl w:val="1"/>
          <w:numId w:val="10"/>
        </w:numPr>
        <w:rPr>
          <w:rFonts w:ascii="Verdana" w:hAnsi="Verdana"/>
          <w:sz w:val="20"/>
        </w:rPr>
      </w:pPr>
      <w:bookmarkStart w:id="9" w:name="_Toc241562332"/>
      <w:bookmarkStart w:id="10" w:name="_Toc231812521"/>
      <w:bookmarkStart w:id="11" w:name="_Toc233782501"/>
      <w:r>
        <w:rPr>
          <w:rFonts w:ascii="Verdana" w:hAnsi="Verdana"/>
          <w:sz w:val="20"/>
        </w:rPr>
        <w:t xml:space="preserve">Introduction </w:t>
      </w:r>
    </w:p>
    <w:p w:rsidR="00B156B4" w:rsidRPr="00B156B4" w:rsidRDefault="00B156B4" w:rsidP="00794CF7">
      <w:pPr>
        <w:pStyle w:val="Heading3"/>
        <w:numPr>
          <w:ilvl w:val="2"/>
          <w:numId w:val="10"/>
        </w:numPr>
        <w:rPr>
          <w:rFonts w:ascii="Verdana" w:hAnsi="Verdana" w:cs="Arial"/>
          <w:sz w:val="20"/>
        </w:rPr>
      </w:pPr>
      <w:r w:rsidRPr="00B156B4">
        <w:rPr>
          <w:rFonts w:ascii="Verdana" w:hAnsi="Verdana" w:cs="Arial"/>
          <w:sz w:val="20"/>
        </w:rPr>
        <w:t>Ofgem launched the first round of competitive tenders for offshore electricity transmission owner (</w:t>
      </w:r>
      <w:r w:rsidRPr="00B156B4">
        <w:rPr>
          <w:rFonts w:ascii="Verdana" w:hAnsi="Verdana" w:cs="Arial"/>
          <w:bCs/>
          <w:sz w:val="20"/>
        </w:rPr>
        <w:t>OFTO</w:t>
      </w:r>
      <w:r w:rsidRPr="00B156B4">
        <w:rPr>
          <w:rFonts w:ascii="Verdana" w:hAnsi="Verdana" w:cs="Arial"/>
          <w:sz w:val="20"/>
        </w:rPr>
        <w:t>) licences</w:t>
      </w:r>
      <w:r>
        <w:rPr>
          <w:rFonts w:ascii="Verdana" w:hAnsi="Verdana" w:cs="Arial"/>
          <w:sz w:val="20"/>
        </w:rPr>
        <w:t xml:space="preserve"> </w:t>
      </w:r>
      <w:r w:rsidRPr="00B156B4">
        <w:rPr>
          <w:rFonts w:ascii="Verdana" w:hAnsi="Verdana" w:cs="Arial"/>
          <w:sz w:val="20"/>
        </w:rPr>
        <w:t xml:space="preserve">on 22 July 2009. </w:t>
      </w:r>
      <w:r>
        <w:rPr>
          <w:rFonts w:ascii="Verdana" w:hAnsi="Verdana" w:cs="Arial"/>
          <w:sz w:val="20"/>
        </w:rPr>
        <w:t xml:space="preserve"> The purpose of these tenders is to identify new offshore </w:t>
      </w:r>
      <w:r w:rsidRPr="00B156B4">
        <w:rPr>
          <w:rFonts w:ascii="Verdana" w:hAnsi="Verdana" w:cs="Arial"/>
          <w:sz w:val="20"/>
        </w:rPr>
        <w:t xml:space="preserve">transmission licensees to own and </w:t>
      </w:r>
      <w:r>
        <w:rPr>
          <w:rFonts w:ascii="Verdana" w:hAnsi="Verdana" w:cs="Arial"/>
          <w:sz w:val="20"/>
        </w:rPr>
        <w:t xml:space="preserve">manage </w:t>
      </w:r>
      <w:r w:rsidRPr="00B156B4">
        <w:rPr>
          <w:rFonts w:ascii="Verdana" w:hAnsi="Verdana" w:cs="Arial"/>
          <w:sz w:val="20"/>
        </w:rPr>
        <w:t xml:space="preserve">transmission assets which have been, or are being, constructed by the </w:t>
      </w:r>
      <w:r>
        <w:rPr>
          <w:rFonts w:ascii="Verdana" w:hAnsi="Verdana" w:cs="Arial"/>
          <w:sz w:val="20"/>
        </w:rPr>
        <w:t>D</w:t>
      </w:r>
      <w:r w:rsidRPr="00B156B4">
        <w:rPr>
          <w:rFonts w:ascii="Verdana" w:hAnsi="Verdana" w:cs="Arial"/>
          <w:sz w:val="20"/>
        </w:rPr>
        <w:t>evelopers of the relevant of</w:t>
      </w:r>
      <w:r>
        <w:rPr>
          <w:rFonts w:ascii="Verdana" w:hAnsi="Verdana" w:cs="Arial"/>
          <w:sz w:val="20"/>
        </w:rPr>
        <w:t xml:space="preserve">fshore wind generation projects, known as Qualifying Projects.  </w:t>
      </w:r>
    </w:p>
    <w:p w:rsidR="00F9311B" w:rsidRDefault="00B156B4" w:rsidP="00794CF7">
      <w:pPr>
        <w:pStyle w:val="Heading3"/>
        <w:numPr>
          <w:ilvl w:val="2"/>
          <w:numId w:val="10"/>
        </w:numPr>
        <w:rPr>
          <w:rFonts w:ascii="Verdana" w:hAnsi="Verdana" w:cs="Arial"/>
          <w:color w:val="000000"/>
          <w:sz w:val="20"/>
          <w:lang w:eastAsia="en-GB"/>
        </w:rPr>
      </w:pPr>
      <w:r w:rsidRPr="00B156B4">
        <w:rPr>
          <w:rFonts w:ascii="Verdana" w:hAnsi="Verdana" w:cs="Arial"/>
          <w:color w:val="000000"/>
          <w:sz w:val="20"/>
          <w:lang w:eastAsia="en-GB"/>
        </w:rPr>
        <w:t xml:space="preserve">Successful </w:t>
      </w:r>
      <w:r>
        <w:rPr>
          <w:rFonts w:ascii="Verdana" w:hAnsi="Verdana" w:cs="Arial"/>
          <w:color w:val="000000"/>
          <w:sz w:val="20"/>
          <w:lang w:eastAsia="en-GB"/>
        </w:rPr>
        <w:t>B</w:t>
      </w:r>
      <w:r w:rsidRPr="00B156B4">
        <w:rPr>
          <w:rFonts w:ascii="Verdana" w:hAnsi="Verdana" w:cs="Arial"/>
          <w:color w:val="000000"/>
          <w:sz w:val="20"/>
          <w:lang w:eastAsia="en-GB"/>
        </w:rPr>
        <w:t xml:space="preserve">idders </w:t>
      </w:r>
      <w:r>
        <w:rPr>
          <w:rFonts w:ascii="Verdana" w:hAnsi="Verdana" w:cs="Arial"/>
          <w:color w:val="000000"/>
          <w:sz w:val="20"/>
          <w:lang w:eastAsia="en-GB"/>
        </w:rPr>
        <w:t xml:space="preserve">in this process </w:t>
      </w:r>
      <w:r w:rsidRPr="00B156B4">
        <w:rPr>
          <w:rFonts w:ascii="Verdana" w:hAnsi="Verdana" w:cs="Arial"/>
          <w:color w:val="000000"/>
          <w:sz w:val="20"/>
          <w:lang w:eastAsia="en-GB"/>
        </w:rPr>
        <w:t xml:space="preserve">will </w:t>
      </w:r>
      <w:r>
        <w:rPr>
          <w:rFonts w:ascii="Verdana" w:hAnsi="Verdana" w:cs="Arial"/>
          <w:color w:val="000000"/>
          <w:sz w:val="20"/>
          <w:lang w:eastAsia="en-GB"/>
        </w:rPr>
        <w:t xml:space="preserve">be granted </w:t>
      </w:r>
      <w:r w:rsidRPr="00B156B4">
        <w:rPr>
          <w:rFonts w:ascii="Verdana" w:hAnsi="Verdana" w:cs="Arial"/>
          <w:color w:val="000000"/>
          <w:sz w:val="20"/>
          <w:lang w:eastAsia="en-GB"/>
        </w:rPr>
        <w:t>a</w:t>
      </w:r>
      <w:r>
        <w:rPr>
          <w:rFonts w:ascii="Verdana" w:hAnsi="Verdana" w:cs="Arial"/>
          <w:color w:val="000000"/>
          <w:sz w:val="20"/>
          <w:lang w:eastAsia="en-GB"/>
        </w:rPr>
        <w:t xml:space="preserve">n offshore </w:t>
      </w:r>
      <w:r w:rsidRPr="00B156B4">
        <w:rPr>
          <w:rFonts w:ascii="Verdana" w:hAnsi="Verdana" w:cs="Arial"/>
          <w:color w:val="000000"/>
          <w:sz w:val="20"/>
          <w:lang w:eastAsia="en-GB"/>
        </w:rPr>
        <w:t>transmission licence and an entitlement to an associated 20 year revenue stream in return for purchasing the transmission assets from the offshore wind generator and operating them in accordance with the obligations of th</w:t>
      </w:r>
      <w:r>
        <w:rPr>
          <w:rFonts w:ascii="Verdana" w:hAnsi="Verdana" w:cs="Arial"/>
          <w:color w:val="000000"/>
          <w:sz w:val="20"/>
          <w:lang w:eastAsia="en-GB"/>
        </w:rPr>
        <w:t>is</w:t>
      </w:r>
      <w:r w:rsidRPr="00B156B4">
        <w:rPr>
          <w:rFonts w:ascii="Verdana" w:hAnsi="Verdana" w:cs="Arial"/>
          <w:color w:val="000000"/>
          <w:sz w:val="20"/>
          <w:lang w:eastAsia="en-GB"/>
        </w:rPr>
        <w:t xml:space="preserve"> licence. </w:t>
      </w:r>
      <w:r>
        <w:rPr>
          <w:rFonts w:ascii="Verdana" w:hAnsi="Verdana" w:cs="Arial"/>
          <w:color w:val="000000"/>
          <w:sz w:val="20"/>
          <w:lang w:eastAsia="en-GB"/>
        </w:rPr>
        <w:t xml:space="preserve"> </w:t>
      </w:r>
    </w:p>
    <w:p w:rsidR="00B156B4" w:rsidRPr="00B156B4" w:rsidRDefault="00B156B4" w:rsidP="00794CF7">
      <w:pPr>
        <w:pStyle w:val="Heading3"/>
        <w:numPr>
          <w:ilvl w:val="2"/>
          <w:numId w:val="10"/>
        </w:numPr>
        <w:rPr>
          <w:rFonts w:ascii="Verdana" w:hAnsi="Verdana"/>
          <w:sz w:val="20"/>
          <w:lang w:eastAsia="en-GB"/>
        </w:rPr>
      </w:pPr>
      <w:r w:rsidRPr="00B156B4">
        <w:rPr>
          <w:rFonts w:ascii="Verdana" w:hAnsi="Verdana"/>
          <w:sz w:val="20"/>
          <w:lang w:eastAsia="en-GB"/>
        </w:rPr>
        <w:t xml:space="preserve">This ITT Document sets out the requirements </w:t>
      </w:r>
      <w:r w:rsidR="00733EA7">
        <w:rPr>
          <w:rFonts w:ascii="Verdana" w:hAnsi="Verdana"/>
          <w:sz w:val="20"/>
          <w:lang w:eastAsia="en-GB"/>
        </w:rPr>
        <w:t xml:space="preserve">which </w:t>
      </w:r>
      <w:r w:rsidRPr="00B156B4">
        <w:rPr>
          <w:rFonts w:ascii="Verdana" w:hAnsi="Verdana"/>
          <w:sz w:val="20"/>
          <w:lang w:eastAsia="en-GB"/>
        </w:rPr>
        <w:t xml:space="preserve">Qualifying Bidders for each Qualifying Project in this Tender Round are required to demonstrate to </w:t>
      </w:r>
      <w:proofErr w:type="spellStart"/>
      <w:r w:rsidRPr="00B156B4">
        <w:rPr>
          <w:rFonts w:ascii="Verdana" w:hAnsi="Verdana"/>
          <w:sz w:val="20"/>
          <w:lang w:eastAsia="en-GB"/>
        </w:rPr>
        <w:t>Ofgem’s</w:t>
      </w:r>
      <w:proofErr w:type="spellEnd"/>
      <w:r w:rsidRPr="00B156B4">
        <w:rPr>
          <w:rFonts w:ascii="Verdana" w:hAnsi="Verdana"/>
          <w:sz w:val="20"/>
          <w:lang w:eastAsia="en-GB"/>
        </w:rPr>
        <w:t xml:space="preserve"> satisfaction to identify a Preferred Bidder for each Qualifying Project.</w:t>
      </w:r>
    </w:p>
    <w:p w:rsidR="008E5C5D" w:rsidRPr="00D737B1" w:rsidRDefault="003B5FB7" w:rsidP="00794CF7">
      <w:pPr>
        <w:pStyle w:val="Heading2"/>
        <w:numPr>
          <w:ilvl w:val="1"/>
          <w:numId w:val="10"/>
        </w:numPr>
        <w:rPr>
          <w:rFonts w:ascii="Verdana" w:hAnsi="Verdana"/>
          <w:sz w:val="20"/>
        </w:rPr>
      </w:pPr>
      <w:r w:rsidRPr="003B5FB7">
        <w:rPr>
          <w:rFonts w:ascii="Verdana" w:hAnsi="Verdana"/>
          <w:sz w:val="20"/>
        </w:rPr>
        <w:t xml:space="preserve">Tender </w:t>
      </w:r>
      <w:r w:rsidR="00FD5905">
        <w:rPr>
          <w:rFonts w:ascii="Verdana" w:hAnsi="Verdana"/>
          <w:sz w:val="20"/>
        </w:rPr>
        <w:t>F</w:t>
      </w:r>
      <w:r w:rsidRPr="003B5FB7">
        <w:rPr>
          <w:rFonts w:ascii="Verdana" w:hAnsi="Verdana"/>
          <w:sz w:val="20"/>
        </w:rPr>
        <w:t>ramework</w:t>
      </w:r>
      <w:bookmarkEnd w:id="9"/>
      <w:bookmarkEnd w:id="10"/>
      <w:bookmarkEnd w:id="11"/>
    </w:p>
    <w:p w:rsidR="008E5C5D" w:rsidRDefault="003B5FB7" w:rsidP="00794CF7">
      <w:pPr>
        <w:pStyle w:val="Heading3"/>
        <w:numPr>
          <w:ilvl w:val="2"/>
          <w:numId w:val="10"/>
        </w:numPr>
        <w:rPr>
          <w:rFonts w:ascii="Verdana" w:hAnsi="Verdana"/>
          <w:sz w:val="20"/>
        </w:rPr>
      </w:pPr>
      <w:bookmarkStart w:id="12" w:name="_Toc210033212"/>
      <w:bookmarkStart w:id="13" w:name="_Toc231812522"/>
      <w:r w:rsidRPr="0057051A">
        <w:rPr>
          <w:rFonts w:ascii="Verdana" w:hAnsi="Verdana"/>
          <w:sz w:val="20"/>
        </w:rPr>
        <w:t>The Tender Regulations and Tender Rules set out the rules and requirements that govern the Tender Process and are available on the Ofgem website and via the Portal.</w:t>
      </w:r>
    </w:p>
    <w:p w:rsidR="008E5C5D" w:rsidRPr="00D737B1" w:rsidRDefault="003B5FB7" w:rsidP="008E5C5D">
      <w:pPr>
        <w:pStyle w:val="Heading2"/>
        <w:rPr>
          <w:rFonts w:ascii="Verdana" w:hAnsi="Verdana"/>
          <w:sz w:val="20"/>
        </w:rPr>
      </w:pPr>
      <w:bookmarkStart w:id="14" w:name="_Toc241407989"/>
      <w:bookmarkStart w:id="15" w:name="_Toc241408034"/>
      <w:bookmarkStart w:id="16" w:name="_Toc241562333"/>
      <w:bookmarkEnd w:id="14"/>
      <w:bookmarkEnd w:id="15"/>
      <w:r w:rsidRPr="003B5FB7">
        <w:rPr>
          <w:rFonts w:ascii="Verdana" w:hAnsi="Verdana"/>
          <w:sz w:val="20"/>
        </w:rPr>
        <w:t>Amendments to the Tender Rules</w:t>
      </w:r>
      <w:bookmarkEnd w:id="16"/>
    </w:p>
    <w:p w:rsidR="0057051A" w:rsidRPr="0057051A" w:rsidRDefault="003B5FB7" w:rsidP="0057051A">
      <w:pPr>
        <w:pStyle w:val="Heading3"/>
        <w:rPr>
          <w:rFonts w:ascii="Verdana" w:hAnsi="Verdana"/>
          <w:sz w:val="20"/>
        </w:rPr>
      </w:pPr>
      <w:r w:rsidRPr="0057051A">
        <w:rPr>
          <w:rFonts w:ascii="Verdana" w:hAnsi="Verdana"/>
          <w:sz w:val="20"/>
        </w:rPr>
        <w:t>This ITT Do</w:t>
      </w:r>
      <w:r w:rsidR="00D94708">
        <w:rPr>
          <w:rFonts w:ascii="Verdana" w:hAnsi="Verdana"/>
          <w:sz w:val="20"/>
        </w:rPr>
        <w:t xml:space="preserve">cument </w:t>
      </w:r>
      <w:r w:rsidRPr="0057051A">
        <w:rPr>
          <w:rFonts w:ascii="Verdana" w:hAnsi="Verdana"/>
          <w:sz w:val="20"/>
        </w:rPr>
        <w:t>does not amend anything in the Tender Rules, but provides a greater level of detail in relation to the specific requirements for the ITT Stage.</w:t>
      </w:r>
      <w:r w:rsidR="00D94708">
        <w:rPr>
          <w:rFonts w:ascii="Verdana" w:hAnsi="Verdana"/>
          <w:sz w:val="20"/>
        </w:rPr>
        <w:t xml:space="preserve">  It also provides a more </w:t>
      </w:r>
      <w:r w:rsidR="003F01A1">
        <w:rPr>
          <w:rFonts w:ascii="Verdana" w:hAnsi="Verdana"/>
          <w:sz w:val="20"/>
        </w:rPr>
        <w:t>detailed timetable for the ITT s</w:t>
      </w:r>
      <w:r w:rsidR="00D94708">
        <w:rPr>
          <w:rFonts w:ascii="Verdana" w:hAnsi="Verdana"/>
          <w:sz w:val="20"/>
        </w:rPr>
        <w:t xml:space="preserve">tage. </w:t>
      </w:r>
    </w:p>
    <w:p w:rsidR="00CA11A6" w:rsidRPr="00CA11A6" w:rsidRDefault="00B156B4" w:rsidP="00CA11A6">
      <w:pPr>
        <w:pStyle w:val="Heading2"/>
        <w:rPr>
          <w:rFonts w:ascii="Verdana" w:hAnsi="Verdana"/>
          <w:sz w:val="20"/>
        </w:rPr>
      </w:pPr>
      <w:r>
        <w:rPr>
          <w:rFonts w:ascii="Verdana" w:hAnsi="Verdana"/>
          <w:sz w:val="20"/>
        </w:rPr>
        <w:t>Information on Q</w:t>
      </w:r>
      <w:r w:rsidR="00CA11A6" w:rsidRPr="00D356C6">
        <w:rPr>
          <w:rFonts w:ascii="Verdana" w:hAnsi="Verdana"/>
          <w:sz w:val="20"/>
        </w:rPr>
        <w:t>ualifying Project</w:t>
      </w:r>
      <w:r w:rsidR="00D356C6" w:rsidRPr="00D356C6">
        <w:rPr>
          <w:rFonts w:ascii="Verdana" w:hAnsi="Verdana"/>
          <w:sz w:val="20"/>
        </w:rPr>
        <w:t>s</w:t>
      </w:r>
      <w:r w:rsidR="00CA11A6" w:rsidRPr="00CA11A6">
        <w:rPr>
          <w:rFonts w:ascii="Verdana" w:hAnsi="Verdana"/>
          <w:sz w:val="20"/>
        </w:rPr>
        <w:t xml:space="preserve"> </w:t>
      </w:r>
    </w:p>
    <w:p w:rsidR="00CA11A6" w:rsidRPr="00CA11A6" w:rsidRDefault="00D356C6" w:rsidP="00CA11A6">
      <w:pPr>
        <w:pStyle w:val="Heading3"/>
        <w:rPr>
          <w:rFonts w:ascii="Verdana" w:hAnsi="Verdana"/>
          <w:sz w:val="20"/>
        </w:rPr>
      </w:pPr>
      <w:r>
        <w:rPr>
          <w:rFonts w:ascii="Verdana" w:hAnsi="Verdana"/>
          <w:sz w:val="20"/>
        </w:rPr>
        <w:t xml:space="preserve">Qualifying Bidders were provided detailed Information Memoranda for each Qualifying Project they entered into confidentiality agreements with at the Qualification to Tender (QTT) stage.  More significantly, Qualifying Bidders now have access to the Data Rooms for each Qualifying Project </w:t>
      </w:r>
      <w:r w:rsidR="00733EA7">
        <w:rPr>
          <w:rFonts w:ascii="Verdana" w:hAnsi="Verdana"/>
          <w:sz w:val="20"/>
        </w:rPr>
        <w:t xml:space="preserve">for which </w:t>
      </w:r>
      <w:r>
        <w:rPr>
          <w:rFonts w:ascii="Verdana" w:hAnsi="Verdana"/>
          <w:sz w:val="20"/>
        </w:rPr>
        <w:t>they have been shortlisted.  Further information on the Data Room is provided in Section 3 of this document.</w:t>
      </w:r>
    </w:p>
    <w:p w:rsidR="00CA11A6" w:rsidRPr="00FD1A8E" w:rsidRDefault="00CA11A6" w:rsidP="00CA11A6">
      <w:pPr>
        <w:pStyle w:val="Heading2"/>
        <w:rPr>
          <w:rFonts w:ascii="Verdana" w:hAnsi="Verdana"/>
          <w:sz w:val="20"/>
        </w:rPr>
      </w:pPr>
      <w:r w:rsidRPr="00FD1A8E">
        <w:rPr>
          <w:rFonts w:ascii="Verdana" w:hAnsi="Verdana"/>
          <w:sz w:val="20"/>
        </w:rPr>
        <w:t>Overview of Tender Process</w:t>
      </w:r>
    </w:p>
    <w:p w:rsidR="00CA11A6" w:rsidRPr="00957300" w:rsidRDefault="00CA11A6" w:rsidP="00CA11A6">
      <w:pPr>
        <w:pStyle w:val="Heading3"/>
        <w:rPr>
          <w:rFonts w:ascii="Verdana" w:hAnsi="Verdana"/>
          <w:b/>
          <w:sz w:val="20"/>
        </w:rPr>
      </w:pPr>
      <w:r w:rsidRPr="00957300">
        <w:rPr>
          <w:rFonts w:ascii="Verdana" w:hAnsi="Verdana"/>
          <w:b/>
          <w:sz w:val="20"/>
        </w:rPr>
        <w:t>Outcome of the Qualification to Tender Stage</w:t>
      </w:r>
    </w:p>
    <w:p w:rsidR="00CA11A6" w:rsidRDefault="00D356C6" w:rsidP="00D356C6">
      <w:pPr>
        <w:pStyle w:val="BodyText"/>
        <w:ind w:left="1570"/>
        <w:rPr>
          <w:rFonts w:ascii="Verdana" w:hAnsi="Verdana"/>
          <w:sz w:val="20"/>
        </w:rPr>
      </w:pPr>
      <w:r>
        <w:rPr>
          <w:rFonts w:ascii="Verdana" w:hAnsi="Verdana"/>
          <w:sz w:val="20"/>
        </w:rPr>
        <w:t xml:space="preserve">Following the completion of the QTT stage, Ofgem announced the Qualifying Bidder shortlist for each Qualifying Project.  These shortlists were published on </w:t>
      </w:r>
      <w:proofErr w:type="spellStart"/>
      <w:r>
        <w:rPr>
          <w:rFonts w:ascii="Verdana" w:hAnsi="Verdana"/>
          <w:sz w:val="20"/>
        </w:rPr>
        <w:t>Ofgem’s</w:t>
      </w:r>
      <w:proofErr w:type="spellEnd"/>
      <w:r>
        <w:rPr>
          <w:rFonts w:ascii="Verdana" w:hAnsi="Verdana"/>
          <w:sz w:val="20"/>
        </w:rPr>
        <w:t xml:space="preserve"> website </w:t>
      </w:r>
      <w:hyperlink r:id="rId16" w:history="1">
        <w:r w:rsidRPr="00D229EC">
          <w:rPr>
            <w:rStyle w:val="Hyperlink"/>
            <w:rFonts w:ascii="Verdana" w:hAnsi="Verdana"/>
            <w:sz w:val="20"/>
          </w:rPr>
          <w:t>www.ofgem.gov.uk</w:t>
        </w:r>
      </w:hyperlink>
      <w:r>
        <w:rPr>
          <w:rFonts w:ascii="Verdana" w:hAnsi="Verdana"/>
          <w:sz w:val="20"/>
        </w:rPr>
        <w:t xml:space="preserve">. </w:t>
      </w:r>
    </w:p>
    <w:p w:rsidR="00220692" w:rsidRPr="00957300" w:rsidRDefault="00957300" w:rsidP="00CA11A6">
      <w:pPr>
        <w:pStyle w:val="Heading3"/>
        <w:rPr>
          <w:rFonts w:ascii="Verdana" w:hAnsi="Verdana"/>
          <w:b/>
          <w:sz w:val="20"/>
        </w:rPr>
      </w:pPr>
      <w:r>
        <w:rPr>
          <w:rFonts w:ascii="Verdana" w:hAnsi="Verdana"/>
          <w:b/>
          <w:sz w:val="20"/>
        </w:rPr>
        <w:t>ITT Document and R</w:t>
      </w:r>
      <w:r w:rsidR="00220692" w:rsidRPr="00957300">
        <w:rPr>
          <w:rFonts w:ascii="Verdana" w:hAnsi="Verdana"/>
          <w:b/>
          <w:sz w:val="20"/>
        </w:rPr>
        <w:t>esponse</w:t>
      </w:r>
    </w:p>
    <w:p w:rsidR="00BA1C9E" w:rsidRDefault="00CA11A6" w:rsidP="00957300">
      <w:pPr>
        <w:pStyle w:val="Heading3"/>
        <w:numPr>
          <w:ilvl w:val="0"/>
          <w:numId w:val="0"/>
        </w:numPr>
        <w:ind w:left="1570"/>
        <w:rPr>
          <w:rFonts w:ascii="Verdana" w:hAnsi="Verdana"/>
          <w:sz w:val="20"/>
        </w:rPr>
      </w:pPr>
      <w:r w:rsidRPr="00220692">
        <w:rPr>
          <w:rFonts w:ascii="Verdana" w:hAnsi="Verdana"/>
          <w:sz w:val="20"/>
        </w:rPr>
        <w:t xml:space="preserve">Qualifying Bidders are </w:t>
      </w:r>
      <w:r w:rsidR="00D356C6">
        <w:rPr>
          <w:rFonts w:ascii="Verdana" w:hAnsi="Verdana"/>
          <w:sz w:val="20"/>
        </w:rPr>
        <w:t xml:space="preserve">now </w:t>
      </w:r>
      <w:r w:rsidRPr="00220692">
        <w:rPr>
          <w:rFonts w:ascii="Verdana" w:hAnsi="Verdana"/>
          <w:sz w:val="20"/>
        </w:rPr>
        <w:t>invited to submit a</w:t>
      </w:r>
      <w:r w:rsidR="00166B65">
        <w:rPr>
          <w:rFonts w:ascii="Verdana" w:hAnsi="Verdana"/>
          <w:sz w:val="20"/>
        </w:rPr>
        <w:t xml:space="preserve">n ITT Submission </w:t>
      </w:r>
      <w:r w:rsidRPr="00220692">
        <w:rPr>
          <w:rFonts w:ascii="Verdana" w:hAnsi="Verdana"/>
          <w:sz w:val="20"/>
        </w:rPr>
        <w:t xml:space="preserve">for </w:t>
      </w:r>
      <w:r w:rsidR="00B156B4">
        <w:rPr>
          <w:rFonts w:ascii="Verdana" w:hAnsi="Verdana"/>
          <w:sz w:val="20"/>
        </w:rPr>
        <w:t xml:space="preserve">each Qualifying Project </w:t>
      </w:r>
      <w:r w:rsidR="004B4382">
        <w:rPr>
          <w:rFonts w:ascii="Verdana" w:hAnsi="Verdana"/>
          <w:sz w:val="20"/>
        </w:rPr>
        <w:t xml:space="preserve">for which </w:t>
      </w:r>
      <w:r w:rsidR="00B156B4">
        <w:rPr>
          <w:rFonts w:ascii="Verdana" w:hAnsi="Verdana"/>
          <w:sz w:val="20"/>
        </w:rPr>
        <w:t>they were shortlisted</w:t>
      </w:r>
      <w:r w:rsidR="00BA1C9E">
        <w:rPr>
          <w:rFonts w:ascii="Verdana" w:hAnsi="Verdana"/>
          <w:sz w:val="20"/>
        </w:rPr>
        <w:t>.  T</w:t>
      </w:r>
      <w:r w:rsidRPr="00220692">
        <w:rPr>
          <w:rFonts w:ascii="Verdana" w:hAnsi="Verdana"/>
          <w:sz w:val="20"/>
        </w:rPr>
        <w:t xml:space="preserve">his ITT </w:t>
      </w:r>
      <w:r w:rsidR="001B2BBC">
        <w:rPr>
          <w:rFonts w:ascii="Verdana" w:hAnsi="Verdana"/>
          <w:sz w:val="20"/>
        </w:rPr>
        <w:t>D</w:t>
      </w:r>
      <w:r w:rsidRPr="00220692">
        <w:rPr>
          <w:rFonts w:ascii="Verdana" w:hAnsi="Verdana"/>
          <w:sz w:val="20"/>
        </w:rPr>
        <w:t>ocument sets out the requirements and rules for this stage of the</w:t>
      </w:r>
      <w:r w:rsidR="001B2BBC">
        <w:rPr>
          <w:rFonts w:ascii="Verdana" w:hAnsi="Verdana"/>
          <w:sz w:val="20"/>
        </w:rPr>
        <w:t xml:space="preserve"> Tender P</w:t>
      </w:r>
      <w:r w:rsidR="00B156B4">
        <w:rPr>
          <w:rFonts w:ascii="Verdana" w:hAnsi="Verdana"/>
          <w:sz w:val="20"/>
        </w:rPr>
        <w:t>rocess.</w:t>
      </w:r>
    </w:p>
    <w:p w:rsidR="00BA1C9E" w:rsidRDefault="00CA11A6" w:rsidP="00957300">
      <w:pPr>
        <w:pStyle w:val="Heading3"/>
        <w:numPr>
          <w:ilvl w:val="0"/>
          <w:numId w:val="0"/>
        </w:numPr>
        <w:ind w:left="1570"/>
        <w:rPr>
          <w:rFonts w:ascii="Verdana" w:hAnsi="Verdana"/>
          <w:sz w:val="20"/>
        </w:rPr>
      </w:pPr>
      <w:r w:rsidRPr="00220692">
        <w:rPr>
          <w:rFonts w:ascii="Verdana" w:hAnsi="Verdana"/>
          <w:sz w:val="20"/>
        </w:rPr>
        <w:lastRenderedPageBreak/>
        <w:t xml:space="preserve">Qualifying Bidders are required to upload their </w:t>
      </w:r>
      <w:r w:rsidR="00166B65">
        <w:rPr>
          <w:rFonts w:ascii="Verdana" w:hAnsi="Verdana"/>
          <w:sz w:val="20"/>
        </w:rPr>
        <w:t xml:space="preserve">ITT </w:t>
      </w:r>
      <w:r w:rsidRPr="00220692">
        <w:rPr>
          <w:rFonts w:ascii="Verdana" w:hAnsi="Verdana"/>
          <w:sz w:val="20"/>
        </w:rPr>
        <w:t xml:space="preserve">Submissions into the Portal by no later than 12 noon on 4 March 2010.  </w:t>
      </w:r>
      <w:r w:rsidR="004B4382" w:rsidRPr="007740F0">
        <w:rPr>
          <w:rFonts w:ascii="Verdana" w:hAnsi="Verdana"/>
          <w:sz w:val="20"/>
        </w:rPr>
        <w:t>The Portal will be closed at this time and no late submissions will be accepted.</w:t>
      </w:r>
    </w:p>
    <w:p w:rsidR="00957300" w:rsidRDefault="00CA11A6" w:rsidP="00957300">
      <w:pPr>
        <w:pStyle w:val="Heading3"/>
        <w:numPr>
          <w:ilvl w:val="0"/>
          <w:numId w:val="0"/>
        </w:numPr>
        <w:ind w:left="1570"/>
        <w:rPr>
          <w:rFonts w:ascii="Verdana" w:hAnsi="Verdana"/>
          <w:sz w:val="20"/>
        </w:rPr>
      </w:pPr>
      <w:r w:rsidRPr="00220692">
        <w:rPr>
          <w:rFonts w:ascii="Verdana" w:hAnsi="Verdana"/>
          <w:sz w:val="20"/>
        </w:rPr>
        <w:t xml:space="preserve">Ofgem will evaluate all compliant </w:t>
      </w:r>
      <w:r w:rsidR="00166B65">
        <w:rPr>
          <w:rFonts w:ascii="Verdana" w:hAnsi="Verdana"/>
          <w:sz w:val="20"/>
        </w:rPr>
        <w:t xml:space="preserve">ITT </w:t>
      </w:r>
      <w:r w:rsidRPr="00220692">
        <w:rPr>
          <w:rFonts w:ascii="Verdana" w:hAnsi="Verdana"/>
          <w:sz w:val="20"/>
        </w:rPr>
        <w:t xml:space="preserve">Submissions </w:t>
      </w:r>
      <w:r w:rsidR="00B156B4">
        <w:rPr>
          <w:rFonts w:ascii="Verdana" w:hAnsi="Verdana"/>
          <w:sz w:val="20"/>
        </w:rPr>
        <w:t xml:space="preserve">in accordance with the process described in Section 7 of this ITT Document, with the intent to identify </w:t>
      </w:r>
      <w:r w:rsidR="00FD1A8E">
        <w:rPr>
          <w:rFonts w:ascii="Verdana" w:hAnsi="Verdana"/>
          <w:sz w:val="20"/>
        </w:rPr>
        <w:t xml:space="preserve">a Preferred Bidder </w:t>
      </w:r>
      <w:r w:rsidR="00B156B4">
        <w:rPr>
          <w:rFonts w:ascii="Verdana" w:hAnsi="Verdana"/>
          <w:sz w:val="20"/>
        </w:rPr>
        <w:t>for each Qualifying Project.</w:t>
      </w:r>
    </w:p>
    <w:p w:rsidR="00CA11A6" w:rsidRPr="006A4950" w:rsidRDefault="002319B5" w:rsidP="002319B5">
      <w:pPr>
        <w:pStyle w:val="Heading3"/>
        <w:rPr>
          <w:rFonts w:ascii="Verdana" w:hAnsi="Verdana"/>
          <w:b/>
          <w:sz w:val="20"/>
        </w:rPr>
      </w:pPr>
      <w:r w:rsidRPr="006A4950">
        <w:rPr>
          <w:rFonts w:ascii="Verdana" w:hAnsi="Verdana"/>
          <w:b/>
          <w:sz w:val="20"/>
        </w:rPr>
        <w:t>Timetable</w:t>
      </w:r>
    </w:p>
    <w:p w:rsidR="002319B5" w:rsidRDefault="002319B5" w:rsidP="002319B5">
      <w:pPr>
        <w:pStyle w:val="BodyText"/>
        <w:ind w:left="1559"/>
        <w:rPr>
          <w:rFonts w:ascii="Verdana" w:hAnsi="Verdana"/>
          <w:bCs/>
          <w:sz w:val="20"/>
        </w:rPr>
      </w:pPr>
      <w:r w:rsidRPr="00D737B1">
        <w:rPr>
          <w:rFonts w:ascii="Verdana" w:hAnsi="Verdana"/>
          <w:bCs/>
          <w:sz w:val="20"/>
        </w:rPr>
        <w:t xml:space="preserve">The timetable for the ITT Stage is set out below.  This </w:t>
      </w:r>
      <w:r w:rsidR="00B156B4">
        <w:rPr>
          <w:rFonts w:ascii="Verdana" w:hAnsi="Verdana"/>
          <w:bCs/>
          <w:sz w:val="20"/>
        </w:rPr>
        <w:t xml:space="preserve">updates </w:t>
      </w:r>
      <w:r w:rsidR="00733EA7">
        <w:rPr>
          <w:rFonts w:ascii="Verdana" w:hAnsi="Verdana"/>
          <w:bCs/>
          <w:sz w:val="20"/>
        </w:rPr>
        <w:t xml:space="preserve">the timetable </w:t>
      </w:r>
      <w:r w:rsidRPr="00D737B1">
        <w:rPr>
          <w:rFonts w:ascii="Verdana" w:hAnsi="Verdana"/>
          <w:bCs/>
          <w:sz w:val="20"/>
        </w:rPr>
        <w:t>contained in the Tender Rules.</w:t>
      </w:r>
    </w:p>
    <w:p w:rsidR="002319B5" w:rsidRDefault="002319B5" w:rsidP="002319B5">
      <w:pPr>
        <w:pStyle w:val="BodyText"/>
        <w:ind w:left="1559"/>
        <w:rPr>
          <w:rFonts w:ascii="Verdana" w:hAnsi="Verdana"/>
          <w:sz w:val="20"/>
        </w:rPr>
      </w:pPr>
      <w:r w:rsidRPr="00D737B1">
        <w:rPr>
          <w:rFonts w:ascii="Verdana" w:hAnsi="Verdana"/>
          <w:bCs/>
          <w:sz w:val="20"/>
        </w:rPr>
        <w:t xml:space="preserve">Ofgem reserves the right to vary this timetable at its discretion. </w:t>
      </w:r>
      <w:r>
        <w:rPr>
          <w:rFonts w:ascii="Verdana" w:hAnsi="Verdana"/>
          <w:bCs/>
          <w:sz w:val="20"/>
        </w:rPr>
        <w:t>Qualifying Bidders will be informed of any such changes.</w:t>
      </w:r>
    </w:p>
    <w:tbl>
      <w:tblPr>
        <w:tblW w:w="779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0"/>
        <w:gridCol w:w="3526"/>
      </w:tblGrid>
      <w:tr w:rsidR="002319B5" w:rsidRPr="00D737B1" w:rsidTr="00852DEE">
        <w:tc>
          <w:tcPr>
            <w:tcW w:w="4270" w:type="dxa"/>
          </w:tcPr>
          <w:p w:rsidR="002319B5" w:rsidRPr="00D737B1" w:rsidRDefault="002367E5" w:rsidP="002319B5">
            <w:pPr>
              <w:pStyle w:val="BodyText"/>
              <w:rPr>
                <w:rFonts w:ascii="Verdana" w:hAnsi="Verdana"/>
                <w:b/>
                <w:bCs/>
                <w:sz w:val="20"/>
              </w:rPr>
            </w:pPr>
            <w:r>
              <w:rPr>
                <w:rFonts w:ascii="Verdana" w:hAnsi="Verdana"/>
                <w:b/>
                <w:bCs/>
                <w:sz w:val="20"/>
              </w:rPr>
              <w:t>Requirement</w:t>
            </w:r>
          </w:p>
        </w:tc>
        <w:tc>
          <w:tcPr>
            <w:tcW w:w="3526" w:type="dxa"/>
          </w:tcPr>
          <w:p w:rsidR="002319B5" w:rsidRPr="00D737B1" w:rsidRDefault="002319B5" w:rsidP="002319B5">
            <w:pPr>
              <w:pStyle w:val="BodyText"/>
              <w:rPr>
                <w:rFonts w:ascii="Verdana" w:hAnsi="Verdana"/>
                <w:b/>
                <w:bCs/>
                <w:sz w:val="20"/>
              </w:rPr>
            </w:pPr>
            <w:r w:rsidRPr="00D737B1">
              <w:rPr>
                <w:rFonts w:ascii="Verdana" w:hAnsi="Verdana"/>
                <w:b/>
                <w:bCs/>
                <w:sz w:val="20"/>
              </w:rPr>
              <w:t>Date</w:t>
            </w:r>
          </w:p>
        </w:tc>
      </w:tr>
      <w:tr w:rsidR="00166B65" w:rsidRPr="00D737B1" w:rsidTr="00852DEE">
        <w:tc>
          <w:tcPr>
            <w:tcW w:w="4270" w:type="dxa"/>
          </w:tcPr>
          <w:p w:rsidR="00166B65" w:rsidRPr="00166B65" w:rsidRDefault="00166B65" w:rsidP="002319B5">
            <w:pPr>
              <w:pStyle w:val="BodyText"/>
              <w:rPr>
                <w:rFonts w:ascii="Verdana" w:hAnsi="Verdana"/>
                <w:bCs/>
                <w:sz w:val="20"/>
              </w:rPr>
            </w:pPr>
            <w:r w:rsidRPr="00166B65">
              <w:rPr>
                <w:rFonts w:ascii="Verdana" w:hAnsi="Verdana"/>
                <w:bCs/>
                <w:sz w:val="20"/>
              </w:rPr>
              <w:t>ITT Document and Data Room made available to Qualifying Bidders</w:t>
            </w:r>
          </w:p>
        </w:tc>
        <w:tc>
          <w:tcPr>
            <w:tcW w:w="3526" w:type="dxa"/>
          </w:tcPr>
          <w:p w:rsidR="00166B65" w:rsidRPr="00166B65" w:rsidRDefault="00166B65" w:rsidP="005C689A">
            <w:pPr>
              <w:pStyle w:val="BodyText"/>
              <w:rPr>
                <w:rFonts w:ascii="Verdana" w:hAnsi="Verdana"/>
                <w:bCs/>
                <w:sz w:val="20"/>
              </w:rPr>
            </w:pPr>
            <w:r w:rsidRPr="00166B65">
              <w:rPr>
                <w:rFonts w:ascii="Verdana" w:hAnsi="Verdana"/>
                <w:bCs/>
                <w:sz w:val="20"/>
              </w:rPr>
              <w:t xml:space="preserve">From </w:t>
            </w:r>
            <w:r w:rsidR="005C689A">
              <w:rPr>
                <w:rFonts w:ascii="Verdana" w:hAnsi="Verdana"/>
                <w:bCs/>
                <w:sz w:val="20"/>
              </w:rPr>
              <w:t>21</w:t>
            </w:r>
            <w:r w:rsidRPr="00166B65">
              <w:rPr>
                <w:rFonts w:ascii="Verdana" w:hAnsi="Verdana"/>
                <w:bCs/>
                <w:sz w:val="20"/>
              </w:rPr>
              <w:t xml:space="preserve"> December onwards</w:t>
            </w:r>
          </w:p>
        </w:tc>
      </w:tr>
      <w:tr w:rsidR="002319B5" w:rsidRPr="00D737B1" w:rsidTr="00852DEE">
        <w:tc>
          <w:tcPr>
            <w:tcW w:w="4270" w:type="dxa"/>
          </w:tcPr>
          <w:p w:rsidR="002319B5" w:rsidRPr="00D737B1" w:rsidRDefault="002367E5" w:rsidP="002367E5">
            <w:pPr>
              <w:pStyle w:val="BodyText"/>
              <w:jc w:val="left"/>
              <w:rPr>
                <w:rFonts w:ascii="Verdana" w:hAnsi="Verdana"/>
                <w:sz w:val="20"/>
              </w:rPr>
            </w:pPr>
            <w:r>
              <w:rPr>
                <w:rFonts w:ascii="Verdana" w:hAnsi="Verdana"/>
                <w:sz w:val="20"/>
              </w:rPr>
              <w:t>Project Briefing Days</w:t>
            </w:r>
          </w:p>
        </w:tc>
        <w:tc>
          <w:tcPr>
            <w:tcW w:w="3526" w:type="dxa"/>
          </w:tcPr>
          <w:p w:rsidR="002319B5" w:rsidRPr="00D737B1" w:rsidRDefault="002367E5" w:rsidP="002367E5">
            <w:pPr>
              <w:pStyle w:val="BodyText"/>
              <w:jc w:val="left"/>
              <w:rPr>
                <w:rFonts w:ascii="Verdana" w:hAnsi="Verdana"/>
                <w:sz w:val="20"/>
              </w:rPr>
            </w:pPr>
            <w:r>
              <w:rPr>
                <w:rFonts w:ascii="Verdana" w:hAnsi="Verdana"/>
                <w:sz w:val="20"/>
              </w:rPr>
              <w:t xml:space="preserve">13 and 15 </w:t>
            </w:r>
            <w:r w:rsidR="002319B5">
              <w:rPr>
                <w:rFonts w:ascii="Verdana" w:hAnsi="Verdana"/>
                <w:sz w:val="20"/>
              </w:rPr>
              <w:t>January 2010</w:t>
            </w:r>
            <w:r>
              <w:rPr>
                <w:rStyle w:val="FootnoteReference"/>
                <w:rFonts w:ascii="Verdana" w:hAnsi="Verdana"/>
                <w:sz w:val="20"/>
              </w:rPr>
              <w:footnoteReference w:id="1"/>
            </w:r>
          </w:p>
        </w:tc>
      </w:tr>
      <w:tr w:rsidR="002319B5" w:rsidRPr="00D737B1" w:rsidTr="00852DEE">
        <w:tc>
          <w:tcPr>
            <w:tcW w:w="4270" w:type="dxa"/>
          </w:tcPr>
          <w:p w:rsidR="002319B5" w:rsidRPr="00D737B1" w:rsidRDefault="00D23A58" w:rsidP="0076561E">
            <w:pPr>
              <w:pStyle w:val="BodyText"/>
              <w:jc w:val="left"/>
              <w:rPr>
                <w:rFonts w:ascii="Verdana" w:hAnsi="Verdana"/>
                <w:sz w:val="20"/>
              </w:rPr>
            </w:pPr>
            <w:r>
              <w:rPr>
                <w:rFonts w:ascii="Verdana" w:hAnsi="Verdana"/>
                <w:sz w:val="20"/>
              </w:rPr>
              <w:t>Qualifying Bidder SPA Mark U</w:t>
            </w:r>
            <w:r w:rsidR="002319B5">
              <w:rPr>
                <w:rFonts w:ascii="Verdana" w:hAnsi="Verdana"/>
                <w:sz w:val="20"/>
              </w:rPr>
              <w:t>p</w:t>
            </w:r>
          </w:p>
        </w:tc>
        <w:tc>
          <w:tcPr>
            <w:tcW w:w="3526" w:type="dxa"/>
          </w:tcPr>
          <w:p w:rsidR="002319B5" w:rsidRPr="00D737B1" w:rsidRDefault="00D23A58" w:rsidP="00852DEE">
            <w:pPr>
              <w:pStyle w:val="BodyText"/>
              <w:jc w:val="left"/>
              <w:rPr>
                <w:rFonts w:ascii="Verdana" w:hAnsi="Verdana"/>
                <w:sz w:val="20"/>
              </w:rPr>
            </w:pPr>
            <w:r>
              <w:rPr>
                <w:rFonts w:ascii="Verdana" w:hAnsi="Verdana"/>
                <w:sz w:val="20"/>
              </w:rPr>
              <w:t>2</w:t>
            </w:r>
            <w:r w:rsidR="00852DEE">
              <w:rPr>
                <w:rFonts w:ascii="Verdana" w:hAnsi="Verdana"/>
                <w:sz w:val="20"/>
              </w:rPr>
              <w:t>1</w:t>
            </w:r>
            <w:r w:rsidR="002319B5" w:rsidRPr="003B5FB7">
              <w:rPr>
                <w:rFonts w:ascii="Verdana" w:hAnsi="Verdana"/>
                <w:sz w:val="20"/>
              </w:rPr>
              <w:t xml:space="preserve"> January 2010</w:t>
            </w:r>
          </w:p>
        </w:tc>
      </w:tr>
      <w:tr w:rsidR="002319B5" w:rsidRPr="00D737B1" w:rsidTr="00852DEE">
        <w:tc>
          <w:tcPr>
            <w:tcW w:w="4270" w:type="dxa"/>
          </w:tcPr>
          <w:p w:rsidR="002319B5" w:rsidRPr="00920E44" w:rsidRDefault="00D23A58" w:rsidP="002367E5">
            <w:pPr>
              <w:pStyle w:val="BodyText"/>
              <w:jc w:val="left"/>
              <w:rPr>
                <w:rFonts w:ascii="Verdana" w:hAnsi="Verdana"/>
                <w:sz w:val="20"/>
              </w:rPr>
            </w:pPr>
            <w:r>
              <w:rPr>
                <w:rFonts w:ascii="Verdana" w:hAnsi="Verdana"/>
                <w:sz w:val="20"/>
              </w:rPr>
              <w:t xml:space="preserve">Qualifying Bidder </w:t>
            </w:r>
            <w:r w:rsidR="002367E5">
              <w:rPr>
                <w:rFonts w:ascii="Verdana" w:hAnsi="Verdana"/>
                <w:sz w:val="20"/>
              </w:rPr>
              <w:t xml:space="preserve">Comments and Clarifications to </w:t>
            </w:r>
            <w:r>
              <w:rPr>
                <w:rFonts w:ascii="Verdana" w:hAnsi="Verdana"/>
                <w:sz w:val="20"/>
              </w:rPr>
              <w:t>Developer Commercial O</w:t>
            </w:r>
            <w:r w:rsidR="002319B5">
              <w:rPr>
                <w:rFonts w:ascii="Verdana" w:hAnsi="Verdana"/>
                <w:sz w:val="20"/>
              </w:rPr>
              <w:t>ffers (e.g. O&amp;M, insurance)</w:t>
            </w:r>
          </w:p>
        </w:tc>
        <w:tc>
          <w:tcPr>
            <w:tcW w:w="3526" w:type="dxa"/>
          </w:tcPr>
          <w:p w:rsidR="002319B5" w:rsidRDefault="002319B5" w:rsidP="005C689A">
            <w:pPr>
              <w:pStyle w:val="BodyText"/>
              <w:jc w:val="left"/>
              <w:rPr>
                <w:rFonts w:ascii="Verdana" w:hAnsi="Verdana"/>
                <w:sz w:val="20"/>
              </w:rPr>
            </w:pPr>
            <w:r>
              <w:rPr>
                <w:rFonts w:ascii="Verdana" w:hAnsi="Verdana"/>
                <w:sz w:val="20"/>
              </w:rPr>
              <w:t>21 January</w:t>
            </w:r>
            <w:r w:rsidR="00D23A58">
              <w:rPr>
                <w:rFonts w:ascii="Verdana" w:hAnsi="Verdana"/>
                <w:sz w:val="20"/>
              </w:rPr>
              <w:t xml:space="preserve"> 2010</w:t>
            </w:r>
          </w:p>
        </w:tc>
      </w:tr>
      <w:tr w:rsidR="00D23A58" w:rsidRPr="00D737B1" w:rsidTr="00852DEE">
        <w:tc>
          <w:tcPr>
            <w:tcW w:w="4270" w:type="dxa"/>
          </w:tcPr>
          <w:p w:rsidR="00D23A58" w:rsidRDefault="00D23A58" w:rsidP="0076561E">
            <w:pPr>
              <w:pStyle w:val="BodyText"/>
              <w:jc w:val="left"/>
              <w:rPr>
                <w:rFonts w:ascii="Verdana" w:hAnsi="Verdana"/>
                <w:sz w:val="20"/>
              </w:rPr>
            </w:pPr>
            <w:r>
              <w:rPr>
                <w:rFonts w:ascii="Verdana" w:hAnsi="Verdana"/>
                <w:sz w:val="20"/>
              </w:rPr>
              <w:t xml:space="preserve">Ofgem Issues Final </w:t>
            </w:r>
            <w:r w:rsidR="0076561E">
              <w:rPr>
                <w:rFonts w:ascii="Verdana" w:hAnsi="Verdana"/>
                <w:sz w:val="20"/>
              </w:rPr>
              <w:t xml:space="preserve">Project </w:t>
            </w:r>
            <w:r>
              <w:rPr>
                <w:rFonts w:ascii="Verdana" w:hAnsi="Verdana"/>
                <w:sz w:val="20"/>
              </w:rPr>
              <w:t>SPA</w:t>
            </w:r>
          </w:p>
        </w:tc>
        <w:tc>
          <w:tcPr>
            <w:tcW w:w="3526" w:type="dxa"/>
          </w:tcPr>
          <w:p w:rsidR="00D23A58" w:rsidRDefault="005C689A" w:rsidP="005C689A">
            <w:pPr>
              <w:pStyle w:val="BodyText"/>
              <w:jc w:val="left"/>
              <w:rPr>
                <w:rFonts w:ascii="Verdana" w:hAnsi="Verdana"/>
                <w:sz w:val="20"/>
              </w:rPr>
            </w:pPr>
            <w:r>
              <w:rPr>
                <w:rFonts w:ascii="Verdana" w:hAnsi="Verdana"/>
                <w:sz w:val="20"/>
              </w:rPr>
              <w:t>17</w:t>
            </w:r>
            <w:r w:rsidR="00D23A58">
              <w:rPr>
                <w:rFonts w:ascii="Verdana" w:hAnsi="Verdana"/>
                <w:sz w:val="20"/>
              </w:rPr>
              <w:t xml:space="preserve"> February 2010</w:t>
            </w:r>
          </w:p>
        </w:tc>
      </w:tr>
      <w:tr w:rsidR="00D23A58" w:rsidRPr="00D737B1" w:rsidTr="00852DEE">
        <w:tc>
          <w:tcPr>
            <w:tcW w:w="4270" w:type="dxa"/>
          </w:tcPr>
          <w:p w:rsidR="00D23A58" w:rsidRPr="00D737B1" w:rsidRDefault="00D23A58" w:rsidP="00D23A58">
            <w:pPr>
              <w:pStyle w:val="BodyText"/>
              <w:keepLines/>
              <w:jc w:val="left"/>
              <w:rPr>
                <w:rFonts w:ascii="Verdana" w:hAnsi="Verdana"/>
                <w:sz w:val="20"/>
              </w:rPr>
            </w:pPr>
            <w:r w:rsidRPr="003B5FB7">
              <w:rPr>
                <w:rFonts w:ascii="Verdana" w:hAnsi="Verdana"/>
                <w:sz w:val="20"/>
              </w:rPr>
              <w:t xml:space="preserve">Clarification </w:t>
            </w:r>
            <w:r>
              <w:rPr>
                <w:rFonts w:ascii="Verdana" w:hAnsi="Verdana"/>
                <w:sz w:val="20"/>
              </w:rPr>
              <w:t>Q</w:t>
            </w:r>
            <w:r w:rsidRPr="003B5FB7">
              <w:rPr>
                <w:rFonts w:ascii="Verdana" w:hAnsi="Verdana"/>
                <w:sz w:val="20"/>
              </w:rPr>
              <w:t>uestions to Ofgem (if required)</w:t>
            </w:r>
          </w:p>
        </w:tc>
        <w:tc>
          <w:tcPr>
            <w:tcW w:w="3526" w:type="dxa"/>
          </w:tcPr>
          <w:p w:rsidR="00D23A58" w:rsidRPr="00D737B1" w:rsidRDefault="00D23A58" w:rsidP="005C689A">
            <w:pPr>
              <w:pStyle w:val="BodyText"/>
              <w:jc w:val="left"/>
              <w:rPr>
                <w:rFonts w:ascii="Verdana" w:hAnsi="Verdana"/>
                <w:sz w:val="20"/>
              </w:rPr>
            </w:pPr>
            <w:r>
              <w:rPr>
                <w:rFonts w:ascii="Verdana" w:hAnsi="Verdana"/>
                <w:sz w:val="20"/>
              </w:rPr>
              <w:t>Up until 2</w:t>
            </w:r>
            <w:r w:rsidR="005C689A">
              <w:rPr>
                <w:rFonts w:ascii="Verdana" w:hAnsi="Verdana"/>
                <w:sz w:val="20"/>
              </w:rPr>
              <w:t>2</w:t>
            </w:r>
            <w:r w:rsidRPr="003B5FB7">
              <w:rPr>
                <w:rFonts w:ascii="Verdana" w:hAnsi="Verdana"/>
                <w:sz w:val="20"/>
              </w:rPr>
              <w:t xml:space="preserve"> February 2010</w:t>
            </w:r>
          </w:p>
        </w:tc>
      </w:tr>
      <w:tr w:rsidR="00D23A58" w:rsidRPr="00D737B1" w:rsidTr="00852DEE">
        <w:tc>
          <w:tcPr>
            <w:tcW w:w="4270" w:type="dxa"/>
          </w:tcPr>
          <w:p w:rsidR="00D23A58" w:rsidRPr="00D737B1" w:rsidRDefault="00D23A58" w:rsidP="002319B5">
            <w:pPr>
              <w:pStyle w:val="BodyText"/>
              <w:jc w:val="left"/>
              <w:rPr>
                <w:rFonts w:ascii="Verdana" w:hAnsi="Verdana"/>
                <w:sz w:val="20"/>
              </w:rPr>
            </w:pPr>
            <w:r w:rsidRPr="003B5FB7">
              <w:rPr>
                <w:rFonts w:ascii="Verdana" w:hAnsi="Verdana"/>
                <w:sz w:val="20"/>
              </w:rPr>
              <w:t>Deadline for ITT Submission</w:t>
            </w:r>
            <w:r w:rsidR="00852DEE">
              <w:rPr>
                <w:rFonts w:ascii="Verdana" w:hAnsi="Verdana"/>
                <w:sz w:val="20"/>
              </w:rPr>
              <w:t>s</w:t>
            </w:r>
            <w:r w:rsidRPr="003B5FB7">
              <w:rPr>
                <w:rFonts w:ascii="Verdana" w:hAnsi="Verdana"/>
                <w:sz w:val="20"/>
              </w:rPr>
              <w:t xml:space="preserve"> </w:t>
            </w:r>
            <w:r>
              <w:rPr>
                <w:rFonts w:ascii="Verdana" w:hAnsi="Verdana"/>
                <w:sz w:val="20"/>
              </w:rPr>
              <w:t>(12 noon)</w:t>
            </w:r>
          </w:p>
        </w:tc>
        <w:tc>
          <w:tcPr>
            <w:tcW w:w="3526" w:type="dxa"/>
          </w:tcPr>
          <w:p w:rsidR="00D23A58" w:rsidRPr="00D737B1" w:rsidRDefault="00D23A58" w:rsidP="005C689A">
            <w:pPr>
              <w:pStyle w:val="BodyText"/>
              <w:jc w:val="left"/>
              <w:rPr>
                <w:rFonts w:ascii="Verdana" w:hAnsi="Verdana"/>
                <w:sz w:val="20"/>
              </w:rPr>
            </w:pPr>
            <w:r w:rsidRPr="003B5FB7">
              <w:rPr>
                <w:rFonts w:ascii="Verdana" w:hAnsi="Verdana"/>
                <w:sz w:val="20"/>
              </w:rPr>
              <w:t xml:space="preserve">4 March 2010 </w:t>
            </w:r>
          </w:p>
        </w:tc>
      </w:tr>
      <w:tr w:rsidR="00D23A58" w:rsidRPr="00D737B1" w:rsidTr="00852DEE">
        <w:tc>
          <w:tcPr>
            <w:tcW w:w="4270" w:type="dxa"/>
          </w:tcPr>
          <w:p w:rsidR="00D23A58" w:rsidRPr="00D737B1" w:rsidRDefault="00D23A58" w:rsidP="002319B5">
            <w:pPr>
              <w:pStyle w:val="BodyText"/>
              <w:jc w:val="left"/>
              <w:rPr>
                <w:rFonts w:ascii="Verdana" w:hAnsi="Verdana"/>
                <w:sz w:val="20"/>
              </w:rPr>
            </w:pPr>
            <w:r w:rsidRPr="003B5FB7">
              <w:rPr>
                <w:rFonts w:ascii="Verdana" w:hAnsi="Verdana"/>
                <w:sz w:val="20"/>
              </w:rPr>
              <w:t>Clarification of ITT Submission</w:t>
            </w:r>
            <w:r w:rsidR="00852DEE">
              <w:rPr>
                <w:rFonts w:ascii="Verdana" w:hAnsi="Verdana"/>
                <w:sz w:val="20"/>
              </w:rPr>
              <w:t>s</w:t>
            </w:r>
            <w:r w:rsidRPr="003B5FB7">
              <w:rPr>
                <w:rFonts w:ascii="Verdana" w:hAnsi="Verdana"/>
                <w:sz w:val="20"/>
              </w:rPr>
              <w:t xml:space="preserve"> by Ofgem (if required)</w:t>
            </w:r>
          </w:p>
        </w:tc>
        <w:tc>
          <w:tcPr>
            <w:tcW w:w="3526" w:type="dxa"/>
          </w:tcPr>
          <w:p w:rsidR="00D23A58" w:rsidRPr="00D737B1" w:rsidRDefault="005C689A" w:rsidP="005C689A">
            <w:pPr>
              <w:pStyle w:val="BodyText"/>
              <w:jc w:val="left"/>
              <w:rPr>
                <w:rFonts w:ascii="Verdana" w:hAnsi="Verdana"/>
                <w:sz w:val="20"/>
              </w:rPr>
            </w:pPr>
            <w:r>
              <w:rPr>
                <w:rFonts w:ascii="Verdana" w:hAnsi="Verdana"/>
                <w:sz w:val="20"/>
              </w:rPr>
              <w:t>5</w:t>
            </w:r>
            <w:r w:rsidR="00D23A58" w:rsidRPr="003B5FB7">
              <w:rPr>
                <w:rFonts w:ascii="Verdana" w:hAnsi="Verdana"/>
                <w:sz w:val="20"/>
              </w:rPr>
              <w:t xml:space="preserve"> March 2010 </w:t>
            </w:r>
            <w:r w:rsidR="00D23A58">
              <w:rPr>
                <w:rFonts w:ascii="Verdana" w:hAnsi="Verdana"/>
                <w:sz w:val="20"/>
              </w:rPr>
              <w:t>onwards</w:t>
            </w:r>
          </w:p>
        </w:tc>
      </w:tr>
    </w:tbl>
    <w:p w:rsidR="002319B5" w:rsidRPr="00957300" w:rsidRDefault="002367E5" w:rsidP="00CA11A6">
      <w:pPr>
        <w:pStyle w:val="BodyText"/>
        <w:rPr>
          <w:rFonts w:ascii="Verdana" w:hAnsi="Verdana"/>
          <w:sz w:val="20"/>
        </w:rPr>
      </w:pPr>
      <w:r>
        <w:rPr>
          <w:rFonts w:ascii="Verdana" w:hAnsi="Verdana"/>
          <w:sz w:val="20"/>
        </w:rPr>
        <w:tab/>
      </w:r>
    </w:p>
    <w:p w:rsidR="0057051A" w:rsidRDefault="0057051A" w:rsidP="0063700B">
      <w:pPr>
        <w:pStyle w:val="Heading1"/>
        <w:rPr>
          <w:rFonts w:ascii="Verdana" w:hAnsi="Verdana"/>
          <w:szCs w:val="22"/>
        </w:rPr>
      </w:pPr>
      <w:bookmarkStart w:id="17" w:name="_Toc249178461"/>
      <w:bookmarkStart w:id="18" w:name="_Toc205910330"/>
      <w:bookmarkStart w:id="19" w:name="_Toc205966221"/>
      <w:bookmarkStart w:id="20" w:name="_Toc210045152"/>
      <w:r>
        <w:rPr>
          <w:rFonts w:ascii="Verdana" w:hAnsi="Verdana"/>
          <w:szCs w:val="22"/>
        </w:rPr>
        <w:t>REgulatory framework</w:t>
      </w:r>
      <w:bookmarkEnd w:id="17"/>
    </w:p>
    <w:p w:rsidR="0057051A" w:rsidRPr="0057051A" w:rsidRDefault="00674409" w:rsidP="0057051A">
      <w:pPr>
        <w:pStyle w:val="Heading2"/>
        <w:rPr>
          <w:rFonts w:ascii="Verdana" w:hAnsi="Verdana"/>
          <w:sz w:val="20"/>
        </w:rPr>
      </w:pPr>
      <w:r>
        <w:rPr>
          <w:rFonts w:ascii="Verdana" w:hAnsi="Verdana"/>
          <w:sz w:val="20"/>
        </w:rPr>
        <w:t>Overview</w:t>
      </w:r>
    </w:p>
    <w:p w:rsidR="00674409" w:rsidRDefault="0057051A" w:rsidP="0057051A">
      <w:pPr>
        <w:pStyle w:val="Heading3"/>
        <w:rPr>
          <w:rFonts w:ascii="Verdana" w:hAnsi="Verdana"/>
          <w:sz w:val="20"/>
        </w:rPr>
      </w:pPr>
      <w:r w:rsidRPr="0057051A">
        <w:rPr>
          <w:rFonts w:ascii="Verdana" w:hAnsi="Verdana"/>
          <w:sz w:val="20"/>
        </w:rPr>
        <w:t>The regulatory framework for the GB electricity industry is provided for in a number of instruments including primary legislation, secondary legislation, licences issued by the Authority, industry codes and technical standards.</w:t>
      </w:r>
    </w:p>
    <w:p w:rsidR="00674409" w:rsidRDefault="00674409" w:rsidP="0057051A">
      <w:pPr>
        <w:pStyle w:val="Heading3"/>
        <w:rPr>
          <w:rFonts w:ascii="Verdana" w:hAnsi="Verdana"/>
          <w:sz w:val="20"/>
        </w:rPr>
      </w:pPr>
      <w:r>
        <w:rPr>
          <w:rFonts w:ascii="Verdana" w:hAnsi="Verdana"/>
          <w:sz w:val="20"/>
        </w:rPr>
        <w:t>The regulatory framework is summarised in the following diagram:</w:t>
      </w:r>
    </w:p>
    <w:p w:rsidR="00126BA9" w:rsidRPr="00126BA9" w:rsidRDefault="00126BA9" w:rsidP="00126BA9">
      <w:pPr>
        <w:pStyle w:val="BodyText"/>
      </w:pPr>
    </w:p>
    <w:p w:rsidR="00126BA9" w:rsidRDefault="00433BA5" w:rsidP="00126BA9">
      <w:pPr>
        <w:pStyle w:val="Heading3"/>
        <w:numPr>
          <w:ilvl w:val="0"/>
          <w:numId w:val="0"/>
        </w:numPr>
        <w:ind w:left="1570"/>
        <w:rPr>
          <w:noProof/>
          <w:lang w:eastAsia="en-GB"/>
        </w:rPr>
      </w:pPr>
      <w:r>
        <w:rPr>
          <w:noProof/>
          <w:lang w:eastAsia="en-GB"/>
        </w:rPr>
        <w:lastRenderedPageBreak/>
        <w:pict>
          <v:shape id="Picture 6" o:spid="_x0000_i1026" type="#_x0000_t75" style="width:6in;height:279pt;visibility:visible">
            <v:imagedata r:id="rId17" o:title=""/>
          </v:shape>
        </w:pict>
      </w:r>
    </w:p>
    <w:p w:rsidR="00126BA9" w:rsidRPr="00126BA9" w:rsidRDefault="00126BA9" w:rsidP="00852DEE">
      <w:pPr>
        <w:pStyle w:val="Heading3"/>
        <w:numPr>
          <w:ilvl w:val="0"/>
          <w:numId w:val="0"/>
        </w:numPr>
        <w:rPr>
          <w:rFonts w:ascii="Verdana" w:hAnsi="Verdana"/>
          <w:sz w:val="20"/>
        </w:rPr>
      </w:pPr>
    </w:p>
    <w:p w:rsidR="0057051A" w:rsidRDefault="0057051A" w:rsidP="0057051A">
      <w:pPr>
        <w:pStyle w:val="Heading3"/>
        <w:rPr>
          <w:rFonts w:ascii="Verdana" w:hAnsi="Verdana"/>
          <w:sz w:val="20"/>
        </w:rPr>
      </w:pPr>
      <w:r w:rsidRPr="0057051A">
        <w:rPr>
          <w:rFonts w:ascii="Verdana" w:hAnsi="Verdana"/>
          <w:sz w:val="20"/>
        </w:rPr>
        <w:t xml:space="preserve">A more detailed explanation </w:t>
      </w:r>
      <w:r w:rsidR="00674409">
        <w:rPr>
          <w:rFonts w:ascii="Verdana" w:hAnsi="Verdana"/>
          <w:sz w:val="20"/>
        </w:rPr>
        <w:t xml:space="preserve">of </w:t>
      </w:r>
      <w:r w:rsidR="00852DEE">
        <w:rPr>
          <w:rFonts w:ascii="Verdana" w:hAnsi="Verdana"/>
          <w:sz w:val="20"/>
        </w:rPr>
        <w:t xml:space="preserve">both </w:t>
      </w:r>
      <w:r w:rsidR="00674409">
        <w:rPr>
          <w:rFonts w:ascii="Verdana" w:hAnsi="Verdana"/>
          <w:sz w:val="20"/>
        </w:rPr>
        <w:t xml:space="preserve">the regulatory and contractual framework </w:t>
      </w:r>
      <w:r w:rsidRPr="0057051A">
        <w:rPr>
          <w:rFonts w:ascii="Verdana" w:hAnsi="Verdana"/>
          <w:sz w:val="20"/>
        </w:rPr>
        <w:t>is provided in the First Transitional Tender Information Memorandum</w:t>
      </w:r>
      <w:r w:rsidR="00682A3B">
        <w:rPr>
          <w:rFonts w:ascii="Verdana" w:hAnsi="Verdana"/>
          <w:sz w:val="20"/>
        </w:rPr>
        <w:t>, which was</w:t>
      </w:r>
      <w:r w:rsidRPr="0057051A">
        <w:rPr>
          <w:rFonts w:ascii="Verdana" w:hAnsi="Verdana"/>
          <w:sz w:val="20"/>
        </w:rPr>
        <w:t xml:space="preserve"> made available at the commencement of the Q</w:t>
      </w:r>
      <w:r w:rsidR="00166B65">
        <w:rPr>
          <w:rFonts w:ascii="Verdana" w:hAnsi="Verdana"/>
          <w:sz w:val="20"/>
        </w:rPr>
        <w:t>ualification to Tender (Q</w:t>
      </w:r>
      <w:r w:rsidRPr="0057051A">
        <w:rPr>
          <w:rFonts w:ascii="Verdana" w:hAnsi="Verdana"/>
          <w:sz w:val="20"/>
        </w:rPr>
        <w:t>TT</w:t>
      </w:r>
      <w:r w:rsidR="00166B65">
        <w:rPr>
          <w:rFonts w:ascii="Verdana" w:hAnsi="Verdana"/>
          <w:sz w:val="20"/>
        </w:rPr>
        <w:t>)</w:t>
      </w:r>
      <w:r w:rsidRPr="0057051A">
        <w:rPr>
          <w:rFonts w:ascii="Verdana" w:hAnsi="Verdana"/>
          <w:sz w:val="20"/>
        </w:rPr>
        <w:t xml:space="preserve"> stage of this tender process.  This document is also available in the Data Room</w:t>
      </w:r>
      <w:r w:rsidR="006335D6">
        <w:rPr>
          <w:rFonts w:ascii="Verdana" w:hAnsi="Verdana"/>
          <w:sz w:val="20"/>
        </w:rPr>
        <w:t>.</w:t>
      </w:r>
    </w:p>
    <w:p w:rsidR="001A52FC" w:rsidRPr="001A52FC" w:rsidRDefault="001A52FC" w:rsidP="001A52FC">
      <w:pPr>
        <w:pStyle w:val="Heading2"/>
        <w:rPr>
          <w:rFonts w:ascii="Verdana" w:hAnsi="Verdana"/>
          <w:sz w:val="20"/>
        </w:rPr>
      </w:pPr>
      <w:r w:rsidRPr="001A52FC">
        <w:rPr>
          <w:rFonts w:ascii="Verdana" w:hAnsi="Verdana"/>
          <w:sz w:val="20"/>
        </w:rPr>
        <w:t>Third Package</w:t>
      </w:r>
      <w:r w:rsidR="00B01A34">
        <w:rPr>
          <w:rFonts w:ascii="Verdana" w:hAnsi="Verdana"/>
          <w:sz w:val="20"/>
        </w:rPr>
        <w:t xml:space="preserve"> </w:t>
      </w:r>
    </w:p>
    <w:p w:rsidR="00F804F8" w:rsidRPr="00F804F8" w:rsidRDefault="00F804F8" w:rsidP="00F804F8">
      <w:pPr>
        <w:pStyle w:val="Heading3"/>
        <w:rPr>
          <w:rFonts w:ascii="Verdana" w:hAnsi="Verdana"/>
          <w:sz w:val="20"/>
        </w:rPr>
      </w:pPr>
      <w:r w:rsidRPr="00F804F8">
        <w:rPr>
          <w:rFonts w:ascii="Verdana" w:hAnsi="Verdana"/>
          <w:sz w:val="20"/>
        </w:rPr>
        <w:t>A package of European legislation on the liberalisation of EU gas and electricity markets (the “Third Package”) entered into force on 3 September 2009. One of the areas covered by the Third Package is the unbundling of Transmission System Operators which essentially involves the structural separation of electricity generation and/or supply activities from transmission activities (set out in Directive 2009/72/EC of the European Parliament and of the Council of 13 July 2009 (the “Electricity Directive”)).  Ofgem will be consulting on the various issues associated with the unbundling requirements in the Third Package in early 2010, including issues arising if the unbundling provisions apply to offshore transmission projects.</w:t>
      </w:r>
    </w:p>
    <w:p w:rsidR="00F804F8" w:rsidRPr="00F804F8" w:rsidRDefault="00F804F8" w:rsidP="00F804F8">
      <w:pPr>
        <w:pStyle w:val="Heading3"/>
        <w:rPr>
          <w:rFonts w:ascii="Verdana" w:hAnsi="Verdana"/>
          <w:sz w:val="20"/>
        </w:rPr>
      </w:pPr>
      <w:r w:rsidRPr="00F804F8">
        <w:rPr>
          <w:rFonts w:ascii="Verdana" w:hAnsi="Verdana"/>
          <w:sz w:val="20"/>
        </w:rPr>
        <w:t xml:space="preserve">The Third Package requires that, between March 2011 and March 2013, the Authority, as the national regulatory authority responsible for certification of Transmission System Operators in Great Britain, certify all Transmission System Operators as compliant with full ownership unbundling, or </w:t>
      </w:r>
      <w:r w:rsidRPr="00F804F8">
        <w:rPr>
          <w:rFonts w:ascii="Verdana" w:hAnsi="Verdana"/>
          <w:i/>
          <w:iCs/>
          <w:sz w:val="20"/>
        </w:rPr>
        <w:t xml:space="preserve">potentially </w:t>
      </w:r>
      <w:r w:rsidRPr="00F804F8">
        <w:rPr>
          <w:rFonts w:ascii="Verdana" w:hAnsi="Verdana"/>
          <w:sz w:val="20"/>
        </w:rPr>
        <w:t xml:space="preserve">one of the alternative models set out below, in accordance with Article 10 of the Electricity Directive and Article 3 of Regulation (EC) No 714/2009 of the European Parliament and of the Council. This certification process will necessarily be run separately from the first Tender Round for the Transitional Regime and will follow different timescales. Importantly, if </w:t>
      </w:r>
      <w:r w:rsidRPr="00F804F8">
        <w:rPr>
          <w:rFonts w:ascii="Verdana" w:hAnsi="Verdana"/>
          <w:sz w:val="20"/>
        </w:rPr>
        <w:lastRenderedPageBreak/>
        <w:t xml:space="preserve">offshore lines in respect of </w:t>
      </w:r>
      <w:r w:rsidR="00852DEE">
        <w:rPr>
          <w:rFonts w:ascii="Verdana" w:hAnsi="Verdana"/>
          <w:sz w:val="20"/>
        </w:rPr>
        <w:t xml:space="preserve">the relevant Qualifying Project </w:t>
      </w:r>
      <w:r w:rsidRPr="00F804F8">
        <w:rPr>
          <w:rFonts w:ascii="Verdana" w:hAnsi="Verdana"/>
          <w:sz w:val="20"/>
        </w:rPr>
        <w:t xml:space="preserve">are considered to be part of the transmission system and the definition of Transmission System Operator therefore includes the OFTO for </w:t>
      </w:r>
      <w:r w:rsidR="00852DEE">
        <w:rPr>
          <w:rFonts w:ascii="Verdana" w:hAnsi="Verdana"/>
          <w:sz w:val="20"/>
        </w:rPr>
        <w:t>the relevant Qualifying Project</w:t>
      </w:r>
      <w:r w:rsidRPr="00F804F8">
        <w:rPr>
          <w:rFonts w:ascii="Verdana" w:hAnsi="Verdana"/>
          <w:sz w:val="20"/>
        </w:rPr>
        <w:t xml:space="preserve">, decisions by the Authority as to certification or otherwise, including decisions to withdraw certification after it has been granted, may take place after the Authority has selected, and granted a licence to, the Preferred Bidder for each project. </w:t>
      </w:r>
    </w:p>
    <w:p w:rsidR="00F804F8" w:rsidRPr="00F804F8" w:rsidRDefault="00F804F8" w:rsidP="00F804F8">
      <w:pPr>
        <w:pStyle w:val="Heading3"/>
        <w:rPr>
          <w:rFonts w:ascii="Verdana" w:hAnsi="Verdana"/>
          <w:sz w:val="20"/>
        </w:rPr>
      </w:pPr>
      <w:r w:rsidRPr="00F804F8">
        <w:rPr>
          <w:rFonts w:ascii="Verdana" w:hAnsi="Verdana"/>
          <w:sz w:val="20"/>
        </w:rPr>
        <w:t>All Qualifying Bidders should be aware of the relevant provisions of the Third Package and are strongly advised to consider the requirements of the Third Package as necessary. Ofgem is not advising Qualifying Bidders as to the provisions and impact of the Third Package and encourages Qualifying Bidders to seek appropriate independent legal advice in this respect.</w:t>
      </w:r>
    </w:p>
    <w:p w:rsidR="00F804F8" w:rsidRPr="00F804F8" w:rsidRDefault="00F804F8" w:rsidP="00F804F8">
      <w:pPr>
        <w:pStyle w:val="Heading3"/>
        <w:rPr>
          <w:rFonts w:ascii="Verdana" w:hAnsi="Verdana"/>
          <w:sz w:val="20"/>
        </w:rPr>
      </w:pPr>
      <w:r w:rsidRPr="00F804F8">
        <w:rPr>
          <w:rFonts w:ascii="Verdana" w:hAnsi="Verdana"/>
          <w:sz w:val="20"/>
        </w:rPr>
        <w:t xml:space="preserve">It is important to note that the decisions to shortlist and select the Qualifying Bidders for the ITT Stage, select the Preferred Bidder or grant a licence at the end of the Tender Process are taken by the Authority in its role as manager of the Tender Process under section 6(C) Electricity Act 1989 (as amended) and the Electricity (Competitive Tenders for Offshore Transmission Licences) Regulations 2009.  These decisions are not taken in relation to the Authority’s certification responsibilities as the national regulatory authority responsible for certification of Transmission System Operators in Great Britain (under the requirements of the Electricity Directive). Any such decision the Authority takes in relation to the Tender Process should not be taken as a decision, or any indication of what decision may be taken, on certification. It is for all Qualifying Bidders to satisfy themselves that they are able to comply with one of the models set out below. </w:t>
      </w:r>
    </w:p>
    <w:p w:rsidR="00F804F8" w:rsidRPr="00F804F8" w:rsidRDefault="00F804F8" w:rsidP="00F804F8">
      <w:pPr>
        <w:pStyle w:val="Heading3"/>
        <w:rPr>
          <w:rFonts w:ascii="Verdana" w:hAnsi="Verdana"/>
          <w:sz w:val="20"/>
        </w:rPr>
      </w:pPr>
      <w:r w:rsidRPr="00F804F8">
        <w:rPr>
          <w:rFonts w:ascii="Verdana" w:hAnsi="Verdana"/>
          <w:sz w:val="20"/>
        </w:rPr>
        <w:t xml:space="preserve">Each Qualifying Bidder is required to provide an undertaking in the form set out in the Qualifying Bidder </w:t>
      </w:r>
      <w:r w:rsidR="00197607">
        <w:rPr>
          <w:rFonts w:ascii="Verdana" w:hAnsi="Verdana"/>
          <w:sz w:val="20"/>
        </w:rPr>
        <w:t xml:space="preserve">ITT </w:t>
      </w:r>
      <w:r w:rsidRPr="00F804F8">
        <w:rPr>
          <w:rFonts w:ascii="Verdana" w:hAnsi="Verdana"/>
          <w:sz w:val="20"/>
        </w:rPr>
        <w:t xml:space="preserve">Certificate set out in Appendix </w:t>
      </w:r>
      <w:r w:rsidR="00197607">
        <w:rPr>
          <w:rFonts w:ascii="Verdana" w:hAnsi="Verdana"/>
          <w:sz w:val="20"/>
        </w:rPr>
        <w:t>3</w:t>
      </w:r>
      <w:r w:rsidRPr="00F804F8">
        <w:rPr>
          <w:rFonts w:ascii="Verdana" w:hAnsi="Verdana"/>
          <w:sz w:val="20"/>
        </w:rPr>
        <w:t xml:space="preserve"> confirming that it has considered the implications of the Third Package and understands that, if selected as Preferred Bidder or Reserve Bidder and if the provisions of the Third Package or, when appropriate, the relevant provisions of the relevant implementing legislation, apply to </w:t>
      </w:r>
      <w:r w:rsidR="00852DEE">
        <w:rPr>
          <w:rFonts w:ascii="Verdana" w:hAnsi="Verdana"/>
          <w:sz w:val="20"/>
        </w:rPr>
        <w:t>the relevant Qualifying Project</w:t>
      </w:r>
      <w:r w:rsidRPr="00F804F8">
        <w:rPr>
          <w:rFonts w:ascii="Verdana" w:hAnsi="Verdana"/>
          <w:sz w:val="20"/>
        </w:rPr>
        <w:t xml:space="preserve">, it will be required to comply with specified provisions of the Third Package, or where appropriate, the relevant provisions of the relevant implementing legislation relating to unbundling.      </w:t>
      </w:r>
    </w:p>
    <w:p w:rsidR="00F804F8" w:rsidRDefault="00F804F8" w:rsidP="00F804F8">
      <w:pPr>
        <w:pStyle w:val="Heading3"/>
        <w:rPr>
          <w:rFonts w:ascii="Verdana" w:hAnsi="Verdana"/>
          <w:sz w:val="20"/>
        </w:rPr>
      </w:pPr>
      <w:r w:rsidRPr="00F804F8">
        <w:rPr>
          <w:rFonts w:ascii="Verdana" w:hAnsi="Verdana"/>
          <w:sz w:val="20"/>
        </w:rPr>
        <w:t xml:space="preserve">The Third Package envisages a number of options for unbundling. The default position is that of full ownership unbundling, the requirements of which are set out in Article 9.1 of the Electricity Directive. One element of this model is that the same person or persons cannot “directly or indirectly exercise control over an undertaking performing any of the functions of generation or supply, and directly or indirectly exercise control or exercise any right over a transmission system operator or over a transmission system” (and vice versa). The concept of “any right” is set out in Article 9.2 and includes the power to exercise voting rights, to appoint members of the supervisory board, the administrative board or bodies legally representing the undertaking or holding of a majority share. Alternatively where, on 3 September 2009, the transmission system belongs to a vertically integrated undertaking, Article 9.8 of the Electricity Directive allows a Member State </w:t>
      </w:r>
      <w:r w:rsidRPr="00F804F8">
        <w:rPr>
          <w:rFonts w:ascii="Verdana" w:hAnsi="Verdana"/>
          <w:sz w:val="20"/>
        </w:rPr>
        <w:lastRenderedPageBreak/>
        <w:t xml:space="preserve">not to apply Article 9.1 and to comply instead with the Independent System Operator (ISO) model or the Independent Transmission Operator (ITO) model (set out in Article 13 and Chapter V of the Electricity Directive respectively). Both of these models require certain structural, functional, administrative and other arrangements to be put in place to ensure the effective independence of the Transmission System Operator from production and supply activities. Finally, a Transmission System Operator may be eligible to apply for a derogation to full ownership unbundling if it can be demonstrated that there are arrangements in place on 3 September 2009 which guarantee more effective independence of the Transmission System Operator than those provided for by the ITO model. </w:t>
      </w:r>
    </w:p>
    <w:p w:rsidR="008D0D10" w:rsidRPr="008D0D10" w:rsidRDefault="008D0D10" w:rsidP="008D0D10">
      <w:pPr>
        <w:pStyle w:val="Heading3"/>
        <w:rPr>
          <w:rFonts w:ascii="Verdana" w:hAnsi="Verdana"/>
          <w:sz w:val="20"/>
        </w:rPr>
      </w:pPr>
      <w:r w:rsidRPr="008D0D10">
        <w:rPr>
          <w:rFonts w:ascii="Verdana" w:hAnsi="Verdana"/>
          <w:sz w:val="20"/>
        </w:rPr>
        <w:t xml:space="preserve">In addition to the requirements for unbundling, Qualifying Bidders should be aware of </w:t>
      </w:r>
      <w:r>
        <w:rPr>
          <w:rFonts w:ascii="Verdana" w:hAnsi="Verdana"/>
          <w:sz w:val="20"/>
        </w:rPr>
        <w:t xml:space="preserve">other obligations that will need to be satisfied by all transmission owners. </w:t>
      </w:r>
    </w:p>
    <w:p w:rsidR="008E5C5D" w:rsidRPr="00D50A14" w:rsidRDefault="003B5FB7" w:rsidP="0063700B">
      <w:pPr>
        <w:pStyle w:val="Heading1"/>
        <w:rPr>
          <w:rFonts w:ascii="Verdana" w:hAnsi="Verdana"/>
          <w:szCs w:val="22"/>
        </w:rPr>
      </w:pPr>
      <w:bookmarkStart w:id="21" w:name="_Toc249178462"/>
      <w:r w:rsidRPr="003B5FB7">
        <w:rPr>
          <w:rFonts w:ascii="Verdana" w:hAnsi="Verdana"/>
          <w:szCs w:val="22"/>
        </w:rPr>
        <w:t xml:space="preserve">instructions to </w:t>
      </w:r>
      <w:r w:rsidR="00E6691A">
        <w:rPr>
          <w:rFonts w:ascii="Verdana" w:hAnsi="Verdana"/>
          <w:szCs w:val="22"/>
        </w:rPr>
        <w:t xml:space="preserve">qualifying </w:t>
      </w:r>
      <w:r w:rsidRPr="003B5FB7">
        <w:rPr>
          <w:rFonts w:ascii="Verdana" w:hAnsi="Verdana"/>
          <w:szCs w:val="22"/>
        </w:rPr>
        <w:t>Bidders</w:t>
      </w:r>
      <w:bookmarkEnd w:id="18"/>
      <w:bookmarkEnd w:id="19"/>
      <w:bookmarkEnd w:id="20"/>
      <w:bookmarkEnd w:id="21"/>
    </w:p>
    <w:p w:rsidR="008E5C5D" w:rsidRPr="00D737B1" w:rsidRDefault="003B5FB7" w:rsidP="00794CF7">
      <w:pPr>
        <w:pStyle w:val="Heading2"/>
        <w:numPr>
          <w:ilvl w:val="1"/>
          <w:numId w:val="10"/>
        </w:numPr>
        <w:rPr>
          <w:rFonts w:ascii="Verdana" w:hAnsi="Verdana"/>
          <w:sz w:val="20"/>
        </w:rPr>
      </w:pPr>
      <w:bookmarkStart w:id="22" w:name="_Toc241562335"/>
      <w:bookmarkStart w:id="23" w:name="_Toc210033215"/>
      <w:bookmarkStart w:id="24" w:name="_Toc233782506"/>
      <w:bookmarkEnd w:id="8"/>
      <w:bookmarkEnd w:id="12"/>
      <w:bookmarkEnd w:id="13"/>
      <w:r w:rsidRPr="003B5FB7">
        <w:rPr>
          <w:rFonts w:ascii="Verdana" w:hAnsi="Verdana"/>
          <w:sz w:val="20"/>
        </w:rPr>
        <w:t xml:space="preserve">Documents and </w:t>
      </w:r>
      <w:r w:rsidR="003144AD">
        <w:rPr>
          <w:rFonts w:ascii="Verdana" w:hAnsi="Verdana"/>
          <w:sz w:val="20"/>
        </w:rPr>
        <w:t>C</w:t>
      </w:r>
      <w:r w:rsidR="008E5C5D" w:rsidRPr="00D737B1">
        <w:rPr>
          <w:rFonts w:ascii="Verdana" w:hAnsi="Verdana"/>
          <w:sz w:val="20"/>
        </w:rPr>
        <w:t>orrespondence</w:t>
      </w:r>
      <w:bookmarkEnd w:id="22"/>
    </w:p>
    <w:p w:rsidR="000F08F4" w:rsidRDefault="008E5C5D" w:rsidP="00794CF7">
      <w:pPr>
        <w:pStyle w:val="Heading3"/>
        <w:numPr>
          <w:ilvl w:val="2"/>
          <w:numId w:val="10"/>
        </w:numPr>
        <w:rPr>
          <w:rFonts w:ascii="Verdana" w:hAnsi="Verdana"/>
          <w:sz w:val="20"/>
        </w:rPr>
      </w:pPr>
      <w:r w:rsidRPr="0057051A">
        <w:rPr>
          <w:rFonts w:ascii="Verdana" w:hAnsi="Verdana"/>
          <w:sz w:val="20"/>
        </w:rPr>
        <w:t xml:space="preserve">All documents </w:t>
      </w:r>
      <w:r w:rsidR="000F08F4">
        <w:rPr>
          <w:rFonts w:ascii="Verdana" w:hAnsi="Verdana"/>
          <w:sz w:val="20"/>
        </w:rPr>
        <w:t xml:space="preserve">relating to </w:t>
      </w:r>
      <w:r w:rsidR="003F01A1">
        <w:rPr>
          <w:rFonts w:ascii="Verdana" w:hAnsi="Verdana"/>
          <w:sz w:val="20"/>
        </w:rPr>
        <w:t xml:space="preserve">the </w:t>
      </w:r>
      <w:r w:rsidR="000F08F4">
        <w:rPr>
          <w:rFonts w:ascii="Verdana" w:hAnsi="Verdana"/>
          <w:sz w:val="20"/>
        </w:rPr>
        <w:t xml:space="preserve">ITT </w:t>
      </w:r>
      <w:r w:rsidR="003F01A1">
        <w:rPr>
          <w:rFonts w:ascii="Verdana" w:hAnsi="Verdana"/>
          <w:sz w:val="20"/>
        </w:rPr>
        <w:t>S</w:t>
      </w:r>
      <w:r w:rsidR="000F08F4">
        <w:rPr>
          <w:rFonts w:ascii="Verdana" w:hAnsi="Verdana"/>
          <w:sz w:val="20"/>
        </w:rPr>
        <w:t xml:space="preserve">tage </w:t>
      </w:r>
      <w:r w:rsidRPr="0057051A">
        <w:rPr>
          <w:rFonts w:ascii="Verdana" w:hAnsi="Verdana"/>
          <w:sz w:val="20"/>
        </w:rPr>
        <w:t xml:space="preserve">will be made available to Qualifying Bidders via the Portal, unless explicitly advised otherwise by Ofgem.  </w:t>
      </w:r>
    </w:p>
    <w:p w:rsidR="000F08F4" w:rsidRDefault="008E5C5D" w:rsidP="00794CF7">
      <w:pPr>
        <w:pStyle w:val="Heading3"/>
        <w:numPr>
          <w:ilvl w:val="2"/>
          <w:numId w:val="10"/>
        </w:numPr>
        <w:rPr>
          <w:rFonts w:ascii="Verdana" w:hAnsi="Verdana"/>
          <w:sz w:val="20"/>
        </w:rPr>
      </w:pPr>
      <w:r w:rsidRPr="000F08F4">
        <w:rPr>
          <w:rFonts w:ascii="Verdana" w:hAnsi="Verdana"/>
          <w:sz w:val="20"/>
        </w:rPr>
        <w:t xml:space="preserve">All correspondence to Qualifying Bidders, including variations to </w:t>
      </w:r>
      <w:r w:rsidR="000F08F4">
        <w:rPr>
          <w:rFonts w:ascii="Verdana" w:hAnsi="Verdana"/>
          <w:sz w:val="20"/>
        </w:rPr>
        <w:t xml:space="preserve">this or any other </w:t>
      </w:r>
      <w:r w:rsidRPr="000F08F4">
        <w:rPr>
          <w:rFonts w:ascii="Verdana" w:hAnsi="Verdana"/>
          <w:sz w:val="20"/>
        </w:rPr>
        <w:t xml:space="preserve">any </w:t>
      </w:r>
      <w:r w:rsidR="000F08F4">
        <w:rPr>
          <w:rFonts w:ascii="Verdana" w:hAnsi="Verdana"/>
          <w:sz w:val="20"/>
        </w:rPr>
        <w:t>document produced by Ofgem a</w:t>
      </w:r>
      <w:r w:rsidRPr="000F08F4">
        <w:rPr>
          <w:rFonts w:ascii="Verdana" w:hAnsi="Verdana"/>
          <w:sz w:val="20"/>
        </w:rPr>
        <w:t>nd clarifications, will be made via the Portal, unless explicitly advised otherwise by Ofgem.</w:t>
      </w:r>
    </w:p>
    <w:p w:rsidR="008E5C5D" w:rsidRPr="000F08F4" w:rsidRDefault="008E5C5D" w:rsidP="00794CF7">
      <w:pPr>
        <w:pStyle w:val="Heading3"/>
        <w:numPr>
          <w:ilvl w:val="2"/>
          <w:numId w:val="10"/>
        </w:numPr>
        <w:rPr>
          <w:rFonts w:ascii="Verdana" w:hAnsi="Verdana"/>
          <w:sz w:val="20"/>
        </w:rPr>
      </w:pPr>
      <w:r w:rsidRPr="000F08F4">
        <w:rPr>
          <w:rFonts w:ascii="Verdana" w:hAnsi="Verdana"/>
          <w:sz w:val="20"/>
        </w:rPr>
        <w:t>All correspondence from Qualifying Bidders to Ofgem, including clarifications</w:t>
      </w:r>
      <w:r w:rsidR="001B2BBC">
        <w:rPr>
          <w:rFonts w:ascii="Verdana" w:hAnsi="Verdana"/>
          <w:sz w:val="20"/>
        </w:rPr>
        <w:t xml:space="preserve">, the mark up of the </w:t>
      </w:r>
      <w:r w:rsidR="0076561E">
        <w:rPr>
          <w:rFonts w:ascii="Verdana" w:hAnsi="Verdana"/>
          <w:sz w:val="20"/>
        </w:rPr>
        <w:t xml:space="preserve">Draft Project </w:t>
      </w:r>
      <w:r w:rsidR="001B2BBC">
        <w:rPr>
          <w:rFonts w:ascii="Verdana" w:hAnsi="Verdana"/>
          <w:sz w:val="20"/>
        </w:rPr>
        <w:t>SPA</w:t>
      </w:r>
      <w:r w:rsidRPr="000F08F4">
        <w:rPr>
          <w:rFonts w:ascii="Verdana" w:hAnsi="Verdana"/>
          <w:sz w:val="20"/>
        </w:rPr>
        <w:t xml:space="preserve"> and </w:t>
      </w:r>
      <w:r w:rsidR="000F08F4">
        <w:rPr>
          <w:rFonts w:ascii="Verdana" w:hAnsi="Verdana"/>
          <w:sz w:val="20"/>
        </w:rPr>
        <w:t>S</w:t>
      </w:r>
      <w:r w:rsidRPr="000F08F4">
        <w:rPr>
          <w:rFonts w:ascii="Verdana" w:hAnsi="Verdana"/>
          <w:sz w:val="20"/>
        </w:rPr>
        <w:t>ubmissions, must be made via the Portal, unless explicitly advised otherwise by Ofgem.</w:t>
      </w:r>
    </w:p>
    <w:p w:rsidR="008E5C5D" w:rsidRPr="00D737B1" w:rsidRDefault="000F08F4" w:rsidP="008E5C5D">
      <w:pPr>
        <w:pStyle w:val="Heading2"/>
        <w:rPr>
          <w:rFonts w:ascii="Verdana" w:hAnsi="Verdana"/>
          <w:sz w:val="20"/>
        </w:rPr>
      </w:pPr>
      <w:bookmarkStart w:id="25" w:name="_Toc241562337"/>
      <w:r>
        <w:rPr>
          <w:rFonts w:ascii="Verdana" w:hAnsi="Verdana"/>
          <w:sz w:val="20"/>
        </w:rPr>
        <w:t xml:space="preserve">Information Available to </w:t>
      </w:r>
      <w:r w:rsidR="00753F20">
        <w:rPr>
          <w:rFonts w:ascii="Verdana" w:hAnsi="Verdana"/>
          <w:sz w:val="20"/>
        </w:rPr>
        <w:t>Qualifying Bidders</w:t>
      </w:r>
      <w:bookmarkEnd w:id="23"/>
      <w:bookmarkEnd w:id="24"/>
      <w:bookmarkEnd w:id="25"/>
    </w:p>
    <w:p w:rsidR="000F08F4" w:rsidRDefault="000F08F4" w:rsidP="008E5C5D">
      <w:pPr>
        <w:pStyle w:val="Heading3"/>
        <w:keepNext/>
        <w:keepLines/>
        <w:ind w:left="1559"/>
        <w:rPr>
          <w:rFonts w:ascii="Verdana" w:hAnsi="Verdana"/>
          <w:b/>
          <w:bCs/>
          <w:sz w:val="20"/>
        </w:rPr>
      </w:pPr>
      <w:bookmarkStart w:id="26" w:name="_Consortium_changes_for"/>
      <w:bookmarkStart w:id="27" w:name="_Ref231994152"/>
      <w:bookmarkEnd w:id="26"/>
      <w:r>
        <w:rPr>
          <w:rFonts w:ascii="Verdana" w:hAnsi="Verdana"/>
          <w:b/>
          <w:bCs/>
          <w:sz w:val="20"/>
        </w:rPr>
        <w:t>Data Room</w:t>
      </w:r>
    </w:p>
    <w:p w:rsidR="000F08F4" w:rsidRDefault="000F08F4" w:rsidP="000F08F4">
      <w:pPr>
        <w:pStyle w:val="BodyText"/>
        <w:ind w:left="1559"/>
        <w:rPr>
          <w:rFonts w:ascii="Verdana" w:hAnsi="Verdana"/>
          <w:sz w:val="20"/>
        </w:rPr>
      </w:pPr>
      <w:r>
        <w:rPr>
          <w:rFonts w:ascii="Verdana" w:hAnsi="Verdana"/>
          <w:sz w:val="20"/>
        </w:rPr>
        <w:t>Ofgem has established electronic Data Room</w:t>
      </w:r>
      <w:r w:rsidR="00126BA9">
        <w:rPr>
          <w:rFonts w:ascii="Verdana" w:hAnsi="Verdana"/>
          <w:sz w:val="20"/>
        </w:rPr>
        <w:t>s</w:t>
      </w:r>
      <w:r>
        <w:rPr>
          <w:rFonts w:ascii="Verdana" w:hAnsi="Verdana"/>
          <w:sz w:val="20"/>
        </w:rPr>
        <w:t xml:space="preserve"> for </w:t>
      </w:r>
      <w:r w:rsidR="00126BA9">
        <w:rPr>
          <w:rFonts w:ascii="Verdana" w:hAnsi="Verdana"/>
          <w:sz w:val="20"/>
        </w:rPr>
        <w:t>each Qualifying Project a</w:t>
      </w:r>
      <w:r>
        <w:rPr>
          <w:rFonts w:ascii="Verdana" w:hAnsi="Verdana"/>
          <w:sz w:val="20"/>
        </w:rPr>
        <w:t xml:space="preserve">t </w:t>
      </w:r>
      <w:hyperlink r:id="rId18" w:history="1">
        <w:r w:rsidRPr="00BD4B59">
          <w:rPr>
            <w:rStyle w:val="Hyperlink"/>
            <w:rFonts w:ascii="Verdana" w:hAnsi="Verdana"/>
            <w:sz w:val="20"/>
          </w:rPr>
          <w:t>www.ofgem.bravosolution.co.uk</w:t>
        </w:r>
      </w:hyperlink>
      <w:r>
        <w:rPr>
          <w:rFonts w:ascii="Verdana" w:hAnsi="Verdana"/>
          <w:sz w:val="20"/>
        </w:rPr>
        <w:t xml:space="preserve">.  </w:t>
      </w:r>
      <w:r w:rsidR="00126BA9">
        <w:rPr>
          <w:rFonts w:ascii="Verdana" w:hAnsi="Verdana"/>
          <w:sz w:val="20"/>
        </w:rPr>
        <w:t>Qualifying Bidders will have access to those Data Rooms for which</w:t>
      </w:r>
      <w:r w:rsidR="004B4382">
        <w:rPr>
          <w:rFonts w:ascii="Verdana" w:hAnsi="Verdana"/>
          <w:sz w:val="20"/>
        </w:rPr>
        <w:t xml:space="preserve"> it has been shortlisted</w:t>
      </w:r>
      <w:r w:rsidR="00126BA9">
        <w:rPr>
          <w:rFonts w:ascii="Verdana" w:hAnsi="Verdana"/>
          <w:sz w:val="20"/>
        </w:rPr>
        <w:t xml:space="preserve">.  These </w:t>
      </w:r>
      <w:r>
        <w:rPr>
          <w:rFonts w:ascii="Verdana" w:hAnsi="Verdana"/>
          <w:sz w:val="20"/>
        </w:rPr>
        <w:t>ha</w:t>
      </w:r>
      <w:r w:rsidR="00126BA9">
        <w:rPr>
          <w:rFonts w:ascii="Verdana" w:hAnsi="Verdana"/>
          <w:sz w:val="20"/>
        </w:rPr>
        <w:t>ve</w:t>
      </w:r>
      <w:r>
        <w:rPr>
          <w:rFonts w:ascii="Verdana" w:hAnsi="Verdana"/>
          <w:sz w:val="20"/>
        </w:rPr>
        <w:t xml:space="preserve"> primarily been populated with information from </w:t>
      </w:r>
      <w:r w:rsidR="00126BA9">
        <w:rPr>
          <w:rFonts w:ascii="Verdana" w:hAnsi="Verdana"/>
          <w:sz w:val="20"/>
        </w:rPr>
        <w:t xml:space="preserve">Developers </w:t>
      </w:r>
      <w:r w:rsidR="006A4950">
        <w:rPr>
          <w:rFonts w:ascii="Verdana" w:hAnsi="Verdana"/>
          <w:sz w:val="20"/>
        </w:rPr>
        <w:t>although information from other</w:t>
      </w:r>
      <w:r w:rsidR="00126BA9">
        <w:rPr>
          <w:rFonts w:ascii="Verdana" w:hAnsi="Verdana"/>
          <w:sz w:val="20"/>
        </w:rPr>
        <w:t xml:space="preserve"> third parties is also included, as well as information from Ofg</w:t>
      </w:r>
      <w:r w:rsidR="006A4950">
        <w:rPr>
          <w:rFonts w:ascii="Verdana" w:hAnsi="Verdana"/>
          <w:sz w:val="20"/>
        </w:rPr>
        <w:t>em</w:t>
      </w:r>
      <w:r w:rsidR="00126BA9">
        <w:rPr>
          <w:rFonts w:ascii="Verdana" w:hAnsi="Verdana"/>
          <w:sz w:val="20"/>
        </w:rPr>
        <w:t xml:space="preserve">.  This </w:t>
      </w:r>
      <w:r w:rsidR="006A4950">
        <w:rPr>
          <w:rFonts w:ascii="Verdana" w:hAnsi="Verdana"/>
          <w:sz w:val="20"/>
        </w:rPr>
        <w:t xml:space="preserve">comprises information made available </w:t>
      </w:r>
      <w:r w:rsidR="00E175B6">
        <w:rPr>
          <w:rFonts w:ascii="Verdana" w:hAnsi="Verdana"/>
          <w:sz w:val="20"/>
        </w:rPr>
        <w:t xml:space="preserve">previously </w:t>
      </w:r>
      <w:r w:rsidR="00126BA9">
        <w:rPr>
          <w:rFonts w:ascii="Verdana" w:hAnsi="Verdana"/>
          <w:sz w:val="20"/>
        </w:rPr>
        <w:t xml:space="preserve">during the Tender Process </w:t>
      </w:r>
      <w:r w:rsidR="006A4950">
        <w:rPr>
          <w:rFonts w:ascii="Verdana" w:hAnsi="Verdana"/>
          <w:sz w:val="20"/>
        </w:rPr>
        <w:t>and new information.</w:t>
      </w:r>
      <w:r w:rsidR="00852DEE">
        <w:rPr>
          <w:rFonts w:ascii="Verdana" w:hAnsi="Verdana"/>
          <w:sz w:val="20"/>
        </w:rPr>
        <w:t xml:space="preserve">  </w:t>
      </w:r>
    </w:p>
    <w:p w:rsidR="00852DEE" w:rsidRPr="00852DEE" w:rsidRDefault="00852DEE" w:rsidP="00852DEE">
      <w:pPr>
        <w:pStyle w:val="Heading3"/>
        <w:rPr>
          <w:rFonts w:ascii="Verdana" w:hAnsi="Verdana"/>
          <w:sz w:val="20"/>
        </w:rPr>
      </w:pPr>
      <w:r w:rsidRPr="00852DEE">
        <w:rPr>
          <w:rFonts w:ascii="Verdana" w:hAnsi="Verdana"/>
          <w:sz w:val="20"/>
        </w:rPr>
        <w:t>Each Data Room is fully indexed.  Any changes to the Data Rooms will be communicated to Qualifying Bidders by making available updated indexes.</w:t>
      </w:r>
    </w:p>
    <w:p w:rsidR="006A4950" w:rsidRDefault="000F08F4" w:rsidP="008E5C5D">
      <w:pPr>
        <w:pStyle w:val="Heading3"/>
        <w:keepNext/>
        <w:keepLines/>
        <w:ind w:left="1559"/>
        <w:rPr>
          <w:rFonts w:ascii="Verdana" w:hAnsi="Verdana"/>
          <w:b/>
          <w:bCs/>
          <w:sz w:val="20"/>
        </w:rPr>
      </w:pPr>
      <w:r>
        <w:rPr>
          <w:rFonts w:ascii="Verdana" w:hAnsi="Verdana"/>
          <w:b/>
          <w:bCs/>
          <w:sz w:val="20"/>
        </w:rPr>
        <w:t>Info</w:t>
      </w:r>
      <w:r w:rsidR="006A4950">
        <w:rPr>
          <w:rFonts w:ascii="Verdana" w:hAnsi="Verdana"/>
          <w:b/>
          <w:bCs/>
          <w:sz w:val="20"/>
        </w:rPr>
        <w:t>rmation Provided by Developer</w:t>
      </w:r>
      <w:r w:rsidR="00126BA9">
        <w:rPr>
          <w:rFonts w:ascii="Verdana" w:hAnsi="Verdana"/>
          <w:b/>
          <w:bCs/>
          <w:sz w:val="20"/>
        </w:rPr>
        <w:t>s</w:t>
      </w:r>
    </w:p>
    <w:p w:rsidR="00E175B6" w:rsidRPr="00D23A58" w:rsidRDefault="00D23A58" w:rsidP="00D23A58">
      <w:pPr>
        <w:pStyle w:val="BodyText"/>
        <w:ind w:left="1559"/>
        <w:rPr>
          <w:rFonts w:ascii="Verdana" w:hAnsi="Verdana"/>
          <w:sz w:val="20"/>
        </w:rPr>
      </w:pPr>
      <w:r>
        <w:rPr>
          <w:rFonts w:ascii="Verdana" w:hAnsi="Verdana"/>
          <w:sz w:val="20"/>
        </w:rPr>
        <w:t xml:space="preserve">A significant volume of information has been provided by </w:t>
      </w:r>
      <w:r w:rsidR="00126BA9">
        <w:rPr>
          <w:rFonts w:ascii="Verdana" w:hAnsi="Verdana"/>
          <w:sz w:val="20"/>
        </w:rPr>
        <w:t>Developers,</w:t>
      </w:r>
      <w:r>
        <w:rPr>
          <w:rFonts w:ascii="Verdana" w:hAnsi="Verdana"/>
          <w:sz w:val="20"/>
        </w:rPr>
        <w:t xml:space="preserve"> which is </w:t>
      </w:r>
      <w:r w:rsidR="006A4950">
        <w:rPr>
          <w:rFonts w:ascii="Verdana" w:hAnsi="Verdana"/>
          <w:sz w:val="20"/>
        </w:rPr>
        <w:t xml:space="preserve">collated into a number of different folders </w:t>
      </w:r>
      <w:r w:rsidR="006A4950" w:rsidRPr="00E175B6">
        <w:rPr>
          <w:rFonts w:ascii="Verdana" w:hAnsi="Verdana"/>
          <w:sz w:val="20"/>
        </w:rPr>
        <w:t xml:space="preserve">within </w:t>
      </w:r>
      <w:r w:rsidR="00126BA9">
        <w:rPr>
          <w:rFonts w:ascii="Verdana" w:hAnsi="Verdana"/>
          <w:sz w:val="20"/>
        </w:rPr>
        <w:t xml:space="preserve">each </w:t>
      </w:r>
      <w:r w:rsidR="006A4950" w:rsidRPr="00E175B6">
        <w:rPr>
          <w:rFonts w:ascii="Verdana" w:hAnsi="Verdana"/>
          <w:sz w:val="20"/>
        </w:rPr>
        <w:t>Dat</w:t>
      </w:r>
      <w:r>
        <w:rPr>
          <w:rFonts w:ascii="Verdana" w:hAnsi="Verdana"/>
          <w:sz w:val="20"/>
        </w:rPr>
        <w:t xml:space="preserve">a Room.  </w:t>
      </w:r>
      <w:r w:rsidR="00126BA9">
        <w:rPr>
          <w:rFonts w:ascii="Verdana" w:hAnsi="Verdana"/>
          <w:sz w:val="20"/>
        </w:rPr>
        <w:t>D</w:t>
      </w:r>
      <w:r>
        <w:rPr>
          <w:rFonts w:ascii="Verdana" w:hAnsi="Verdana"/>
          <w:sz w:val="20"/>
        </w:rPr>
        <w:t>etailed index</w:t>
      </w:r>
      <w:r w:rsidR="00126BA9">
        <w:rPr>
          <w:rFonts w:ascii="Verdana" w:hAnsi="Verdana"/>
          <w:sz w:val="20"/>
        </w:rPr>
        <w:t>es</w:t>
      </w:r>
      <w:r>
        <w:rPr>
          <w:rFonts w:ascii="Verdana" w:hAnsi="Verdana"/>
          <w:sz w:val="20"/>
        </w:rPr>
        <w:t xml:space="preserve"> </w:t>
      </w:r>
      <w:r w:rsidR="00126BA9">
        <w:rPr>
          <w:rFonts w:ascii="Verdana" w:hAnsi="Verdana"/>
          <w:sz w:val="20"/>
        </w:rPr>
        <w:t>are</w:t>
      </w:r>
      <w:r>
        <w:rPr>
          <w:rFonts w:ascii="Verdana" w:hAnsi="Verdana"/>
          <w:sz w:val="20"/>
        </w:rPr>
        <w:t xml:space="preserve"> provided in the “Read Me First” folder of </w:t>
      </w:r>
      <w:r w:rsidR="00126BA9">
        <w:rPr>
          <w:rFonts w:ascii="Verdana" w:hAnsi="Verdana"/>
          <w:sz w:val="20"/>
        </w:rPr>
        <w:t xml:space="preserve">each </w:t>
      </w:r>
      <w:r>
        <w:rPr>
          <w:rFonts w:ascii="Verdana" w:hAnsi="Verdana"/>
          <w:sz w:val="20"/>
        </w:rPr>
        <w:t xml:space="preserve">Data Room, which </w:t>
      </w:r>
      <w:r w:rsidR="00126BA9">
        <w:rPr>
          <w:rFonts w:ascii="Verdana" w:hAnsi="Verdana"/>
          <w:sz w:val="20"/>
        </w:rPr>
        <w:t>are</w:t>
      </w:r>
      <w:r>
        <w:rPr>
          <w:rFonts w:ascii="Verdana" w:hAnsi="Verdana"/>
          <w:sz w:val="20"/>
        </w:rPr>
        <w:t xml:space="preserve"> accessible at the top level of the folder structure.</w:t>
      </w:r>
      <w:r w:rsidR="006A4950" w:rsidRPr="00E175B6">
        <w:rPr>
          <w:rFonts w:ascii="Verdana" w:hAnsi="Verdana"/>
          <w:sz w:val="20"/>
        </w:rPr>
        <w:t xml:space="preserve"> </w:t>
      </w:r>
    </w:p>
    <w:p w:rsidR="001B2BBC" w:rsidRDefault="00126BA9" w:rsidP="001B2BBC">
      <w:pPr>
        <w:pStyle w:val="BodyText"/>
        <w:ind w:left="1559"/>
        <w:rPr>
          <w:rFonts w:ascii="Verdana" w:hAnsi="Verdana"/>
          <w:sz w:val="20"/>
        </w:rPr>
      </w:pPr>
      <w:r>
        <w:rPr>
          <w:rFonts w:ascii="Verdana" w:hAnsi="Verdana"/>
          <w:sz w:val="20"/>
        </w:rPr>
        <w:t xml:space="preserve">Developers </w:t>
      </w:r>
      <w:r w:rsidR="001B2BBC">
        <w:rPr>
          <w:rFonts w:ascii="Verdana" w:hAnsi="Verdana"/>
          <w:sz w:val="20"/>
        </w:rPr>
        <w:t>ha</w:t>
      </w:r>
      <w:r>
        <w:rPr>
          <w:rFonts w:ascii="Verdana" w:hAnsi="Verdana"/>
          <w:sz w:val="20"/>
        </w:rPr>
        <w:t>ve</w:t>
      </w:r>
      <w:r w:rsidR="001B2BBC">
        <w:rPr>
          <w:rFonts w:ascii="Verdana" w:hAnsi="Verdana"/>
          <w:sz w:val="20"/>
        </w:rPr>
        <w:t xml:space="preserve"> </w:t>
      </w:r>
      <w:r>
        <w:rPr>
          <w:rFonts w:ascii="Verdana" w:hAnsi="Verdana"/>
          <w:sz w:val="20"/>
        </w:rPr>
        <w:t xml:space="preserve">also </w:t>
      </w:r>
      <w:r w:rsidR="001B2BBC">
        <w:rPr>
          <w:rFonts w:ascii="Verdana" w:hAnsi="Verdana"/>
          <w:sz w:val="20"/>
        </w:rPr>
        <w:t xml:space="preserve">populated the </w:t>
      </w:r>
      <w:r w:rsidR="00A24BB4">
        <w:rPr>
          <w:rFonts w:ascii="Verdana" w:hAnsi="Verdana"/>
          <w:sz w:val="20"/>
        </w:rPr>
        <w:t>M</w:t>
      </w:r>
      <w:r w:rsidR="001B2BBC">
        <w:rPr>
          <w:rFonts w:ascii="Verdana" w:hAnsi="Verdana"/>
          <w:sz w:val="20"/>
        </w:rPr>
        <w:t xml:space="preserve">odel SPA to produce </w:t>
      </w:r>
      <w:r w:rsidR="00A24BB4">
        <w:rPr>
          <w:rFonts w:ascii="Verdana" w:hAnsi="Verdana"/>
          <w:sz w:val="20"/>
        </w:rPr>
        <w:t>the Draft Project SPA</w:t>
      </w:r>
      <w:r>
        <w:rPr>
          <w:rFonts w:ascii="Verdana" w:hAnsi="Verdana"/>
          <w:sz w:val="20"/>
        </w:rPr>
        <w:t>s</w:t>
      </w:r>
      <w:r w:rsidR="00A24BB4">
        <w:rPr>
          <w:rFonts w:ascii="Verdana" w:hAnsi="Verdana"/>
          <w:sz w:val="20"/>
        </w:rPr>
        <w:t xml:space="preserve">, </w:t>
      </w:r>
      <w:r>
        <w:rPr>
          <w:rFonts w:ascii="Verdana" w:hAnsi="Verdana"/>
          <w:sz w:val="20"/>
        </w:rPr>
        <w:t xml:space="preserve">which are </w:t>
      </w:r>
      <w:r w:rsidR="001B2BBC">
        <w:rPr>
          <w:rFonts w:ascii="Verdana" w:hAnsi="Verdana"/>
          <w:sz w:val="20"/>
        </w:rPr>
        <w:t>project specific agreement</w:t>
      </w:r>
      <w:r>
        <w:rPr>
          <w:rFonts w:ascii="Verdana" w:hAnsi="Verdana"/>
          <w:sz w:val="20"/>
        </w:rPr>
        <w:t>s</w:t>
      </w:r>
      <w:r w:rsidR="001B2BBC">
        <w:rPr>
          <w:rFonts w:ascii="Verdana" w:hAnsi="Verdana"/>
          <w:sz w:val="20"/>
        </w:rPr>
        <w:t xml:space="preserve"> for </w:t>
      </w:r>
      <w:r>
        <w:rPr>
          <w:rFonts w:ascii="Verdana" w:hAnsi="Verdana"/>
          <w:sz w:val="20"/>
        </w:rPr>
        <w:t>each Qualifying Projec</w:t>
      </w:r>
      <w:r w:rsidR="004B4382">
        <w:rPr>
          <w:rFonts w:ascii="Verdana" w:hAnsi="Verdana"/>
          <w:sz w:val="20"/>
        </w:rPr>
        <w:t>t</w:t>
      </w:r>
      <w:r>
        <w:rPr>
          <w:rFonts w:ascii="Verdana" w:hAnsi="Verdana"/>
          <w:sz w:val="20"/>
        </w:rPr>
        <w:t xml:space="preserve">. </w:t>
      </w:r>
      <w:r w:rsidR="001B2BBC">
        <w:rPr>
          <w:rFonts w:ascii="Verdana" w:hAnsi="Verdana"/>
          <w:sz w:val="20"/>
        </w:rPr>
        <w:t xml:space="preserve"> Th</w:t>
      </w:r>
      <w:r>
        <w:rPr>
          <w:rFonts w:ascii="Verdana" w:hAnsi="Verdana"/>
          <w:sz w:val="20"/>
        </w:rPr>
        <w:t>ese</w:t>
      </w:r>
      <w:r w:rsidR="001B2BBC">
        <w:rPr>
          <w:rFonts w:ascii="Verdana" w:hAnsi="Verdana"/>
          <w:sz w:val="20"/>
        </w:rPr>
        <w:t xml:space="preserve"> </w:t>
      </w:r>
      <w:r w:rsidR="00A24BB4">
        <w:rPr>
          <w:rFonts w:ascii="Verdana" w:hAnsi="Verdana"/>
          <w:sz w:val="20"/>
        </w:rPr>
        <w:t>D</w:t>
      </w:r>
      <w:r w:rsidR="001B2BBC">
        <w:rPr>
          <w:rFonts w:ascii="Verdana" w:hAnsi="Verdana"/>
          <w:sz w:val="20"/>
        </w:rPr>
        <w:t xml:space="preserve">raft </w:t>
      </w:r>
      <w:r w:rsidR="00A24BB4">
        <w:rPr>
          <w:rFonts w:ascii="Verdana" w:hAnsi="Verdana"/>
          <w:sz w:val="20"/>
        </w:rPr>
        <w:t xml:space="preserve">Project </w:t>
      </w:r>
      <w:r w:rsidR="001B2BBC">
        <w:rPr>
          <w:rFonts w:ascii="Verdana" w:hAnsi="Verdana"/>
          <w:sz w:val="20"/>
        </w:rPr>
        <w:t>SPA</w:t>
      </w:r>
      <w:r>
        <w:rPr>
          <w:rFonts w:ascii="Verdana" w:hAnsi="Verdana"/>
          <w:sz w:val="20"/>
        </w:rPr>
        <w:t>s</w:t>
      </w:r>
      <w:r w:rsidR="001B2BBC">
        <w:rPr>
          <w:rFonts w:ascii="Verdana" w:hAnsi="Verdana"/>
          <w:sz w:val="20"/>
        </w:rPr>
        <w:t xml:space="preserve"> </w:t>
      </w:r>
      <w:r>
        <w:rPr>
          <w:rFonts w:ascii="Verdana" w:hAnsi="Verdana"/>
          <w:sz w:val="20"/>
        </w:rPr>
        <w:t>are</w:t>
      </w:r>
      <w:r w:rsidR="001B2BBC">
        <w:rPr>
          <w:rFonts w:ascii="Verdana" w:hAnsi="Verdana"/>
          <w:sz w:val="20"/>
        </w:rPr>
        <w:t xml:space="preserve"> provided in the </w:t>
      </w:r>
      <w:r>
        <w:rPr>
          <w:rFonts w:ascii="Verdana" w:hAnsi="Verdana"/>
          <w:sz w:val="20"/>
        </w:rPr>
        <w:t xml:space="preserve">relevant </w:t>
      </w:r>
      <w:r w:rsidR="001B2BBC">
        <w:rPr>
          <w:rFonts w:ascii="Verdana" w:hAnsi="Verdana"/>
          <w:sz w:val="20"/>
        </w:rPr>
        <w:t>Data Room</w:t>
      </w:r>
      <w:r>
        <w:rPr>
          <w:rFonts w:ascii="Verdana" w:hAnsi="Verdana"/>
          <w:sz w:val="20"/>
        </w:rPr>
        <w:t>s</w:t>
      </w:r>
      <w:r w:rsidR="001B2BBC">
        <w:rPr>
          <w:rFonts w:ascii="Verdana" w:hAnsi="Verdana"/>
          <w:sz w:val="20"/>
        </w:rPr>
        <w:t xml:space="preserve"> both as </w:t>
      </w:r>
      <w:r w:rsidR="001B2BBC">
        <w:rPr>
          <w:rFonts w:ascii="Verdana" w:hAnsi="Verdana"/>
          <w:sz w:val="20"/>
        </w:rPr>
        <w:lastRenderedPageBreak/>
        <w:t>clean MS Word document</w:t>
      </w:r>
      <w:r>
        <w:rPr>
          <w:rFonts w:ascii="Verdana" w:hAnsi="Verdana"/>
          <w:sz w:val="20"/>
        </w:rPr>
        <w:t>s</w:t>
      </w:r>
      <w:r w:rsidR="001B2BBC">
        <w:rPr>
          <w:rFonts w:ascii="Verdana" w:hAnsi="Verdana"/>
          <w:sz w:val="20"/>
        </w:rPr>
        <w:t xml:space="preserve"> and as version</w:t>
      </w:r>
      <w:r>
        <w:rPr>
          <w:rFonts w:ascii="Verdana" w:hAnsi="Verdana"/>
          <w:sz w:val="20"/>
        </w:rPr>
        <w:t>s</w:t>
      </w:r>
      <w:r w:rsidR="001B2BBC">
        <w:rPr>
          <w:rFonts w:ascii="Verdana" w:hAnsi="Verdana"/>
          <w:sz w:val="20"/>
        </w:rPr>
        <w:t xml:space="preserve"> showing changes against the </w:t>
      </w:r>
      <w:r w:rsidR="00A24BB4">
        <w:rPr>
          <w:rFonts w:ascii="Verdana" w:hAnsi="Verdana"/>
          <w:sz w:val="20"/>
        </w:rPr>
        <w:t>M</w:t>
      </w:r>
      <w:r w:rsidR="001B2BBC">
        <w:rPr>
          <w:rFonts w:ascii="Verdana" w:hAnsi="Verdana"/>
          <w:sz w:val="20"/>
        </w:rPr>
        <w:t>odel SPA.</w:t>
      </w:r>
    </w:p>
    <w:p w:rsidR="000B3108" w:rsidRDefault="00126BA9" w:rsidP="00126BA9">
      <w:pPr>
        <w:pStyle w:val="BodyText"/>
        <w:ind w:left="1559"/>
        <w:rPr>
          <w:rFonts w:ascii="Verdana" w:hAnsi="Verdana"/>
          <w:sz w:val="20"/>
        </w:rPr>
      </w:pPr>
      <w:r>
        <w:rPr>
          <w:rFonts w:ascii="Verdana" w:hAnsi="Verdana"/>
          <w:sz w:val="20"/>
        </w:rPr>
        <w:t>D</w:t>
      </w:r>
      <w:r w:rsidR="00A24BB4">
        <w:rPr>
          <w:rFonts w:ascii="Verdana" w:hAnsi="Verdana"/>
          <w:sz w:val="20"/>
        </w:rPr>
        <w:t xml:space="preserve">evelopers have </w:t>
      </w:r>
      <w:r w:rsidR="001B2BBC">
        <w:rPr>
          <w:rFonts w:ascii="Verdana" w:hAnsi="Verdana"/>
          <w:sz w:val="20"/>
        </w:rPr>
        <w:t>also provided</w:t>
      </w:r>
      <w:r w:rsidR="00A24BB4">
        <w:rPr>
          <w:rFonts w:ascii="Verdana" w:hAnsi="Verdana"/>
          <w:sz w:val="20"/>
        </w:rPr>
        <w:t xml:space="preserve"> other ancillary documentation associated with the S</w:t>
      </w:r>
      <w:r w:rsidR="0076561E">
        <w:rPr>
          <w:rFonts w:ascii="Verdana" w:hAnsi="Verdana"/>
          <w:sz w:val="20"/>
        </w:rPr>
        <w:t xml:space="preserve">ale and </w:t>
      </w:r>
      <w:r w:rsidR="00A24BB4">
        <w:rPr>
          <w:rFonts w:ascii="Verdana" w:hAnsi="Verdana"/>
          <w:sz w:val="20"/>
        </w:rPr>
        <w:t>P</w:t>
      </w:r>
      <w:r w:rsidR="0076561E">
        <w:rPr>
          <w:rFonts w:ascii="Verdana" w:hAnsi="Verdana"/>
          <w:sz w:val="20"/>
        </w:rPr>
        <w:t xml:space="preserve">urchase </w:t>
      </w:r>
      <w:r w:rsidR="00A24BB4">
        <w:rPr>
          <w:rFonts w:ascii="Verdana" w:hAnsi="Verdana"/>
          <w:sz w:val="20"/>
        </w:rPr>
        <w:t>A</w:t>
      </w:r>
      <w:r w:rsidR="0076561E">
        <w:rPr>
          <w:rFonts w:ascii="Verdana" w:hAnsi="Verdana"/>
          <w:sz w:val="20"/>
        </w:rPr>
        <w:t>greement</w:t>
      </w:r>
      <w:r w:rsidR="002367E5">
        <w:rPr>
          <w:rFonts w:ascii="Verdana" w:hAnsi="Verdana"/>
          <w:sz w:val="20"/>
        </w:rPr>
        <w:t xml:space="preserve"> and interface issues.</w:t>
      </w:r>
    </w:p>
    <w:p w:rsidR="00EB641A" w:rsidRDefault="006A4950" w:rsidP="008E5C5D">
      <w:pPr>
        <w:pStyle w:val="Heading3"/>
        <w:keepNext/>
        <w:keepLines/>
        <w:ind w:left="1559"/>
        <w:rPr>
          <w:rFonts w:ascii="Verdana" w:hAnsi="Verdana"/>
          <w:b/>
          <w:bCs/>
          <w:sz w:val="20"/>
        </w:rPr>
      </w:pPr>
      <w:r>
        <w:rPr>
          <w:rFonts w:ascii="Verdana" w:hAnsi="Verdana"/>
          <w:b/>
          <w:bCs/>
          <w:sz w:val="20"/>
        </w:rPr>
        <w:t xml:space="preserve">Information from </w:t>
      </w:r>
      <w:r w:rsidR="000F08F4">
        <w:rPr>
          <w:rFonts w:ascii="Verdana" w:hAnsi="Verdana"/>
          <w:b/>
          <w:bCs/>
          <w:sz w:val="20"/>
        </w:rPr>
        <w:t xml:space="preserve">Third Parties </w:t>
      </w:r>
    </w:p>
    <w:p w:rsidR="003B5FB7" w:rsidRDefault="006A4950" w:rsidP="003B5FB7">
      <w:pPr>
        <w:pStyle w:val="BodyText"/>
        <w:ind w:left="1559"/>
        <w:rPr>
          <w:rFonts w:ascii="Verdana" w:hAnsi="Verdana"/>
          <w:sz w:val="20"/>
        </w:rPr>
      </w:pPr>
      <w:r>
        <w:rPr>
          <w:rFonts w:ascii="Verdana" w:hAnsi="Verdana"/>
          <w:sz w:val="20"/>
        </w:rPr>
        <w:t>Information from other third parties has also been uploaded to the</w:t>
      </w:r>
      <w:r w:rsidR="00E175B6">
        <w:rPr>
          <w:rFonts w:ascii="Verdana" w:hAnsi="Verdana"/>
          <w:sz w:val="20"/>
        </w:rPr>
        <w:t xml:space="preserve"> </w:t>
      </w:r>
      <w:r>
        <w:rPr>
          <w:rFonts w:ascii="Verdana" w:hAnsi="Verdana"/>
          <w:sz w:val="20"/>
        </w:rPr>
        <w:t xml:space="preserve">Data Room.  </w:t>
      </w:r>
      <w:r w:rsidR="004C5B2E">
        <w:rPr>
          <w:rFonts w:ascii="Verdana" w:hAnsi="Verdana"/>
          <w:sz w:val="20"/>
        </w:rPr>
        <w:t>An overview of this is set out below:</w:t>
      </w:r>
      <w:r w:rsidR="00FB62F7">
        <w:rPr>
          <w:rFonts w:ascii="Verdana" w:hAnsi="Verdana"/>
          <w:sz w:val="20"/>
        </w:rPr>
        <w:t xml:space="preserve"> </w:t>
      </w:r>
    </w:p>
    <w:p w:rsidR="003B5FB7" w:rsidRPr="006E5E11" w:rsidRDefault="00E175B6" w:rsidP="00733EA7">
      <w:pPr>
        <w:pStyle w:val="Heading4"/>
        <w:tabs>
          <w:tab w:val="num" w:pos="2268"/>
        </w:tabs>
        <w:ind w:left="2268" w:hanging="708"/>
        <w:jc w:val="left"/>
        <w:rPr>
          <w:rFonts w:ascii="Verdana" w:hAnsi="Verdana"/>
          <w:sz w:val="20"/>
        </w:rPr>
      </w:pPr>
      <w:r w:rsidRPr="006E5E11">
        <w:rPr>
          <w:rFonts w:ascii="Verdana" w:hAnsi="Verdana"/>
          <w:sz w:val="20"/>
        </w:rPr>
        <w:t>National Electrici</w:t>
      </w:r>
      <w:r w:rsidR="006E5E11" w:rsidRPr="006E5E11">
        <w:rPr>
          <w:rFonts w:ascii="Verdana" w:hAnsi="Verdana"/>
          <w:sz w:val="20"/>
        </w:rPr>
        <w:t xml:space="preserve">ty Transmission System Operator </w:t>
      </w:r>
      <w:r w:rsidR="004C5B2E" w:rsidRPr="006E5E11">
        <w:rPr>
          <w:rFonts w:ascii="Verdana" w:hAnsi="Verdana"/>
          <w:sz w:val="20"/>
        </w:rPr>
        <w:t xml:space="preserve">– </w:t>
      </w:r>
      <w:r w:rsidRPr="006E5E11">
        <w:rPr>
          <w:rFonts w:ascii="Verdana" w:hAnsi="Verdana"/>
          <w:sz w:val="20"/>
        </w:rPr>
        <w:t xml:space="preserve">The NETSO has provided a number of documents into the Data Room, including </w:t>
      </w:r>
      <w:r w:rsidR="006E5E11" w:rsidRPr="006E5E11">
        <w:rPr>
          <w:rFonts w:ascii="Verdana" w:hAnsi="Verdana"/>
          <w:sz w:val="20"/>
        </w:rPr>
        <w:t xml:space="preserve">the Offshore Transmission Construction Agreement (TOCA), upstream network data and </w:t>
      </w:r>
      <w:r w:rsidRPr="006E5E11">
        <w:rPr>
          <w:rFonts w:ascii="Verdana" w:hAnsi="Verdana"/>
          <w:sz w:val="20"/>
        </w:rPr>
        <w:t xml:space="preserve">standard documentation from </w:t>
      </w:r>
      <w:r w:rsidR="006E5E11" w:rsidRPr="006E5E11">
        <w:rPr>
          <w:rFonts w:ascii="Verdana" w:hAnsi="Verdana"/>
          <w:sz w:val="20"/>
        </w:rPr>
        <w:t>the industry codes.</w:t>
      </w:r>
    </w:p>
    <w:p w:rsidR="006E5E11" w:rsidRPr="006E5E11" w:rsidRDefault="006E5E11" w:rsidP="00733EA7">
      <w:pPr>
        <w:pStyle w:val="Heading4"/>
        <w:tabs>
          <w:tab w:val="num" w:pos="2268"/>
        </w:tabs>
        <w:ind w:left="2268" w:hanging="708"/>
        <w:jc w:val="left"/>
        <w:rPr>
          <w:rFonts w:ascii="Verdana" w:hAnsi="Verdana"/>
          <w:sz w:val="20"/>
        </w:rPr>
      </w:pPr>
      <w:r w:rsidRPr="006E5E11">
        <w:rPr>
          <w:rFonts w:ascii="Verdana" w:hAnsi="Verdana"/>
          <w:sz w:val="20"/>
        </w:rPr>
        <w:t>The Department for Energy and Climate Change</w:t>
      </w:r>
      <w:r w:rsidR="00126BA9">
        <w:rPr>
          <w:rStyle w:val="FootnoteReference"/>
          <w:rFonts w:ascii="Verdana" w:hAnsi="Verdana"/>
          <w:sz w:val="20"/>
        </w:rPr>
        <w:footnoteReference w:id="2"/>
      </w:r>
      <w:r w:rsidRPr="006E5E11">
        <w:rPr>
          <w:rFonts w:ascii="Verdana" w:hAnsi="Verdana"/>
          <w:sz w:val="20"/>
        </w:rPr>
        <w:t xml:space="preserve"> </w:t>
      </w:r>
      <w:r w:rsidR="004C5B2E" w:rsidRPr="006E5E11">
        <w:rPr>
          <w:rFonts w:ascii="Verdana" w:hAnsi="Verdana"/>
          <w:sz w:val="20"/>
        </w:rPr>
        <w:t>–Decommis</w:t>
      </w:r>
      <w:r w:rsidRPr="006E5E11">
        <w:rPr>
          <w:rFonts w:ascii="Verdana" w:hAnsi="Verdana"/>
          <w:sz w:val="20"/>
        </w:rPr>
        <w:t>sioning Guidance</w:t>
      </w:r>
    </w:p>
    <w:p w:rsidR="003B5FB7" w:rsidRDefault="004C5B2E" w:rsidP="00733EA7">
      <w:pPr>
        <w:pStyle w:val="Heading4"/>
        <w:tabs>
          <w:tab w:val="num" w:pos="2268"/>
        </w:tabs>
        <w:ind w:left="2268" w:hanging="708"/>
        <w:jc w:val="left"/>
        <w:rPr>
          <w:rFonts w:ascii="Verdana" w:hAnsi="Verdana"/>
          <w:sz w:val="20"/>
        </w:rPr>
      </w:pPr>
      <w:r w:rsidRPr="006E5E11">
        <w:rPr>
          <w:rFonts w:ascii="Verdana" w:hAnsi="Verdana"/>
          <w:sz w:val="20"/>
        </w:rPr>
        <w:t xml:space="preserve">The Crown Estate – </w:t>
      </w:r>
      <w:r w:rsidR="006E5E11" w:rsidRPr="006E5E11">
        <w:rPr>
          <w:rFonts w:ascii="Verdana" w:hAnsi="Verdana"/>
          <w:sz w:val="20"/>
        </w:rPr>
        <w:t xml:space="preserve">The </w:t>
      </w:r>
      <w:r w:rsidR="002367E5">
        <w:rPr>
          <w:rFonts w:ascii="Verdana" w:hAnsi="Verdana"/>
          <w:sz w:val="20"/>
        </w:rPr>
        <w:t xml:space="preserve">Draft </w:t>
      </w:r>
      <w:r w:rsidR="006E5E11" w:rsidRPr="006E5E11">
        <w:rPr>
          <w:rFonts w:ascii="Verdana" w:hAnsi="Verdana"/>
          <w:sz w:val="20"/>
        </w:rPr>
        <w:t>Crown Estate Seabed Lease</w:t>
      </w:r>
    </w:p>
    <w:p w:rsidR="003B5FB7" w:rsidRPr="006E5E11" w:rsidRDefault="006E5E11" w:rsidP="00733EA7">
      <w:pPr>
        <w:pStyle w:val="Heading4"/>
        <w:tabs>
          <w:tab w:val="num" w:pos="2268"/>
        </w:tabs>
        <w:ind w:left="2268" w:hanging="708"/>
        <w:jc w:val="left"/>
        <w:rPr>
          <w:rFonts w:ascii="Verdana" w:hAnsi="Verdana"/>
          <w:sz w:val="20"/>
        </w:rPr>
      </w:pPr>
      <w:proofErr w:type="gramStart"/>
      <w:r w:rsidRPr="006E5E11">
        <w:rPr>
          <w:rFonts w:ascii="Verdana" w:hAnsi="Verdana"/>
          <w:sz w:val="20"/>
        </w:rPr>
        <w:t xml:space="preserve">Her Majesty’s Revenue and Customs </w:t>
      </w:r>
      <w:r w:rsidR="00DB0168">
        <w:rPr>
          <w:rFonts w:ascii="Verdana" w:hAnsi="Verdana"/>
          <w:sz w:val="20"/>
        </w:rPr>
        <w:t xml:space="preserve">(HMRC) </w:t>
      </w:r>
      <w:r w:rsidRPr="006E5E11">
        <w:rPr>
          <w:rFonts w:ascii="Verdana" w:hAnsi="Verdana"/>
          <w:sz w:val="20"/>
        </w:rPr>
        <w:t>–</w:t>
      </w:r>
      <w:r w:rsidR="00733EA7">
        <w:rPr>
          <w:rFonts w:ascii="Verdana" w:hAnsi="Verdana"/>
          <w:sz w:val="20"/>
        </w:rPr>
        <w:t xml:space="preserve"> </w:t>
      </w:r>
      <w:r w:rsidR="001B2BBC">
        <w:rPr>
          <w:rFonts w:ascii="Verdana" w:hAnsi="Verdana"/>
          <w:sz w:val="20"/>
        </w:rPr>
        <w:t xml:space="preserve">a letter to Ofgem regarding the VAT treatment for the transfer </w:t>
      </w:r>
      <w:r w:rsidRPr="006E5E11">
        <w:rPr>
          <w:rFonts w:ascii="Verdana" w:hAnsi="Verdana"/>
          <w:sz w:val="20"/>
        </w:rPr>
        <w:t xml:space="preserve">of the </w:t>
      </w:r>
      <w:r w:rsidR="004C5B2E" w:rsidRPr="006E5E11">
        <w:rPr>
          <w:rFonts w:ascii="Verdana" w:hAnsi="Verdana"/>
          <w:sz w:val="20"/>
        </w:rPr>
        <w:t xml:space="preserve">transmission assets </w:t>
      </w:r>
      <w:r w:rsidRPr="006E5E11">
        <w:rPr>
          <w:rFonts w:ascii="Verdana" w:hAnsi="Verdana"/>
          <w:sz w:val="20"/>
        </w:rPr>
        <w:t xml:space="preserve">from </w:t>
      </w:r>
      <w:r w:rsidR="00E46743">
        <w:rPr>
          <w:rFonts w:ascii="Verdana" w:hAnsi="Verdana"/>
          <w:sz w:val="20"/>
        </w:rPr>
        <w:t>Developers.</w:t>
      </w:r>
      <w:proofErr w:type="gramEnd"/>
      <w:r w:rsidR="00E46743">
        <w:rPr>
          <w:rFonts w:ascii="Verdana" w:hAnsi="Verdana"/>
          <w:sz w:val="20"/>
        </w:rPr>
        <w:t xml:space="preserve">  </w:t>
      </w:r>
    </w:p>
    <w:p w:rsidR="000B3108" w:rsidRDefault="00CE6266">
      <w:pPr>
        <w:pStyle w:val="BodyText"/>
        <w:ind w:left="1559"/>
        <w:rPr>
          <w:rFonts w:ascii="Verdana" w:hAnsi="Verdana"/>
          <w:sz w:val="20"/>
        </w:rPr>
      </w:pPr>
      <w:r w:rsidRPr="00CE6266">
        <w:rPr>
          <w:rFonts w:ascii="Verdana" w:hAnsi="Verdana"/>
          <w:sz w:val="20"/>
        </w:rPr>
        <w:t xml:space="preserve">It is the responsibility of each Qualifying Bidder to ensure that it has all of the information it needs to prepare its ITT Submission.  </w:t>
      </w:r>
    </w:p>
    <w:p w:rsidR="000B3108" w:rsidRDefault="00CE6266">
      <w:pPr>
        <w:pStyle w:val="BodyText"/>
        <w:ind w:left="1559"/>
        <w:rPr>
          <w:rFonts w:ascii="Verdana" w:hAnsi="Verdana"/>
          <w:sz w:val="20"/>
        </w:rPr>
      </w:pPr>
      <w:r w:rsidRPr="00CE6266">
        <w:rPr>
          <w:rFonts w:ascii="Verdana" w:hAnsi="Verdana"/>
          <w:sz w:val="20"/>
        </w:rPr>
        <w:t xml:space="preserve">While information provided by Ofgem and/or its Related Parties in </w:t>
      </w:r>
      <w:r>
        <w:rPr>
          <w:rFonts w:ascii="Verdana" w:hAnsi="Verdana"/>
          <w:sz w:val="20"/>
        </w:rPr>
        <w:t>the Data Rooms</w:t>
      </w:r>
      <w:r w:rsidRPr="00CE6266">
        <w:rPr>
          <w:rFonts w:ascii="Verdana" w:hAnsi="Verdana"/>
          <w:sz w:val="20"/>
        </w:rPr>
        <w:t xml:space="preserve"> has been prepared in good faith, it does not purport to be comprehensive or to have been independently verified.  </w:t>
      </w:r>
    </w:p>
    <w:p w:rsidR="000B3108" w:rsidRDefault="00CE6266">
      <w:pPr>
        <w:pStyle w:val="BodyText"/>
        <w:ind w:left="1559"/>
        <w:rPr>
          <w:rFonts w:ascii="Verdana" w:hAnsi="Verdana"/>
          <w:bCs/>
          <w:iCs/>
          <w:sz w:val="20"/>
        </w:rPr>
      </w:pPr>
      <w:r w:rsidRPr="00CE6266">
        <w:rPr>
          <w:rFonts w:ascii="Verdana" w:hAnsi="Verdana"/>
          <w:sz w:val="20"/>
        </w:rPr>
        <w:t xml:space="preserve">Neither Ofgem nor any of its Related Parties makes any representation or warranty (express or implied) as to the accuracy, reasonableness or completeness of the information provided by it or its Related Parties in </w:t>
      </w:r>
      <w:r>
        <w:rPr>
          <w:rFonts w:ascii="Verdana" w:hAnsi="Verdana"/>
          <w:sz w:val="20"/>
        </w:rPr>
        <w:t>the</w:t>
      </w:r>
      <w:r w:rsidRPr="00CE6266">
        <w:rPr>
          <w:rFonts w:ascii="Verdana" w:hAnsi="Verdana"/>
          <w:sz w:val="20"/>
        </w:rPr>
        <w:t xml:space="preserve"> Data Rooms or otherwise.  All such persons</w:t>
      </w:r>
      <w:r w:rsidRPr="003B5FB7">
        <w:rPr>
          <w:rFonts w:ascii="Verdana" w:hAnsi="Verdana"/>
          <w:bCs/>
          <w:iCs/>
          <w:sz w:val="20"/>
        </w:rPr>
        <w:t xml:space="preserve"> or entities expressly disclaim any and all liability (other than in respect of fraudulent misrepresentation) based on or relating to any such information or representations or warranties (express or implied) contained in, or errors or omissions from, the information or based on or relating to its use by a Qualifying Bidder /or any other interested party.  </w:t>
      </w:r>
    </w:p>
    <w:p w:rsidR="003B5FB7" w:rsidRPr="003B5FB7" w:rsidRDefault="003B5FB7" w:rsidP="003B5FB7">
      <w:pPr>
        <w:pStyle w:val="BodyText"/>
        <w:ind w:left="1559"/>
        <w:rPr>
          <w:rFonts w:ascii="Verdana" w:hAnsi="Verdana"/>
          <w:sz w:val="20"/>
        </w:rPr>
      </w:pPr>
    </w:p>
    <w:p w:rsidR="008E5C5D" w:rsidRPr="00D737B1" w:rsidRDefault="00793FB9" w:rsidP="008E5C5D">
      <w:pPr>
        <w:pStyle w:val="Heading3"/>
        <w:keepNext/>
        <w:keepLines/>
        <w:ind w:left="1559"/>
        <w:rPr>
          <w:rFonts w:ascii="Verdana" w:hAnsi="Verdana"/>
          <w:b/>
          <w:bCs/>
          <w:sz w:val="20"/>
        </w:rPr>
      </w:pPr>
      <w:r>
        <w:rPr>
          <w:rFonts w:ascii="Verdana" w:hAnsi="Verdana"/>
          <w:b/>
          <w:bCs/>
          <w:sz w:val="20"/>
        </w:rPr>
        <w:lastRenderedPageBreak/>
        <w:t xml:space="preserve">Information </w:t>
      </w:r>
      <w:r w:rsidR="006A4950">
        <w:rPr>
          <w:rFonts w:ascii="Verdana" w:hAnsi="Verdana"/>
          <w:b/>
          <w:bCs/>
          <w:sz w:val="20"/>
        </w:rPr>
        <w:t xml:space="preserve">Provided by </w:t>
      </w:r>
      <w:r>
        <w:rPr>
          <w:rFonts w:ascii="Verdana" w:hAnsi="Verdana"/>
          <w:b/>
          <w:bCs/>
          <w:sz w:val="20"/>
        </w:rPr>
        <w:t xml:space="preserve">Ofgem </w:t>
      </w:r>
    </w:p>
    <w:p w:rsidR="00793FB9" w:rsidRDefault="000F08F4" w:rsidP="008E5C5D">
      <w:pPr>
        <w:pStyle w:val="Heading3"/>
        <w:keepNext/>
        <w:keepLines/>
        <w:numPr>
          <w:ilvl w:val="0"/>
          <w:numId w:val="0"/>
        </w:numPr>
        <w:ind w:left="1559"/>
        <w:rPr>
          <w:rFonts w:ascii="Verdana" w:hAnsi="Verdana"/>
          <w:sz w:val="20"/>
        </w:rPr>
      </w:pPr>
      <w:r>
        <w:rPr>
          <w:rFonts w:ascii="Verdana" w:hAnsi="Verdana"/>
          <w:sz w:val="20"/>
        </w:rPr>
        <w:t>In addition to the above, O</w:t>
      </w:r>
      <w:r w:rsidR="00793FB9">
        <w:rPr>
          <w:rFonts w:ascii="Verdana" w:hAnsi="Verdana"/>
          <w:sz w:val="20"/>
        </w:rPr>
        <w:t>fgem has made</w:t>
      </w:r>
      <w:r w:rsidR="001B2BBC">
        <w:rPr>
          <w:rFonts w:ascii="Verdana" w:hAnsi="Verdana"/>
          <w:sz w:val="20"/>
        </w:rPr>
        <w:t xml:space="preserve"> </w:t>
      </w:r>
      <w:r w:rsidR="00E46743">
        <w:rPr>
          <w:rFonts w:ascii="Verdana" w:hAnsi="Verdana"/>
          <w:sz w:val="20"/>
        </w:rPr>
        <w:t xml:space="preserve">or </w:t>
      </w:r>
      <w:r w:rsidR="00E46743" w:rsidRPr="00E46743">
        <w:rPr>
          <w:rFonts w:ascii="Verdana" w:hAnsi="Verdana"/>
          <w:sz w:val="20"/>
        </w:rPr>
        <w:t xml:space="preserve">will </w:t>
      </w:r>
      <w:r w:rsidR="001B2BBC" w:rsidRPr="00E46743">
        <w:rPr>
          <w:rFonts w:ascii="Verdana" w:hAnsi="Verdana"/>
          <w:sz w:val="20"/>
        </w:rPr>
        <w:t>shortly make</w:t>
      </w:r>
      <w:r w:rsidR="00793FB9">
        <w:rPr>
          <w:rFonts w:ascii="Verdana" w:hAnsi="Verdana"/>
          <w:sz w:val="20"/>
        </w:rPr>
        <w:t xml:space="preserve"> available additional information in the </w:t>
      </w:r>
      <w:r>
        <w:rPr>
          <w:rFonts w:ascii="Verdana" w:hAnsi="Verdana"/>
          <w:sz w:val="20"/>
        </w:rPr>
        <w:t>Data R</w:t>
      </w:r>
      <w:r w:rsidR="00793FB9">
        <w:rPr>
          <w:rFonts w:ascii="Verdana" w:hAnsi="Verdana"/>
          <w:sz w:val="20"/>
        </w:rPr>
        <w:t>oom</w:t>
      </w:r>
      <w:r w:rsidR="004C5B2E">
        <w:rPr>
          <w:rFonts w:ascii="Verdana" w:hAnsi="Verdana"/>
          <w:sz w:val="20"/>
        </w:rPr>
        <w:t>, summarised below:</w:t>
      </w:r>
    </w:p>
    <w:p w:rsidR="00793FB9" w:rsidRDefault="00793FB9" w:rsidP="008E5C5D">
      <w:pPr>
        <w:pStyle w:val="Heading3"/>
        <w:keepNext/>
        <w:keepLines/>
        <w:numPr>
          <w:ilvl w:val="0"/>
          <w:numId w:val="0"/>
        </w:numPr>
        <w:ind w:left="1559"/>
        <w:rPr>
          <w:rFonts w:ascii="Verdana" w:hAnsi="Verdana"/>
          <w:sz w:val="20"/>
        </w:rPr>
      </w:pPr>
      <w:r>
        <w:rPr>
          <w:rFonts w:ascii="Verdana" w:hAnsi="Verdana"/>
          <w:sz w:val="20"/>
        </w:rPr>
        <w:t>(</w:t>
      </w:r>
      <w:proofErr w:type="spellStart"/>
      <w:r>
        <w:rPr>
          <w:rFonts w:ascii="Verdana" w:hAnsi="Verdana"/>
          <w:sz w:val="20"/>
        </w:rPr>
        <w:t>i</w:t>
      </w:r>
      <w:proofErr w:type="spellEnd"/>
      <w:r>
        <w:rPr>
          <w:rFonts w:ascii="Verdana" w:hAnsi="Verdana"/>
          <w:sz w:val="20"/>
        </w:rPr>
        <w:t xml:space="preserve">)  </w:t>
      </w:r>
      <w:r w:rsidR="003B5FB7" w:rsidRPr="003B5FB7">
        <w:rPr>
          <w:rFonts w:ascii="Verdana" w:hAnsi="Verdana"/>
          <w:sz w:val="20"/>
        </w:rPr>
        <w:t xml:space="preserve">Standard Licence Conditions </w:t>
      </w:r>
      <w:r>
        <w:rPr>
          <w:rFonts w:ascii="Verdana" w:hAnsi="Verdana"/>
          <w:sz w:val="20"/>
        </w:rPr>
        <w:t>of th</w:t>
      </w:r>
      <w:r w:rsidR="000F08F4">
        <w:rPr>
          <w:rFonts w:ascii="Verdana" w:hAnsi="Verdana"/>
          <w:sz w:val="20"/>
        </w:rPr>
        <w:t>e</w:t>
      </w:r>
      <w:r>
        <w:rPr>
          <w:rFonts w:ascii="Verdana" w:hAnsi="Verdana"/>
          <w:sz w:val="20"/>
        </w:rPr>
        <w:t xml:space="preserve"> Electricity Transmission Licence, which are </w:t>
      </w:r>
      <w:r w:rsidR="003B5FB7" w:rsidRPr="003B5FB7">
        <w:rPr>
          <w:rFonts w:ascii="Verdana" w:hAnsi="Verdana"/>
          <w:sz w:val="20"/>
        </w:rPr>
        <w:t>a</w:t>
      </w:r>
      <w:r w:rsidR="00166B65">
        <w:rPr>
          <w:rFonts w:ascii="Verdana" w:hAnsi="Verdana"/>
          <w:sz w:val="20"/>
        </w:rPr>
        <w:t>pplicable to all t</w:t>
      </w:r>
      <w:r w:rsidR="003B5FB7" w:rsidRPr="003B5FB7">
        <w:rPr>
          <w:rFonts w:ascii="Verdana" w:hAnsi="Verdana"/>
          <w:sz w:val="20"/>
        </w:rPr>
        <w:t xml:space="preserve">ransmission </w:t>
      </w:r>
      <w:r w:rsidR="00166B65">
        <w:rPr>
          <w:rFonts w:ascii="Verdana" w:hAnsi="Verdana"/>
          <w:sz w:val="20"/>
        </w:rPr>
        <w:t>o</w:t>
      </w:r>
      <w:r w:rsidR="003B5FB7" w:rsidRPr="003B5FB7">
        <w:rPr>
          <w:rFonts w:ascii="Verdana" w:hAnsi="Verdana"/>
          <w:sz w:val="20"/>
        </w:rPr>
        <w:t>wners</w:t>
      </w:r>
      <w:r w:rsidR="00B06943">
        <w:rPr>
          <w:rFonts w:ascii="Verdana" w:hAnsi="Verdana"/>
          <w:sz w:val="20"/>
        </w:rPr>
        <w:t xml:space="preserve"> in Great Bri</w:t>
      </w:r>
      <w:r>
        <w:rPr>
          <w:rFonts w:ascii="Verdana" w:hAnsi="Verdana"/>
          <w:sz w:val="20"/>
        </w:rPr>
        <w:t>t</w:t>
      </w:r>
      <w:r w:rsidR="00B06943">
        <w:rPr>
          <w:rFonts w:ascii="Verdana" w:hAnsi="Verdana"/>
          <w:sz w:val="20"/>
        </w:rPr>
        <w:t>a</w:t>
      </w:r>
      <w:r>
        <w:rPr>
          <w:rFonts w:ascii="Verdana" w:hAnsi="Verdana"/>
          <w:sz w:val="20"/>
        </w:rPr>
        <w:t>in;</w:t>
      </w:r>
    </w:p>
    <w:p w:rsidR="00B06943" w:rsidRDefault="00793FB9" w:rsidP="008E5C5D">
      <w:pPr>
        <w:pStyle w:val="Heading3"/>
        <w:keepNext/>
        <w:keepLines/>
        <w:numPr>
          <w:ilvl w:val="0"/>
          <w:numId w:val="0"/>
        </w:numPr>
        <w:ind w:left="1559"/>
        <w:rPr>
          <w:rFonts w:ascii="Verdana" w:hAnsi="Verdana"/>
          <w:sz w:val="20"/>
        </w:rPr>
      </w:pPr>
      <w:r>
        <w:rPr>
          <w:rFonts w:ascii="Verdana" w:hAnsi="Verdana"/>
          <w:sz w:val="20"/>
        </w:rPr>
        <w:t xml:space="preserve">(ii) </w:t>
      </w:r>
      <w:r w:rsidR="004D086A">
        <w:rPr>
          <w:rFonts w:ascii="Verdana" w:hAnsi="Verdana"/>
          <w:sz w:val="20"/>
        </w:rPr>
        <w:t>D</w:t>
      </w:r>
      <w:r>
        <w:rPr>
          <w:rFonts w:ascii="Verdana" w:hAnsi="Verdana"/>
          <w:sz w:val="20"/>
        </w:rPr>
        <w:t xml:space="preserve">raft </w:t>
      </w:r>
      <w:r w:rsidR="003B5FB7" w:rsidRPr="003B5FB7">
        <w:rPr>
          <w:rFonts w:ascii="Verdana" w:hAnsi="Verdana"/>
          <w:sz w:val="20"/>
        </w:rPr>
        <w:t xml:space="preserve">Special Licence Conditions </w:t>
      </w:r>
      <w:r>
        <w:rPr>
          <w:rFonts w:ascii="Verdana" w:hAnsi="Verdana"/>
          <w:sz w:val="20"/>
        </w:rPr>
        <w:t xml:space="preserve">of the Electricity Transmission Licence </w:t>
      </w:r>
      <w:r w:rsidR="003B5FB7" w:rsidRPr="003B5FB7">
        <w:rPr>
          <w:rFonts w:ascii="Verdana" w:hAnsi="Verdana"/>
          <w:sz w:val="20"/>
        </w:rPr>
        <w:t>applicable to OFTOs</w:t>
      </w:r>
      <w:r w:rsidR="002367E5">
        <w:rPr>
          <w:rStyle w:val="FootnoteReference"/>
          <w:rFonts w:ascii="Verdana" w:hAnsi="Verdana"/>
          <w:sz w:val="20"/>
        </w:rPr>
        <w:footnoteReference w:id="3"/>
      </w:r>
      <w:r w:rsidR="00B06943">
        <w:rPr>
          <w:rFonts w:ascii="Verdana" w:hAnsi="Verdana"/>
          <w:sz w:val="20"/>
        </w:rPr>
        <w:t>;</w:t>
      </w:r>
      <w:r w:rsidR="003B5FB7" w:rsidRPr="003B5FB7">
        <w:rPr>
          <w:rFonts w:ascii="Verdana" w:hAnsi="Verdana"/>
          <w:sz w:val="20"/>
        </w:rPr>
        <w:t xml:space="preserve">  </w:t>
      </w:r>
    </w:p>
    <w:p w:rsidR="005B66B2" w:rsidRDefault="00B06943" w:rsidP="008E5C5D">
      <w:pPr>
        <w:pStyle w:val="Heading3"/>
        <w:keepNext/>
        <w:keepLines/>
        <w:numPr>
          <w:ilvl w:val="0"/>
          <w:numId w:val="0"/>
        </w:numPr>
        <w:ind w:left="1559"/>
        <w:rPr>
          <w:rFonts w:ascii="Verdana" w:hAnsi="Verdana"/>
          <w:sz w:val="20"/>
        </w:rPr>
      </w:pPr>
      <w:r>
        <w:rPr>
          <w:rFonts w:ascii="Verdana" w:hAnsi="Verdana"/>
          <w:sz w:val="20"/>
        </w:rPr>
        <w:t>(i</w:t>
      </w:r>
      <w:r w:rsidR="00FC0C51">
        <w:rPr>
          <w:rFonts w:ascii="Verdana" w:hAnsi="Verdana"/>
          <w:sz w:val="20"/>
        </w:rPr>
        <w:t>ii</w:t>
      </w:r>
      <w:r>
        <w:rPr>
          <w:rFonts w:ascii="Verdana" w:hAnsi="Verdana"/>
          <w:sz w:val="20"/>
        </w:rPr>
        <w:t xml:space="preserve">) </w:t>
      </w:r>
      <w:r w:rsidR="005B66B2">
        <w:rPr>
          <w:rFonts w:ascii="Verdana" w:hAnsi="Verdana"/>
          <w:sz w:val="20"/>
        </w:rPr>
        <w:t>Guidance Note on the Special Licence Conditions;</w:t>
      </w:r>
    </w:p>
    <w:p w:rsidR="00B06943" w:rsidRDefault="005B66B2" w:rsidP="008E5C5D">
      <w:pPr>
        <w:pStyle w:val="Heading3"/>
        <w:keepNext/>
        <w:keepLines/>
        <w:numPr>
          <w:ilvl w:val="0"/>
          <w:numId w:val="0"/>
        </w:numPr>
        <w:ind w:left="1559"/>
        <w:rPr>
          <w:rFonts w:ascii="Verdana" w:hAnsi="Verdana"/>
          <w:sz w:val="20"/>
        </w:rPr>
      </w:pPr>
      <w:proofErr w:type="gramStart"/>
      <w:r>
        <w:rPr>
          <w:rFonts w:ascii="Verdana" w:hAnsi="Verdana"/>
          <w:sz w:val="20"/>
        </w:rPr>
        <w:t xml:space="preserve">(iv) </w:t>
      </w:r>
      <w:r w:rsidR="00B06943">
        <w:rPr>
          <w:rFonts w:ascii="Verdana" w:hAnsi="Verdana"/>
          <w:sz w:val="20"/>
        </w:rPr>
        <w:t>Tender</w:t>
      </w:r>
      <w:proofErr w:type="gramEnd"/>
      <w:r w:rsidR="00B06943">
        <w:rPr>
          <w:rFonts w:ascii="Verdana" w:hAnsi="Verdana"/>
          <w:sz w:val="20"/>
        </w:rPr>
        <w:t xml:space="preserve"> Guidance Document on</w:t>
      </w:r>
      <w:r w:rsidR="003B5FB7" w:rsidRPr="003B5FB7">
        <w:rPr>
          <w:rFonts w:ascii="Verdana" w:hAnsi="Verdana"/>
          <w:sz w:val="20"/>
        </w:rPr>
        <w:t xml:space="preserve"> OFTO of Last Resort</w:t>
      </w:r>
      <w:r w:rsidR="00B06943">
        <w:rPr>
          <w:rFonts w:ascii="Verdana" w:hAnsi="Verdana"/>
          <w:sz w:val="20"/>
        </w:rPr>
        <w:t>;</w:t>
      </w:r>
    </w:p>
    <w:p w:rsidR="00B06943" w:rsidRDefault="00B06943" w:rsidP="008E5C5D">
      <w:pPr>
        <w:pStyle w:val="Heading3"/>
        <w:keepNext/>
        <w:keepLines/>
        <w:numPr>
          <w:ilvl w:val="0"/>
          <w:numId w:val="0"/>
        </w:numPr>
        <w:ind w:left="1559"/>
        <w:rPr>
          <w:rFonts w:ascii="Verdana" w:hAnsi="Verdana"/>
          <w:sz w:val="20"/>
        </w:rPr>
      </w:pPr>
      <w:r>
        <w:rPr>
          <w:rFonts w:ascii="Verdana" w:hAnsi="Verdana"/>
          <w:sz w:val="20"/>
        </w:rPr>
        <w:t xml:space="preserve">(v) Tender Guidance Document on </w:t>
      </w:r>
      <w:r w:rsidR="003B5FB7" w:rsidRPr="003B5FB7">
        <w:rPr>
          <w:rFonts w:ascii="Verdana" w:hAnsi="Verdana"/>
          <w:sz w:val="20"/>
        </w:rPr>
        <w:t>Process to Asset Transfer</w:t>
      </w:r>
      <w:r>
        <w:rPr>
          <w:rFonts w:ascii="Verdana" w:hAnsi="Verdana"/>
          <w:sz w:val="20"/>
        </w:rPr>
        <w:t>;</w:t>
      </w:r>
    </w:p>
    <w:p w:rsidR="003B5FB7" w:rsidRDefault="00B06943" w:rsidP="003B5FB7">
      <w:pPr>
        <w:pStyle w:val="BodyText"/>
        <w:ind w:left="1560" w:hanging="120"/>
        <w:rPr>
          <w:rFonts w:ascii="Verdana" w:hAnsi="Verdana"/>
          <w:sz w:val="20"/>
        </w:rPr>
      </w:pPr>
      <w:r>
        <w:tab/>
      </w:r>
      <w:r w:rsidR="003B5FB7" w:rsidRPr="003B5FB7">
        <w:rPr>
          <w:rFonts w:ascii="Verdana" w:hAnsi="Verdana"/>
          <w:sz w:val="20"/>
        </w:rPr>
        <w:t>(v</w:t>
      </w:r>
      <w:r w:rsidR="007D2D57">
        <w:rPr>
          <w:rFonts w:ascii="Verdana" w:hAnsi="Verdana"/>
          <w:sz w:val="20"/>
        </w:rPr>
        <w:t>i</w:t>
      </w:r>
      <w:r w:rsidR="005B66B2">
        <w:rPr>
          <w:rFonts w:ascii="Verdana" w:hAnsi="Verdana"/>
          <w:sz w:val="20"/>
        </w:rPr>
        <w:t>i</w:t>
      </w:r>
      <w:r w:rsidR="003B5FB7" w:rsidRPr="003B5FB7">
        <w:rPr>
          <w:rFonts w:ascii="Verdana" w:hAnsi="Verdana"/>
          <w:sz w:val="20"/>
        </w:rPr>
        <w:t xml:space="preserve">) Tender Guidance Document </w:t>
      </w:r>
      <w:bookmarkStart w:id="28" w:name="OLE_LINK1"/>
      <w:bookmarkStart w:id="29" w:name="OLE_LINK2"/>
      <w:r w:rsidR="00360706">
        <w:rPr>
          <w:rFonts w:ascii="Verdana" w:hAnsi="Verdana"/>
          <w:sz w:val="20"/>
        </w:rPr>
        <w:t xml:space="preserve">for Ofgem </w:t>
      </w:r>
      <w:proofErr w:type="spellStart"/>
      <w:r w:rsidR="00D23A58">
        <w:rPr>
          <w:rFonts w:ascii="Verdana" w:hAnsi="Verdana"/>
          <w:sz w:val="20"/>
        </w:rPr>
        <w:t>Proforma</w:t>
      </w:r>
      <w:proofErr w:type="spellEnd"/>
      <w:r w:rsidR="00D23A58">
        <w:rPr>
          <w:rFonts w:ascii="Verdana" w:hAnsi="Verdana"/>
          <w:sz w:val="20"/>
        </w:rPr>
        <w:t xml:space="preserve"> </w:t>
      </w:r>
      <w:r w:rsidR="003B5FB7" w:rsidRPr="003B5FB7">
        <w:rPr>
          <w:rFonts w:ascii="Verdana" w:hAnsi="Verdana"/>
          <w:sz w:val="20"/>
        </w:rPr>
        <w:t>Input Sheets</w:t>
      </w:r>
      <w:bookmarkEnd w:id="28"/>
      <w:bookmarkEnd w:id="29"/>
      <w:r>
        <w:rPr>
          <w:rFonts w:ascii="Verdana" w:hAnsi="Verdana"/>
          <w:sz w:val="20"/>
        </w:rPr>
        <w:t>;</w:t>
      </w:r>
    </w:p>
    <w:p w:rsidR="004D086A" w:rsidRDefault="007D2D57" w:rsidP="000B113B">
      <w:pPr>
        <w:pStyle w:val="BodyText"/>
        <w:rPr>
          <w:rFonts w:ascii="Verdana" w:hAnsi="Verdana"/>
          <w:sz w:val="20"/>
        </w:rPr>
      </w:pPr>
      <w:r>
        <w:rPr>
          <w:rFonts w:ascii="Verdana" w:hAnsi="Verdana"/>
          <w:sz w:val="20"/>
        </w:rPr>
        <w:tab/>
      </w:r>
      <w:r>
        <w:rPr>
          <w:rFonts w:ascii="Verdana" w:hAnsi="Verdana"/>
          <w:sz w:val="20"/>
        </w:rPr>
        <w:tab/>
        <w:t>(</w:t>
      </w:r>
      <w:r w:rsidR="001D5E03">
        <w:rPr>
          <w:rFonts w:ascii="Verdana" w:hAnsi="Verdana"/>
          <w:sz w:val="20"/>
        </w:rPr>
        <w:t>vii</w:t>
      </w:r>
      <w:r w:rsidR="005B66B2">
        <w:rPr>
          <w:rFonts w:ascii="Verdana" w:hAnsi="Verdana"/>
          <w:sz w:val="20"/>
        </w:rPr>
        <w:t>i</w:t>
      </w:r>
      <w:r w:rsidR="00360706">
        <w:rPr>
          <w:rFonts w:ascii="Verdana" w:hAnsi="Verdana"/>
          <w:sz w:val="20"/>
        </w:rPr>
        <w:t xml:space="preserve">) Ofgem </w:t>
      </w:r>
      <w:proofErr w:type="spellStart"/>
      <w:r w:rsidR="00D23A58">
        <w:rPr>
          <w:rFonts w:ascii="Verdana" w:hAnsi="Verdana"/>
          <w:sz w:val="20"/>
        </w:rPr>
        <w:t>Proforma</w:t>
      </w:r>
      <w:proofErr w:type="spellEnd"/>
      <w:r w:rsidR="00D23A58">
        <w:rPr>
          <w:rFonts w:ascii="Verdana" w:hAnsi="Verdana"/>
          <w:sz w:val="20"/>
        </w:rPr>
        <w:t xml:space="preserve"> </w:t>
      </w:r>
      <w:r w:rsidR="00360706">
        <w:rPr>
          <w:rFonts w:ascii="Verdana" w:hAnsi="Verdana"/>
          <w:sz w:val="20"/>
        </w:rPr>
        <w:t>Input Sheets</w:t>
      </w:r>
      <w:r w:rsidR="004D086A">
        <w:rPr>
          <w:rFonts w:ascii="Verdana" w:hAnsi="Verdana"/>
          <w:sz w:val="20"/>
        </w:rPr>
        <w:t>;</w:t>
      </w:r>
    </w:p>
    <w:p w:rsidR="00753F20" w:rsidRDefault="004D086A" w:rsidP="00753F20">
      <w:pPr>
        <w:pStyle w:val="Heading3"/>
        <w:keepNext/>
        <w:keepLines/>
        <w:numPr>
          <w:ilvl w:val="0"/>
          <w:numId w:val="0"/>
        </w:numPr>
        <w:ind w:left="1559"/>
        <w:rPr>
          <w:rFonts w:ascii="Verdana" w:hAnsi="Verdana"/>
          <w:sz w:val="20"/>
        </w:rPr>
      </w:pPr>
      <w:r>
        <w:rPr>
          <w:rFonts w:ascii="Verdana" w:hAnsi="Verdana"/>
          <w:sz w:val="20"/>
        </w:rPr>
        <w:t>(</w:t>
      </w:r>
      <w:r w:rsidR="005B66B2">
        <w:rPr>
          <w:rFonts w:ascii="Verdana" w:hAnsi="Verdana"/>
          <w:sz w:val="20"/>
        </w:rPr>
        <w:t>ix</w:t>
      </w:r>
      <w:r>
        <w:rPr>
          <w:rFonts w:ascii="Verdana" w:hAnsi="Verdana"/>
          <w:sz w:val="20"/>
        </w:rPr>
        <w:t xml:space="preserve">) </w:t>
      </w:r>
      <w:r w:rsidR="006E5E11">
        <w:rPr>
          <w:rFonts w:ascii="Verdana" w:hAnsi="Verdana"/>
          <w:sz w:val="20"/>
        </w:rPr>
        <w:t xml:space="preserve">Cost </w:t>
      </w:r>
      <w:r w:rsidR="00D23A58">
        <w:rPr>
          <w:rFonts w:ascii="Verdana" w:hAnsi="Verdana"/>
          <w:sz w:val="20"/>
        </w:rPr>
        <w:t xml:space="preserve">Reconciliation </w:t>
      </w:r>
      <w:r>
        <w:rPr>
          <w:rFonts w:ascii="Verdana" w:hAnsi="Verdana"/>
          <w:sz w:val="20"/>
        </w:rPr>
        <w:t xml:space="preserve">Report for </w:t>
      </w:r>
      <w:r w:rsidR="00E46743">
        <w:rPr>
          <w:rFonts w:ascii="Verdana" w:hAnsi="Verdana"/>
          <w:sz w:val="20"/>
        </w:rPr>
        <w:t>each Qualifying Project and a</w:t>
      </w:r>
      <w:r w:rsidR="00D23A58">
        <w:rPr>
          <w:rFonts w:ascii="Verdana" w:hAnsi="Verdana"/>
          <w:sz w:val="20"/>
        </w:rPr>
        <w:t>ssociated KEMA reports.</w:t>
      </w:r>
      <w:r w:rsidR="00753F20">
        <w:rPr>
          <w:rFonts w:ascii="Verdana" w:hAnsi="Verdana"/>
          <w:sz w:val="20"/>
        </w:rPr>
        <w:t xml:space="preserve"> </w:t>
      </w:r>
    </w:p>
    <w:p w:rsidR="00270D4E" w:rsidRPr="00270D4E" w:rsidRDefault="003B5FB7" w:rsidP="00270D4E">
      <w:pPr>
        <w:pStyle w:val="Heading3"/>
        <w:rPr>
          <w:rFonts w:ascii="Verdana" w:hAnsi="Verdana"/>
          <w:sz w:val="20"/>
        </w:rPr>
      </w:pPr>
      <w:r w:rsidRPr="00270D4E">
        <w:rPr>
          <w:rFonts w:ascii="Verdana" w:hAnsi="Verdana"/>
          <w:sz w:val="20"/>
        </w:rPr>
        <w:t xml:space="preserve">Ofgem </w:t>
      </w:r>
      <w:r w:rsidR="00753F20" w:rsidRPr="00270D4E">
        <w:rPr>
          <w:rFonts w:ascii="Verdana" w:hAnsi="Verdana"/>
          <w:sz w:val="20"/>
        </w:rPr>
        <w:t xml:space="preserve">reserves the right to make available </w:t>
      </w:r>
      <w:r w:rsidRPr="00270D4E">
        <w:rPr>
          <w:rFonts w:ascii="Verdana" w:hAnsi="Verdana"/>
          <w:sz w:val="20"/>
        </w:rPr>
        <w:t xml:space="preserve">additional information </w:t>
      </w:r>
      <w:r w:rsidR="00753F20" w:rsidRPr="00270D4E">
        <w:rPr>
          <w:rFonts w:ascii="Verdana" w:hAnsi="Verdana"/>
          <w:sz w:val="20"/>
        </w:rPr>
        <w:t xml:space="preserve">in the </w:t>
      </w:r>
      <w:r w:rsidR="00166B65" w:rsidRPr="00270D4E">
        <w:rPr>
          <w:rFonts w:ascii="Verdana" w:hAnsi="Verdana"/>
          <w:sz w:val="20"/>
        </w:rPr>
        <w:t>D</w:t>
      </w:r>
      <w:r w:rsidR="00753F20" w:rsidRPr="00270D4E">
        <w:rPr>
          <w:rFonts w:ascii="Verdana" w:hAnsi="Verdana"/>
          <w:sz w:val="20"/>
        </w:rPr>
        <w:t xml:space="preserve">ata </w:t>
      </w:r>
      <w:r w:rsidR="00166B65" w:rsidRPr="00270D4E">
        <w:rPr>
          <w:rFonts w:ascii="Verdana" w:hAnsi="Verdana"/>
          <w:sz w:val="20"/>
        </w:rPr>
        <w:t>R</w:t>
      </w:r>
      <w:r w:rsidR="00753F20" w:rsidRPr="00270D4E">
        <w:rPr>
          <w:rFonts w:ascii="Verdana" w:hAnsi="Verdana"/>
          <w:sz w:val="20"/>
        </w:rPr>
        <w:t xml:space="preserve">oom </w:t>
      </w:r>
      <w:r w:rsidRPr="00270D4E">
        <w:rPr>
          <w:rFonts w:ascii="Verdana" w:hAnsi="Verdana"/>
          <w:sz w:val="20"/>
        </w:rPr>
        <w:t xml:space="preserve">during the ITT </w:t>
      </w:r>
      <w:r w:rsidR="003F01A1">
        <w:rPr>
          <w:rFonts w:ascii="Verdana" w:hAnsi="Verdana"/>
          <w:sz w:val="20"/>
        </w:rPr>
        <w:t>S</w:t>
      </w:r>
      <w:r w:rsidRPr="00270D4E">
        <w:rPr>
          <w:rFonts w:ascii="Verdana" w:hAnsi="Verdana"/>
          <w:sz w:val="20"/>
        </w:rPr>
        <w:t>tage</w:t>
      </w:r>
      <w:r w:rsidR="00166B65" w:rsidRPr="00270D4E">
        <w:rPr>
          <w:rFonts w:ascii="Verdana" w:hAnsi="Verdana"/>
          <w:sz w:val="20"/>
        </w:rPr>
        <w:t xml:space="preserve"> as appropriate</w:t>
      </w:r>
      <w:r w:rsidRPr="00270D4E">
        <w:rPr>
          <w:rFonts w:ascii="Verdana" w:hAnsi="Verdana"/>
          <w:sz w:val="20"/>
        </w:rPr>
        <w:t>.</w:t>
      </w:r>
    </w:p>
    <w:p w:rsidR="003B5FB7" w:rsidRDefault="001944D9" w:rsidP="003B5FB7">
      <w:pPr>
        <w:pStyle w:val="Heading2"/>
        <w:tabs>
          <w:tab w:val="left" w:pos="709"/>
        </w:tabs>
        <w:rPr>
          <w:rFonts w:ascii="Verdana" w:hAnsi="Verdana"/>
          <w:sz w:val="20"/>
        </w:rPr>
      </w:pPr>
      <w:r>
        <w:rPr>
          <w:rFonts w:ascii="Verdana" w:hAnsi="Verdana"/>
          <w:sz w:val="20"/>
        </w:rPr>
        <w:t xml:space="preserve">Engagement and </w:t>
      </w:r>
      <w:r w:rsidR="00D23A58">
        <w:rPr>
          <w:rFonts w:ascii="Verdana" w:hAnsi="Verdana"/>
          <w:sz w:val="20"/>
        </w:rPr>
        <w:t>Dialogue</w:t>
      </w:r>
    </w:p>
    <w:p w:rsidR="00D23A58" w:rsidRPr="00D23A58" w:rsidRDefault="001944D9" w:rsidP="00A63796">
      <w:pPr>
        <w:pStyle w:val="Heading3"/>
        <w:rPr>
          <w:rFonts w:ascii="Verdana" w:hAnsi="Verdana"/>
          <w:b/>
          <w:sz w:val="20"/>
        </w:rPr>
      </w:pPr>
      <w:r>
        <w:rPr>
          <w:rFonts w:ascii="Verdana" w:hAnsi="Verdana"/>
          <w:b/>
          <w:sz w:val="20"/>
        </w:rPr>
        <w:t>Dialogue with Ofgem</w:t>
      </w:r>
    </w:p>
    <w:p w:rsidR="004974BB" w:rsidRPr="00270D4E" w:rsidRDefault="001944D9" w:rsidP="001944D9">
      <w:pPr>
        <w:pStyle w:val="Heading3"/>
        <w:numPr>
          <w:ilvl w:val="0"/>
          <w:numId w:val="0"/>
        </w:numPr>
        <w:ind w:left="1570"/>
        <w:rPr>
          <w:rFonts w:ascii="Verdana" w:hAnsi="Verdana"/>
          <w:sz w:val="20"/>
        </w:rPr>
      </w:pPr>
      <w:r>
        <w:rPr>
          <w:rFonts w:ascii="Verdana" w:hAnsi="Verdana"/>
          <w:sz w:val="20"/>
        </w:rPr>
        <w:t xml:space="preserve">Appendix </w:t>
      </w:r>
      <w:r w:rsidR="000B113B">
        <w:rPr>
          <w:rFonts w:ascii="Verdana" w:hAnsi="Verdana"/>
          <w:sz w:val="20"/>
        </w:rPr>
        <w:t>1</w:t>
      </w:r>
      <w:r>
        <w:rPr>
          <w:rFonts w:ascii="Verdana" w:hAnsi="Verdana"/>
          <w:sz w:val="20"/>
        </w:rPr>
        <w:t xml:space="preserve"> contains the schedule of meetings during the ITT </w:t>
      </w:r>
      <w:r w:rsidR="003F01A1">
        <w:rPr>
          <w:rFonts w:ascii="Verdana" w:hAnsi="Verdana"/>
          <w:sz w:val="20"/>
        </w:rPr>
        <w:t>S</w:t>
      </w:r>
      <w:r>
        <w:rPr>
          <w:rFonts w:ascii="Verdana" w:hAnsi="Verdana"/>
          <w:sz w:val="20"/>
        </w:rPr>
        <w:t xml:space="preserve">tage.  Ofgem </w:t>
      </w:r>
      <w:r w:rsidR="00B07DC0">
        <w:rPr>
          <w:rFonts w:ascii="Verdana" w:hAnsi="Verdana"/>
          <w:sz w:val="20"/>
        </w:rPr>
        <w:t xml:space="preserve">will update this schedule on a weekly basis during the ITT </w:t>
      </w:r>
      <w:r w:rsidR="003F01A1">
        <w:rPr>
          <w:rFonts w:ascii="Verdana" w:hAnsi="Verdana"/>
          <w:sz w:val="20"/>
        </w:rPr>
        <w:t>S</w:t>
      </w:r>
      <w:r w:rsidR="00B07DC0">
        <w:rPr>
          <w:rFonts w:ascii="Verdana" w:hAnsi="Verdana"/>
          <w:sz w:val="20"/>
        </w:rPr>
        <w:t>tage</w:t>
      </w:r>
      <w:r w:rsidR="00E46743" w:rsidRPr="00E46743">
        <w:rPr>
          <w:rFonts w:ascii="Verdana" w:hAnsi="Verdana"/>
          <w:sz w:val="20"/>
        </w:rPr>
        <w:t>.</w:t>
      </w:r>
    </w:p>
    <w:p w:rsidR="00BF65A5" w:rsidRPr="005B66B2" w:rsidRDefault="00E6691A" w:rsidP="005B66B2">
      <w:pPr>
        <w:pStyle w:val="Heading3"/>
        <w:rPr>
          <w:rFonts w:ascii="Verdana" w:hAnsi="Verdana"/>
          <w:b/>
          <w:sz w:val="20"/>
        </w:rPr>
      </w:pPr>
      <w:bookmarkStart w:id="30" w:name="_Toc241562338"/>
      <w:r w:rsidRPr="005B66B2">
        <w:rPr>
          <w:rFonts w:ascii="Verdana" w:hAnsi="Verdana"/>
          <w:b/>
          <w:sz w:val="20"/>
        </w:rPr>
        <w:t xml:space="preserve">Qualifying Bidder </w:t>
      </w:r>
      <w:r w:rsidR="00BF65A5" w:rsidRPr="005B66B2">
        <w:rPr>
          <w:rFonts w:ascii="Verdana" w:hAnsi="Verdana"/>
          <w:b/>
          <w:sz w:val="20"/>
        </w:rPr>
        <w:t>Clarif</w:t>
      </w:r>
      <w:r w:rsidRPr="005B66B2">
        <w:rPr>
          <w:rFonts w:ascii="Verdana" w:hAnsi="Verdana"/>
          <w:b/>
          <w:sz w:val="20"/>
        </w:rPr>
        <w:t>ications</w:t>
      </w:r>
    </w:p>
    <w:p w:rsidR="00BF65A5" w:rsidRPr="002C5ADA" w:rsidRDefault="00A63796" w:rsidP="005B66B2">
      <w:pPr>
        <w:pStyle w:val="Heading3"/>
        <w:numPr>
          <w:ilvl w:val="0"/>
          <w:numId w:val="0"/>
        </w:numPr>
        <w:ind w:left="1570"/>
        <w:rPr>
          <w:rFonts w:ascii="Verdana" w:hAnsi="Verdana"/>
          <w:sz w:val="20"/>
        </w:rPr>
      </w:pPr>
      <w:r w:rsidRPr="002C5ADA">
        <w:rPr>
          <w:rFonts w:ascii="Verdana" w:hAnsi="Verdana"/>
          <w:sz w:val="20"/>
        </w:rPr>
        <w:t xml:space="preserve">Qualifying Bidders may seek clarifications from Ofgem </w:t>
      </w:r>
      <w:r w:rsidR="003B5FB7" w:rsidRPr="002C5ADA">
        <w:rPr>
          <w:rFonts w:ascii="Verdana" w:hAnsi="Verdana"/>
          <w:sz w:val="20"/>
        </w:rPr>
        <w:t>in relation to any aspect of th</w:t>
      </w:r>
      <w:r w:rsidRPr="002C5ADA">
        <w:rPr>
          <w:rFonts w:ascii="Verdana" w:hAnsi="Verdana"/>
          <w:sz w:val="20"/>
        </w:rPr>
        <w:t xml:space="preserve">is </w:t>
      </w:r>
      <w:r w:rsidR="003B5FB7" w:rsidRPr="002C5ADA">
        <w:rPr>
          <w:rFonts w:ascii="Verdana" w:hAnsi="Verdana"/>
          <w:sz w:val="20"/>
        </w:rPr>
        <w:t xml:space="preserve">ITT Document or </w:t>
      </w:r>
      <w:r w:rsidRPr="002C5ADA">
        <w:rPr>
          <w:rFonts w:ascii="Verdana" w:hAnsi="Verdana"/>
          <w:sz w:val="20"/>
        </w:rPr>
        <w:t xml:space="preserve">the information provided in the Data Room.  </w:t>
      </w:r>
      <w:r w:rsidR="003B5FB7" w:rsidRPr="002C5ADA">
        <w:rPr>
          <w:rFonts w:ascii="Verdana" w:hAnsi="Verdana"/>
          <w:sz w:val="20"/>
        </w:rPr>
        <w:t xml:space="preserve"> </w:t>
      </w:r>
      <w:r w:rsidRPr="002C5ADA">
        <w:rPr>
          <w:rFonts w:ascii="Verdana" w:hAnsi="Verdana"/>
          <w:sz w:val="20"/>
        </w:rPr>
        <w:t xml:space="preserve">All such clarifications </w:t>
      </w:r>
      <w:r w:rsidR="003B5FB7" w:rsidRPr="002C5ADA">
        <w:rPr>
          <w:rFonts w:ascii="Verdana" w:hAnsi="Verdana"/>
          <w:sz w:val="20"/>
        </w:rPr>
        <w:t xml:space="preserve">must be </w:t>
      </w:r>
      <w:r w:rsidRPr="002C5ADA">
        <w:rPr>
          <w:rFonts w:ascii="Verdana" w:hAnsi="Verdana"/>
          <w:sz w:val="20"/>
        </w:rPr>
        <w:t xml:space="preserve">made </w:t>
      </w:r>
      <w:r w:rsidR="003B5FB7" w:rsidRPr="002C5ADA">
        <w:rPr>
          <w:rFonts w:ascii="Verdana" w:hAnsi="Verdana"/>
          <w:sz w:val="20"/>
        </w:rPr>
        <w:t xml:space="preserve">by no later than </w:t>
      </w:r>
      <w:r w:rsidR="00E6691A">
        <w:rPr>
          <w:rFonts w:ascii="Verdana" w:hAnsi="Verdana"/>
          <w:sz w:val="20"/>
        </w:rPr>
        <w:t>2</w:t>
      </w:r>
      <w:r w:rsidR="001944D9">
        <w:rPr>
          <w:rFonts w:ascii="Verdana" w:hAnsi="Verdana"/>
          <w:sz w:val="20"/>
        </w:rPr>
        <w:t>2</w:t>
      </w:r>
      <w:r w:rsidR="002C5ADA" w:rsidRPr="002C5ADA">
        <w:rPr>
          <w:rFonts w:ascii="Verdana" w:hAnsi="Verdana"/>
          <w:sz w:val="20"/>
        </w:rPr>
        <w:t xml:space="preserve"> February 2010</w:t>
      </w:r>
      <w:r w:rsidR="000B113B">
        <w:rPr>
          <w:rFonts w:ascii="Verdana" w:hAnsi="Verdana"/>
          <w:sz w:val="20"/>
        </w:rPr>
        <w:t xml:space="preserve"> using the standard clarification </w:t>
      </w:r>
      <w:proofErr w:type="spellStart"/>
      <w:r w:rsidR="000B113B">
        <w:rPr>
          <w:rFonts w:ascii="Verdana" w:hAnsi="Verdana"/>
          <w:sz w:val="20"/>
        </w:rPr>
        <w:t>proforma</w:t>
      </w:r>
      <w:proofErr w:type="spellEnd"/>
      <w:r w:rsidR="000B113B">
        <w:rPr>
          <w:rFonts w:ascii="Verdana" w:hAnsi="Verdana"/>
          <w:sz w:val="20"/>
        </w:rPr>
        <w:t>,</w:t>
      </w:r>
      <w:r w:rsidR="00E6691A">
        <w:rPr>
          <w:rFonts w:ascii="Verdana" w:hAnsi="Verdana"/>
          <w:sz w:val="20"/>
        </w:rPr>
        <w:t xml:space="preserve"> via the Portal.  </w:t>
      </w:r>
    </w:p>
    <w:p w:rsidR="00A63796" w:rsidRPr="002C5ADA" w:rsidRDefault="003B5FB7" w:rsidP="005B66B2">
      <w:pPr>
        <w:pStyle w:val="Heading3"/>
        <w:numPr>
          <w:ilvl w:val="0"/>
          <w:numId w:val="0"/>
        </w:numPr>
        <w:ind w:left="1570"/>
        <w:rPr>
          <w:rFonts w:ascii="Verdana" w:hAnsi="Verdana"/>
          <w:sz w:val="20"/>
        </w:rPr>
      </w:pPr>
      <w:r w:rsidRPr="002C5ADA">
        <w:rPr>
          <w:rFonts w:ascii="Verdana" w:hAnsi="Verdana"/>
          <w:sz w:val="20"/>
          <w:lang w:eastAsia="zh-CN" w:bidi="th-TH"/>
        </w:rPr>
        <w:t xml:space="preserve">Ofgem will endeavour to provide responses as soon as reasonably possible, although the </w:t>
      </w:r>
      <w:r w:rsidRPr="002C5ADA">
        <w:rPr>
          <w:rFonts w:ascii="Verdana" w:hAnsi="Verdana"/>
          <w:sz w:val="20"/>
        </w:rPr>
        <w:t>timeframe within which Ofgem will respond will vary on a case-by-case basis depending on the nature of the clarification requested.</w:t>
      </w:r>
      <w:r w:rsidR="002C5ADA" w:rsidRPr="002C5ADA">
        <w:rPr>
          <w:rFonts w:ascii="Verdana" w:hAnsi="Verdana"/>
          <w:sz w:val="20"/>
        </w:rPr>
        <w:t xml:space="preserve">  This will also depend on whether Ofgem needs to seek the response from the Developer or another relevant third party.  Qualifying Bidders are reminded that the Tender Rules preclude them from contacting the Developer during the </w:t>
      </w:r>
      <w:r w:rsidR="003F01A1">
        <w:rPr>
          <w:rFonts w:ascii="Verdana" w:hAnsi="Verdana"/>
          <w:sz w:val="20"/>
        </w:rPr>
        <w:t>T</w:t>
      </w:r>
      <w:r w:rsidR="002C5ADA" w:rsidRPr="002C5ADA">
        <w:rPr>
          <w:rFonts w:ascii="Verdana" w:hAnsi="Verdana"/>
          <w:sz w:val="20"/>
        </w:rPr>
        <w:t xml:space="preserve">ender </w:t>
      </w:r>
      <w:r w:rsidR="003F01A1">
        <w:rPr>
          <w:rFonts w:ascii="Verdana" w:hAnsi="Verdana"/>
          <w:sz w:val="20"/>
        </w:rPr>
        <w:t>P</w:t>
      </w:r>
      <w:r w:rsidR="002C5ADA" w:rsidRPr="002C5ADA">
        <w:rPr>
          <w:rFonts w:ascii="Verdana" w:hAnsi="Verdana"/>
          <w:sz w:val="20"/>
        </w:rPr>
        <w:t xml:space="preserve">rocess.  </w:t>
      </w:r>
    </w:p>
    <w:p w:rsidR="00A63796" w:rsidRPr="002C5ADA" w:rsidRDefault="003B5FB7" w:rsidP="005B66B2">
      <w:pPr>
        <w:pStyle w:val="Heading3"/>
        <w:numPr>
          <w:ilvl w:val="0"/>
          <w:numId w:val="0"/>
        </w:numPr>
        <w:ind w:left="1570"/>
        <w:rPr>
          <w:rFonts w:ascii="Verdana" w:hAnsi="Verdana"/>
          <w:sz w:val="20"/>
          <w:lang w:eastAsia="zh-CN" w:bidi="th-TH"/>
        </w:rPr>
      </w:pPr>
      <w:proofErr w:type="spellStart"/>
      <w:r w:rsidRPr="002C5ADA">
        <w:rPr>
          <w:rFonts w:ascii="Verdana" w:hAnsi="Verdana"/>
          <w:sz w:val="20"/>
          <w:lang w:eastAsia="zh-CN" w:bidi="th-TH"/>
        </w:rPr>
        <w:t>Ofgem's</w:t>
      </w:r>
      <w:proofErr w:type="spellEnd"/>
      <w:r w:rsidRPr="002C5ADA">
        <w:rPr>
          <w:rFonts w:ascii="Verdana" w:hAnsi="Verdana"/>
          <w:sz w:val="20"/>
          <w:lang w:eastAsia="zh-CN" w:bidi="th-TH"/>
        </w:rPr>
        <w:t xml:space="preserve"> response to an individual Qualifying Bidder's query may be made available to all Qualifying Bidders.  However, in such cases the identity of the Qualifying Bidder that raised the query will remain confidential.</w:t>
      </w:r>
    </w:p>
    <w:p w:rsidR="00BF65A5" w:rsidRPr="002C5ADA" w:rsidRDefault="002C5ADA" w:rsidP="005B66B2">
      <w:pPr>
        <w:pStyle w:val="Heading3"/>
        <w:numPr>
          <w:ilvl w:val="0"/>
          <w:numId w:val="0"/>
        </w:numPr>
        <w:ind w:left="1570"/>
        <w:rPr>
          <w:rFonts w:ascii="Verdana" w:hAnsi="Verdana"/>
          <w:sz w:val="20"/>
          <w:lang w:eastAsia="zh-CN" w:bidi="th-TH"/>
        </w:rPr>
      </w:pPr>
      <w:r w:rsidRPr="002C5ADA">
        <w:rPr>
          <w:rFonts w:ascii="Verdana" w:hAnsi="Verdana"/>
          <w:sz w:val="20"/>
          <w:lang w:eastAsia="zh-CN" w:bidi="th-TH"/>
        </w:rPr>
        <w:t>Where Ofgem considers</w:t>
      </w:r>
      <w:r w:rsidR="003B5FB7" w:rsidRPr="002C5ADA">
        <w:rPr>
          <w:rFonts w:ascii="Verdana" w:hAnsi="Verdana"/>
          <w:sz w:val="20"/>
          <w:lang w:eastAsia="zh-CN" w:bidi="th-TH"/>
        </w:rPr>
        <w:t xml:space="preserve"> that a Qualifying Bidder's query is sufficiently specific and confidential </w:t>
      </w:r>
      <w:r w:rsidR="003B5FB7" w:rsidRPr="002C5ADA">
        <w:rPr>
          <w:rFonts w:ascii="Verdana" w:hAnsi="Verdana"/>
          <w:sz w:val="20"/>
        </w:rPr>
        <w:t>t</w:t>
      </w:r>
      <w:r w:rsidR="003B5FB7" w:rsidRPr="002C5ADA">
        <w:rPr>
          <w:rFonts w:ascii="Verdana" w:hAnsi="Verdana"/>
          <w:sz w:val="20"/>
          <w:lang w:eastAsia="zh-CN" w:bidi="th-TH"/>
        </w:rPr>
        <w:t>o that Qualifying Bidder, Ofgem may, at its discretion, provide its response solely to that Qualifying Bidder.</w:t>
      </w:r>
    </w:p>
    <w:p w:rsidR="00BF65A5" w:rsidRDefault="003B5FB7" w:rsidP="005B66B2">
      <w:pPr>
        <w:pStyle w:val="Heading3"/>
        <w:numPr>
          <w:ilvl w:val="0"/>
          <w:numId w:val="0"/>
        </w:numPr>
        <w:ind w:left="1570"/>
        <w:rPr>
          <w:rFonts w:ascii="Verdana" w:hAnsi="Verdana"/>
          <w:sz w:val="20"/>
        </w:rPr>
      </w:pPr>
      <w:r w:rsidRPr="002C5ADA">
        <w:rPr>
          <w:rFonts w:ascii="Verdana" w:hAnsi="Verdana"/>
          <w:sz w:val="20"/>
        </w:rPr>
        <w:lastRenderedPageBreak/>
        <w:t>Qualifying Bidders must not attempt to contact Ofgem for clarification other than via the Portal.</w:t>
      </w:r>
      <w:r w:rsidR="00DE5880">
        <w:rPr>
          <w:rFonts w:ascii="Verdana" w:hAnsi="Verdana"/>
          <w:sz w:val="20"/>
        </w:rPr>
        <w:t xml:space="preserve">  Where a Qualifying Bidder considers it necessary to contact Ofgem via telephone, it must contact Dan Baker, </w:t>
      </w:r>
      <w:proofErr w:type="spellStart"/>
      <w:r w:rsidR="00DE5880">
        <w:rPr>
          <w:rFonts w:ascii="Verdana" w:hAnsi="Verdana"/>
          <w:sz w:val="20"/>
        </w:rPr>
        <w:t>Ofgem’s</w:t>
      </w:r>
      <w:proofErr w:type="spellEnd"/>
      <w:r w:rsidR="00DE5880">
        <w:rPr>
          <w:rFonts w:ascii="Verdana" w:hAnsi="Verdana"/>
          <w:sz w:val="20"/>
        </w:rPr>
        <w:t xml:space="preserve"> Tender Coordinator, on 020 7901 7102 in the first instance.</w:t>
      </w:r>
    </w:p>
    <w:p w:rsidR="00E6691A" w:rsidRPr="005B66B2" w:rsidRDefault="00E6691A" w:rsidP="005B66B2">
      <w:pPr>
        <w:pStyle w:val="Heading3"/>
        <w:rPr>
          <w:rFonts w:ascii="Verdana" w:hAnsi="Verdana"/>
          <w:b/>
          <w:sz w:val="20"/>
        </w:rPr>
      </w:pPr>
      <w:r w:rsidRPr="005B66B2">
        <w:rPr>
          <w:rFonts w:ascii="Verdana" w:hAnsi="Verdana"/>
          <w:b/>
          <w:sz w:val="20"/>
        </w:rPr>
        <w:t>Ofgem Clarifications</w:t>
      </w:r>
    </w:p>
    <w:p w:rsidR="00E6691A" w:rsidRPr="007740F0" w:rsidRDefault="00E6691A" w:rsidP="005B66B2">
      <w:pPr>
        <w:pStyle w:val="Heading3"/>
        <w:numPr>
          <w:ilvl w:val="0"/>
          <w:numId w:val="0"/>
        </w:numPr>
        <w:ind w:left="1570"/>
        <w:rPr>
          <w:rFonts w:ascii="Verdana" w:hAnsi="Verdana"/>
          <w:sz w:val="20"/>
        </w:rPr>
      </w:pPr>
      <w:r w:rsidRPr="007740F0">
        <w:rPr>
          <w:rFonts w:ascii="Verdana" w:hAnsi="Verdana"/>
          <w:sz w:val="20"/>
        </w:rPr>
        <w:t xml:space="preserve">During the evaluation process, Ofgem may require Qualifying Bidders to clarify their </w:t>
      </w:r>
      <w:r>
        <w:rPr>
          <w:rFonts w:ascii="Verdana" w:hAnsi="Verdana"/>
          <w:sz w:val="20"/>
        </w:rPr>
        <w:t xml:space="preserve">ITT </w:t>
      </w:r>
      <w:r w:rsidRPr="007740F0">
        <w:rPr>
          <w:rFonts w:ascii="Verdana" w:hAnsi="Verdana"/>
          <w:sz w:val="20"/>
        </w:rPr>
        <w:t>Submission.  Qualifying Bidders must respond to clarifications issued by Ofg</w:t>
      </w:r>
      <w:r>
        <w:rPr>
          <w:rFonts w:ascii="Verdana" w:hAnsi="Verdana"/>
          <w:sz w:val="20"/>
        </w:rPr>
        <w:t>em and within a reasonable time.</w:t>
      </w:r>
      <w:r w:rsidRPr="007740F0">
        <w:rPr>
          <w:rFonts w:ascii="Verdana" w:hAnsi="Verdana"/>
          <w:sz w:val="20"/>
        </w:rPr>
        <w:t xml:space="preserve"> </w:t>
      </w:r>
      <w:r>
        <w:rPr>
          <w:rFonts w:ascii="Verdana" w:hAnsi="Verdana"/>
          <w:sz w:val="20"/>
        </w:rPr>
        <w:t xml:space="preserve"> F</w:t>
      </w:r>
      <w:r w:rsidRPr="007740F0">
        <w:rPr>
          <w:rFonts w:ascii="Verdana" w:hAnsi="Verdana"/>
          <w:sz w:val="20"/>
        </w:rPr>
        <w:t>ailure to do so may risk the response being excluded from consideration in the evaluation</w:t>
      </w:r>
      <w:r>
        <w:rPr>
          <w:rFonts w:ascii="Verdana" w:hAnsi="Verdana"/>
          <w:sz w:val="20"/>
        </w:rPr>
        <w:t xml:space="preserve"> process</w:t>
      </w:r>
      <w:r w:rsidRPr="007740F0">
        <w:rPr>
          <w:rFonts w:ascii="Verdana" w:hAnsi="Verdana"/>
          <w:sz w:val="20"/>
        </w:rPr>
        <w:t>.</w:t>
      </w:r>
    </w:p>
    <w:p w:rsidR="008E5C5D" w:rsidRPr="00D737B1" w:rsidRDefault="003B5FB7" w:rsidP="008E5C5D">
      <w:pPr>
        <w:pStyle w:val="Heading2"/>
        <w:rPr>
          <w:rFonts w:ascii="Verdana" w:hAnsi="Verdana"/>
          <w:sz w:val="20"/>
        </w:rPr>
      </w:pPr>
      <w:r w:rsidRPr="003B5FB7">
        <w:rPr>
          <w:rFonts w:ascii="Verdana" w:hAnsi="Verdana"/>
          <w:sz w:val="20"/>
        </w:rPr>
        <w:t xml:space="preserve">Changes </w:t>
      </w:r>
      <w:r w:rsidR="008E5492">
        <w:rPr>
          <w:rFonts w:ascii="Verdana" w:hAnsi="Verdana"/>
          <w:sz w:val="20"/>
        </w:rPr>
        <w:t>A</w:t>
      </w:r>
      <w:r w:rsidRPr="003B5FB7">
        <w:rPr>
          <w:rFonts w:ascii="Verdana" w:hAnsi="Verdana"/>
          <w:sz w:val="20"/>
        </w:rPr>
        <w:t xml:space="preserve">rising </w:t>
      </w:r>
      <w:r w:rsidR="008E5492">
        <w:rPr>
          <w:rFonts w:ascii="Verdana" w:hAnsi="Verdana"/>
          <w:sz w:val="20"/>
        </w:rPr>
        <w:t>S</w:t>
      </w:r>
      <w:r w:rsidRPr="003B5FB7">
        <w:rPr>
          <w:rFonts w:ascii="Verdana" w:hAnsi="Verdana"/>
          <w:sz w:val="20"/>
        </w:rPr>
        <w:t>ince QTT Submission</w:t>
      </w:r>
      <w:bookmarkEnd w:id="30"/>
    </w:p>
    <w:p w:rsidR="002C5ADA" w:rsidRPr="002C5ADA" w:rsidRDefault="002C5ADA" w:rsidP="002C5ADA">
      <w:pPr>
        <w:pStyle w:val="Heading3"/>
        <w:rPr>
          <w:rFonts w:ascii="Verdana" w:hAnsi="Verdana"/>
          <w:sz w:val="20"/>
        </w:rPr>
      </w:pPr>
      <w:r w:rsidRPr="002C5ADA">
        <w:rPr>
          <w:rFonts w:ascii="Verdana" w:hAnsi="Verdana"/>
          <w:sz w:val="20"/>
        </w:rPr>
        <w:t>Each Q</w:t>
      </w:r>
      <w:r w:rsidR="003B5FB7" w:rsidRPr="002C5ADA">
        <w:rPr>
          <w:rFonts w:ascii="Verdana" w:hAnsi="Verdana"/>
          <w:sz w:val="20"/>
        </w:rPr>
        <w:t xml:space="preserve">ualifying Bidder is required to confirm in </w:t>
      </w:r>
      <w:r w:rsidR="005C689A">
        <w:rPr>
          <w:rFonts w:ascii="Verdana" w:hAnsi="Verdana"/>
          <w:sz w:val="20"/>
        </w:rPr>
        <w:t xml:space="preserve">its ITT Submission </w:t>
      </w:r>
      <w:r w:rsidR="003B5FB7" w:rsidRPr="002C5ADA">
        <w:rPr>
          <w:rFonts w:ascii="Verdana" w:hAnsi="Verdana"/>
          <w:sz w:val="20"/>
        </w:rPr>
        <w:t xml:space="preserve">that the information provided in its </w:t>
      </w:r>
      <w:r w:rsidR="00BF65A5" w:rsidRPr="002C5ADA">
        <w:rPr>
          <w:rFonts w:ascii="Verdana" w:hAnsi="Verdana"/>
          <w:sz w:val="20"/>
        </w:rPr>
        <w:t xml:space="preserve">PQ and </w:t>
      </w:r>
      <w:r w:rsidR="003B5FB7" w:rsidRPr="002C5ADA">
        <w:rPr>
          <w:rFonts w:ascii="Verdana" w:hAnsi="Verdana"/>
          <w:sz w:val="20"/>
        </w:rPr>
        <w:t>QTT Submission</w:t>
      </w:r>
      <w:r w:rsidR="00BF65A5" w:rsidRPr="002C5ADA">
        <w:rPr>
          <w:rFonts w:ascii="Verdana" w:hAnsi="Verdana"/>
          <w:sz w:val="20"/>
        </w:rPr>
        <w:t xml:space="preserve">s </w:t>
      </w:r>
      <w:r w:rsidR="00AA079C" w:rsidRPr="002C5ADA">
        <w:rPr>
          <w:rFonts w:ascii="Verdana" w:hAnsi="Verdana"/>
          <w:sz w:val="20"/>
        </w:rPr>
        <w:t>is unchanged</w:t>
      </w:r>
      <w:r w:rsidR="001A0D45">
        <w:rPr>
          <w:rFonts w:ascii="Verdana" w:hAnsi="Verdana"/>
          <w:sz w:val="20"/>
        </w:rPr>
        <w:t xml:space="preserve">.  This confirmation is required as part of the ITT Qualifying Bidder Certificate provided in Appendix </w:t>
      </w:r>
      <w:r w:rsidR="008D0D10">
        <w:rPr>
          <w:rFonts w:ascii="Verdana" w:hAnsi="Verdana"/>
          <w:sz w:val="20"/>
        </w:rPr>
        <w:t>3</w:t>
      </w:r>
      <w:r w:rsidR="001A0D45">
        <w:rPr>
          <w:rFonts w:ascii="Verdana" w:hAnsi="Verdana"/>
          <w:sz w:val="20"/>
        </w:rPr>
        <w:t xml:space="preserve">. </w:t>
      </w:r>
    </w:p>
    <w:p w:rsidR="003B5FB7" w:rsidRPr="001E4F3D" w:rsidRDefault="008E5492" w:rsidP="002C5ADA">
      <w:pPr>
        <w:pStyle w:val="Heading3"/>
        <w:rPr>
          <w:rFonts w:ascii="Verdana" w:hAnsi="Verdana"/>
          <w:sz w:val="20"/>
        </w:rPr>
      </w:pPr>
      <w:r w:rsidRPr="001E4F3D">
        <w:rPr>
          <w:rFonts w:ascii="Verdana" w:hAnsi="Verdana"/>
          <w:sz w:val="20"/>
        </w:rPr>
        <w:t xml:space="preserve">In instances where </w:t>
      </w:r>
      <w:r w:rsidR="00AA079C" w:rsidRPr="001E4F3D">
        <w:rPr>
          <w:rFonts w:ascii="Verdana" w:hAnsi="Verdana"/>
          <w:sz w:val="20"/>
        </w:rPr>
        <w:t xml:space="preserve">there have been changes, the Qualifying Bidder </w:t>
      </w:r>
      <w:r w:rsidR="006335D6" w:rsidRPr="001E4F3D">
        <w:rPr>
          <w:rFonts w:ascii="Verdana" w:hAnsi="Verdana"/>
          <w:sz w:val="20"/>
        </w:rPr>
        <w:t>is required to i</w:t>
      </w:r>
      <w:r w:rsidR="00AA079C" w:rsidRPr="001E4F3D">
        <w:rPr>
          <w:rFonts w:ascii="Verdana" w:hAnsi="Verdana"/>
          <w:sz w:val="20"/>
        </w:rPr>
        <w:t xml:space="preserve">dentify these </w:t>
      </w:r>
      <w:r w:rsidR="001A0D45">
        <w:rPr>
          <w:rFonts w:ascii="Verdana" w:hAnsi="Verdana"/>
          <w:sz w:val="20"/>
        </w:rPr>
        <w:t xml:space="preserve">to Ofgem as part of the ITT Submission.  </w:t>
      </w:r>
      <w:r w:rsidR="00AA079C" w:rsidRPr="001E4F3D">
        <w:rPr>
          <w:rFonts w:ascii="Verdana" w:hAnsi="Verdana"/>
          <w:sz w:val="20"/>
        </w:rPr>
        <w:t xml:space="preserve">Ofgem will evaluate these changes in accordance with the </w:t>
      </w:r>
      <w:r w:rsidR="004B4382">
        <w:rPr>
          <w:rFonts w:ascii="Verdana" w:hAnsi="Verdana"/>
          <w:sz w:val="20"/>
        </w:rPr>
        <w:t>evaluation</w:t>
      </w:r>
      <w:r w:rsidR="00AA079C" w:rsidRPr="001E4F3D">
        <w:rPr>
          <w:rFonts w:ascii="Verdana" w:hAnsi="Verdana"/>
          <w:sz w:val="20"/>
        </w:rPr>
        <w:t xml:space="preserve"> criteria set out in the P</w:t>
      </w:r>
      <w:r w:rsidR="00166B65">
        <w:rPr>
          <w:rFonts w:ascii="Verdana" w:hAnsi="Verdana"/>
          <w:sz w:val="20"/>
        </w:rPr>
        <w:t>re-</w:t>
      </w:r>
      <w:r w:rsidR="00AA079C" w:rsidRPr="001E4F3D">
        <w:rPr>
          <w:rFonts w:ascii="Verdana" w:hAnsi="Verdana"/>
          <w:sz w:val="20"/>
        </w:rPr>
        <w:t>Q</w:t>
      </w:r>
      <w:r w:rsidR="00166B65">
        <w:rPr>
          <w:rFonts w:ascii="Verdana" w:hAnsi="Verdana"/>
          <w:sz w:val="20"/>
        </w:rPr>
        <w:t xml:space="preserve">ualification (PQ) </w:t>
      </w:r>
      <w:r w:rsidR="00AA079C" w:rsidRPr="001E4F3D">
        <w:rPr>
          <w:rFonts w:ascii="Verdana" w:hAnsi="Verdana"/>
          <w:sz w:val="20"/>
        </w:rPr>
        <w:t xml:space="preserve">and QTT Documents. </w:t>
      </w:r>
      <w:r w:rsidR="00D94708">
        <w:rPr>
          <w:rFonts w:ascii="Verdana" w:hAnsi="Verdana"/>
          <w:sz w:val="20"/>
        </w:rPr>
        <w:t xml:space="preserve"> Depending on the extent of the change, the Qualifying Bidder </w:t>
      </w:r>
      <w:r w:rsidR="009C3A37">
        <w:rPr>
          <w:rFonts w:ascii="Verdana" w:hAnsi="Verdana"/>
          <w:sz w:val="20"/>
        </w:rPr>
        <w:t xml:space="preserve">may be required </w:t>
      </w:r>
      <w:r w:rsidR="00D94708">
        <w:rPr>
          <w:rFonts w:ascii="Verdana" w:hAnsi="Verdana"/>
          <w:sz w:val="20"/>
        </w:rPr>
        <w:t xml:space="preserve">to </w:t>
      </w:r>
      <w:r w:rsidR="00B87E55">
        <w:rPr>
          <w:rFonts w:ascii="Verdana" w:hAnsi="Verdana"/>
          <w:sz w:val="20"/>
        </w:rPr>
        <w:t xml:space="preserve">resubmit </w:t>
      </w:r>
      <w:r w:rsidR="00D94708">
        <w:rPr>
          <w:rFonts w:ascii="Verdana" w:hAnsi="Verdana"/>
          <w:sz w:val="20"/>
        </w:rPr>
        <w:t xml:space="preserve">the relevant sections of the PQ and QTT </w:t>
      </w:r>
      <w:r w:rsidR="00166B65">
        <w:rPr>
          <w:rFonts w:ascii="Verdana" w:hAnsi="Verdana"/>
          <w:sz w:val="20"/>
        </w:rPr>
        <w:t>D</w:t>
      </w:r>
      <w:r w:rsidR="00D94708">
        <w:rPr>
          <w:rFonts w:ascii="Verdana" w:hAnsi="Verdana"/>
          <w:sz w:val="20"/>
        </w:rPr>
        <w:t>ocuments</w:t>
      </w:r>
      <w:r w:rsidR="00B87E55">
        <w:rPr>
          <w:rFonts w:ascii="Verdana" w:hAnsi="Verdana"/>
          <w:sz w:val="20"/>
        </w:rPr>
        <w:t xml:space="preserve"> to enable this re-evaluation.</w:t>
      </w:r>
      <w:r w:rsidR="00D94708">
        <w:rPr>
          <w:rFonts w:ascii="Verdana" w:hAnsi="Verdana"/>
          <w:sz w:val="20"/>
        </w:rPr>
        <w:t xml:space="preserve"> </w:t>
      </w:r>
    </w:p>
    <w:bookmarkEnd w:id="27"/>
    <w:p w:rsidR="002C5ADA" w:rsidRPr="007740F0" w:rsidRDefault="000D013F" w:rsidP="002C5ADA">
      <w:pPr>
        <w:pStyle w:val="Heading3"/>
        <w:rPr>
          <w:rFonts w:ascii="Verdana" w:hAnsi="Verdana"/>
          <w:sz w:val="20"/>
        </w:rPr>
      </w:pPr>
      <w:r w:rsidRPr="007740F0">
        <w:rPr>
          <w:rFonts w:ascii="Verdana" w:hAnsi="Verdana"/>
          <w:sz w:val="20"/>
        </w:rPr>
        <w:t xml:space="preserve">Should unexpected or unforeseen </w:t>
      </w:r>
      <w:r w:rsidR="006335D6" w:rsidRPr="007740F0">
        <w:rPr>
          <w:rFonts w:ascii="Verdana" w:hAnsi="Verdana"/>
          <w:sz w:val="20"/>
        </w:rPr>
        <w:t>circumstances arise leading to</w:t>
      </w:r>
      <w:r w:rsidRPr="007740F0">
        <w:rPr>
          <w:rFonts w:ascii="Verdana" w:hAnsi="Verdana"/>
          <w:sz w:val="20"/>
        </w:rPr>
        <w:t xml:space="preserve"> </w:t>
      </w:r>
      <w:r w:rsidR="002C5ADA" w:rsidRPr="007740F0">
        <w:rPr>
          <w:rFonts w:ascii="Verdana" w:hAnsi="Verdana"/>
          <w:sz w:val="20"/>
        </w:rPr>
        <w:t xml:space="preserve">the need for a Qualifying Bidder to amend its </w:t>
      </w:r>
      <w:r w:rsidRPr="007740F0">
        <w:rPr>
          <w:rFonts w:ascii="Verdana" w:hAnsi="Verdana"/>
          <w:sz w:val="20"/>
        </w:rPr>
        <w:t>consorti</w:t>
      </w:r>
      <w:r w:rsidR="002C5ADA" w:rsidRPr="007740F0">
        <w:rPr>
          <w:rFonts w:ascii="Verdana" w:hAnsi="Verdana"/>
          <w:sz w:val="20"/>
        </w:rPr>
        <w:t>a</w:t>
      </w:r>
      <w:r w:rsidR="008D0D10">
        <w:rPr>
          <w:rFonts w:ascii="Verdana" w:hAnsi="Verdana"/>
          <w:sz w:val="20"/>
        </w:rPr>
        <w:t xml:space="preserve">, </w:t>
      </w:r>
      <w:r w:rsidR="002C5ADA" w:rsidRPr="007740F0">
        <w:rPr>
          <w:rFonts w:ascii="Verdana" w:hAnsi="Verdana"/>
          <w:sz w:val="20"/>
        </w:rPr>
        <w:t>where applicable</w:t>
      </w:r>
      <w:r w:rsidR="008D0D10">
        <w:rPr>
          <w:rFonts w:ascii="Verdana" w:hAnsi="Verdana"/>
          <w:sz w:val="20"/>
        </w:rPr>
        <w:t xml:space="preserve">, </w:t>
      </w:r>
      <w:r w:rsidR="002C5ADA" w:rsidRPr="007740F0">
        <w:rPr>
          <w:rFonts w:ascii="Verdana" w:hAnsi="Verdana"/>
          <w:sz w:val="20"/>
        </w:rPr>
        <w:t>f</w:t>
      </w:r>
      <w:r w:rsidRPr="007740F0">
        <w:rPr>
          <w:rFonts w:ascii="Verdana" w:hAnsi="Verdana"/>
          <w:sz w:val="20"/>
        </w:rPr>
        <w:t xml:space="preserve">ollowing the commencement of the ITT </w:t>
      </w:r>
      <w:r w:rsidR="003F01A1">
        <w:rPr>
          <w:rFonts w:ascii="Verdana" w:hAnsi="Verdana"/>
          <w:sz w:val="20"/>
        </w:rPr>
        <w:t>S</w:t>
      </w:r>
      <w:r w:rsidRPr="007740F0">
        <w:rPr>
          <w:rFonts w:ascii="Verdana" w:hAnsi="Verdana"/>
          <w:sz w:val="20"/>
        </w:rPr>
        <w:t xml:space="preserve">tage, </w:t>
      </w:r>
      <w:r w:rsidR="002C5ADA" w:rsidRPr="007740F0">
        <w:rPr>
          <w:rFonts w:ascii="Verdana" w:hAnsi="Verdana"/>
          <w:sz w:val="20"/>
        </w:rPr>
        <w:t>it must inform Ofg</w:t>
      </w:r>
      <w:r w:rsidR="00F41231">
        <w:rPr>
          <w:rFonts w:ascii="Verdana" w:hAnsi="Verdana"/>
          <w:sz w:val="20"/>
        </w:rPr>
        <w:t>e</w:t>
      </w:r>
      <w:r w:rsidR="002C5ADA" w:rsidRPr="007740F0">
        <w:rPr>
          <w:rFonts w:ascii="Verdana" w:hAnsi="Verdana"/>
          <w:sz w:val="20"/>
        </w:rPr>
        <w:t xml:space="preserve">m as soon as reasonably practicable of this.  </w:t>
      </w:r>
      <w:r w:rsidR="003B5FB7" w:rsidRPr="007740F0">
        <w:rPr>
          <w:rFonts w:ascii="Verdana" w:hAnsi="Verdana"/>
          <w:sz w:val="20"/>
        </w:rPr>
        <w:t xml:space="preserve">Ofgem will determine on a case by case basis whether permitting the </w:t>
      </w:r>
      <w:r w:rsidR="002C5ADA" w:rsidRPr="007740F0">
        <w:rPr>
          <w:rFonts w:ascii="Verdana" w:hAnsi="Verdana"/>
          <w:sz w:val="20"/>
        </w:rPr>
        <w:t xml:space="preserve">amended </w:t>
      </w:r>
      <w:r w:rsidR="003B5FB7" w:rsidRPr="007740F0">
        <w:rPr>
          <w:rFonts w:ascii="Verdana" w:hAnsi="Verdana"/>
          <w:sz w:val="20"/>
        </w:rPr>
        <w:t>consortium to remain in the tender process would be fair and equitable</w:t>
      </w:r>
      <w:r w:rsidRPr="007740F0">
        <w:rPr>
          <w:rFonts w:ascii="Verdana" w:hAnsi="Verdana"/>
          <w:sz w:val="20"/>
        </w:rPr>
        <w:t xml:space="preserve"> to all other Qualifying Bidders participating in the tender process for </w:t>
      </w:r>
      <w:r w:rsidR="005C689A">
        <w:rPr>
          <w:rFonts w:ascii="Verdana" w:hAnsi="Verdana"/>
          <w:sz w:val="20"/>
        </w:rPr>
        <w:t>the relevant Qualifying Project</w:t>
      </w:r>
      <w:r w:rsidR="002C5ADA" w:rsidRPr="007740F0">
        <w:rPr>
          <w:rFonts w:ascii="Verdana" w:hAnsi="Verdana"/>
          <w:sz w:val="20"/>
        </w:rPr>
        <w:t>, in accordance with the Tender Regulations.</w:t>
      </w:r>
      <w:r w:rsidR="009C3A37">
        <w:rPr>
          <w:rFonts w:ascii="Verdana" w:hAnsi="Verdana"/>
          <w:sz w:val="20"/>
        </w:rPr>
        <w:t xml:space="preserve">  Where Ofgem permits the amended consortium to remain in the Tender Process, the Qualifying Bidder may be required to resubmit the relevant sections of the PQ and QTT Documents.</w:t>
      </w:r>
    </w:p>
    <w:p w:rsidR="003B5FB7" w:rsidRPr="007740F0" w:rsidRDefault="00D50A14" w:rsidP="002C5ADA">
      <w:pPr>
        <w:pStyle w:val="Heading3"/>
        <w:rPr>
          <w:rFonts w:ascii="Verdana" w:hAnsi="Verdana"/>
          <w:sz w:val="20"/>
        </w:rPr>
      </w:pPr>
      <w:r w:rsidRPr="007740F0">
        <w:rPr>
          <w:rFonts w:ascii="Verdana" w:hAnsi="Verdana"/>
          <w:sz w:val="20"/>
        </w:rPr>
        <w:t xml:space="preserve">Ofgem reserves the right to exclude a consortium from the Tender Process where it </w:t>
      </w:r>
      <w:r w:rsidR="002C5ADA" w:rsidRPr="007740F0">
        <w:rPr>
          <w:rFonts w:ascii="Verdana" w:hAnsi="Verdana"/>
          <w:sz w:val="20"/>
        </w:rPr>
        <w:t xml:space="preserve">considers that </w:t>
      </w:r>
      <w:r w:rsidRPr="007740F0">
        <w:rPr>
          <w:rFonts w:ascii="Verdana" w:hAnsi="Verdana"/>
          <w:sz w:val="20"/>
        </w:rPr>
        <w:t>the consortium can no longer fulfil the criteria which led to</w:t>
      </w:r>
      <w:r w:rsidR="002C5ADA" w:rsidRPr="007740F0">
        <w:rPr>
          <w:rFonts w:ascii="Verdana" w:hAnsi="Verdana"/>
          <w:sz w:val="20"/>
        </w:rPr>
        <w:t xml:space="preserve"> its inclusion on the shortlist </w:t>
      </w:r>
      <w:r w:rsidRPr="007740F0">
        <w:rPr>
          <w:rFonts w:ascii="Verdana" w:hAnsi="Verdana"/>
          <w:sz w:val="20"/>
        </w:rPr>
        <w:t xml:space="preserve">at the conclusion of the QTT </w:t>
      </w:r>
      <w:r w:rsidR="009C3A37">
        <w:rPr>
          <w:rFonts w:ascii="Verdana" w:hAnsi="Verdana"/>
          <w:sz w:val="20"/>
        </w:rPr>
        <w:t>s</w:t>
      </w:r>
      <w:r w:rsidRPr="007740F0">
        <w:rPr>
          <w:rFonts w:ascii="Verdana" w:hAnsi="Verdana"/>
          <w:sz w:val="20"/>
        </w:rPr>
        <w:t>tage.</w:t>
      </w:r>
    </w:p>
    <w:p w:rsidR="008E5C5D" w:rsidRPr="00D737B1" w:rsidRDefault="008E5C5D" w:rsidP="008E5C5D">
      <w:pPr>
        <w:pStyle w:val="BodyText"/>
        <w:rPr>
          <w:rFonts w:ascii="Verdana" w:hAnsi="Verdana"/>
          <w:sz w:val="20"/>
        </w:rPr>
      </w:pPr>
    </w:p>
    <w:p w:rsidR="00DE5880" w:rsidRDefault="00DE5880" w:rsidP="00DE5880">
      <w:pPr>
        <w:pStyle w:val="Heading1"/>
        <w:rPr>
          <w:rFonts w:ascii="Verdana" w:hAnsi="Verdana"/>
          <w:sz w:val="20"/>
        </w:rPr>
      </w:pPr>
      <w:bookmarkStart w:id="31" w:name="_Toc241407998"/>
      <w:bookmarkStart w:id="32" w:name="_Toc241408043"/>
      <w:bookmarkStart w:id="33" w:name="_Toc241408003"/>
      <w:bookmarkStart w:id="34" w:name="_Toc241408048"/>
      <w:bookmarkStart w:id="35" w:name="_Toc241408004"/>
      <w:bookmarkStart w:id="36" w:name="_Toc241408049"/>
      <w:bookmarkStart w:id="37" w:name="_Toc241408005"/>
      <w:bookmarkStart w:id="38" w:name="_Toc241408050"/>
      <w:bookmarkStart w:id="39" w:name="_Toc241408007"/>
      <w:bookmarkStart w:id="40" w:name="_Toc241408052"/>
      <w:bookmarkStart w:id="41" w:name="_Toc241408008"/>
      <w:bookmarkStart w:id="42" w:name="_Toc241408053"/>
      <w:bookmarkStart w:id="43" w:name="_Toc241408009"/>
      <w:bookmarkStart w:id="44" w:name="_Toc241408054"/>
      <w:bookmarkStart w:id="45" w:name="_Toc241408010"/>
      <w:bookmarkStart w:id="46" w:name="_Toc241408055"/>
      <w:bookmarkStart w:id="47" w:name="_Toc241309800"/>
      <w:bookmarkStart w:id="48" w:name="_Toc241315689"/>
      <w:bookmarkStart w:id="49" w:name="_Toc241315781"/>
      <w:bookmarkStart w:id="50" w:name="_Toc249178463"/>
      <w:bookmarkStart w:id="51" w:name="_Toc210033216"/>
      <w:bookmarkStart w:id="52" w:name="_Toc233782507"/>
      <w:bookmarkStart w:id="53" w:name="_Toc24156234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47D87">
        <w:rPr>
          <w:rFonts w:ascii="Verdana" w:hAnsi="Verdana"/>
        </w:rPr>
        <w:t>Mark up of documents during the ITT Stage</w:t>
      </w:r>
      <w:bookmarkEnd w:id="50"/>
    </w:p>
    <w:p w:rsidR="00DE5880" w:rsidRDefault="00DE5880" w:rsidP="00DE5880">
      <w:pPr>
        <w:pStyle w:val="Heading2"/>
        <w:rPr>
          <w:rFonts w:ascii="Verdana" w:hAnsi="Verdana"/>
          <w:sz w:val="20"/>
        </w:rPr>
      </w:pPr>
      <w:r>
        <w:rPr>
          <w:rFonts w:ascii="Verdana" w:hAnsi="Verdana"/>
          <w:sz w:val="20"/>
        </w:rPr>
        <w:t>Submission of Required Mark Ups and Commentary</w:t>
      </w:r>
    </w:p>
    <w:p w:rsidR="00DE5880" w:rsidRDefault="00DE5880" w:rsidP="00DE5880">
      <w:pPr>
        <w:pStyle w:val="Heading3"/>
        <w:rPr>
          <w:rFonts w:ascii="Verdana" w:hAnsi="Verdana"/>
          <w:sz w:val="20"/>
        </w:rPr>
      </w:pPr>
      <w:r w:rsidRPr="00467FE0">
        <w:rPr>
          <w:rFonts w:ascii="Verdana" w:hAnsi="Verdana"/>
          <w:sz w:val="20"/>
        </w:rPr>
        <w:t xml:space="preserve">Qualifying Bidders </w:t>
      </w:r>
      <w:r>
        <w:rPr>
          <w:rFonts w:ascii="Verdana" w:hAnsi="Verdana"/>
          <w:sz w:val="20"/>
        </w:rPr>
        <w:t xml:space="preserve">must propose any changes to the following documents for each Project </w:t>
      </w:r>
      <w:r w:rsidRPr="00467FE0">
        <w:rPr>
          <w:rFonts w:ascii="Verdana" w:hAnsi="Verdana"/>
          <w:sz w:val="20"/>
        </w:rPr>
        <w:t>by no</w:t>
      </w:r>
      <w:r>
        <w:rPr>
          <w:rFonts w:ascii="Verdana" w:hAnsi="Verdana"/>
          <w:sz w:val="20"/>
        </w:rPr>
        <w:t xml:space="preserve"> later than </w:t>
      </w:r>
      <w:r w:rsidRPr="00467FE0">
        <w:rPr>
          <w:rFonts w:ascii="Verdana" w:hAnsi="Verdana"/>
          <w:sz w:val="20"/>
        </w:rPr>
        <w:t>5pm on 2</w:t>
      </w:r>
      <w:r w:rsidR="008E7262">
        <w:rPr>
          <w:rFonts w:ascii="Verdana" w:hAnsi="Verdana"/>
          <w:sz w:val="20"/>
        </w:rPr>
        <w:t>1</w:t>
      </w:r>
      <w:r w:rsidRPr="00467FE0">
        <w:rPr>
          <w:rFonts w:ascii="Verdana" w:hAnsi="Verdana"/>
          <w:sz w:val="20"/>
        </w:rPr>
        <w:t xml:space="preserve"> January 2010</w:t>
      </w:r>
      <w:r>
        <w:rPr>
          <w:rFonts w:ascii="Verdana" w:hAnsi="Verdana"/>
          <w:sz w:val="20"/>
        </w:rPr>
        <w:t>:</w:t>
      </w:r>
    </w:p>
    <w:p w:rsidR="00DE5880" w:rsidRPr="00E46743" w:rsidRDefault="00DE5880" w:rsidP="00DE5880">
      <w:pPr>
        <w:pStyle w:val="Heading4"/>
        <w:tabs>
          <w:tab w:val="clear" w:pos="2694"/>
          <w:tab w:val="num" w:pos="2268"/>
        </w:tabs>
        <w:ind w:left="2268" w:hanging="708"/>
        <w:rPr>
          <w:rFonts w:ascii="Verdana" w:hAnsi="Verdana"/>
          <w:sz w:val="20"/>
        </w:rPr>
      </w:pPr>
      <w:r w:rsidRPr="00E46743">
        <w:rPr>
          <w:rFonts w:ascii="Verdana" w:hAnsi="Verdana"/>
          <w:b/>
          <w:sz w:val="20"/>
        </w:rPr>
        <w:t>Draft Project SPA</w:t>
      </w:r>
      <w:r w:rsidRPr="00E46743">
        <w:rPr>
          <w:rFonts w:ascii="Verdana" w:hAnsi="Verdana"/>
          <w:sz w:val="20"/>
        </w:rPr>
        <w:t xml:space="preserve"> </w:t>
      </w:r>
      <w:r>
        <w:rPr>
          <w:rFonts w:ascii="Verdana" w:hAnsi="Verdana"/>
          <w:b/>
          <w:sz w:val="20"/>
        </w:rPr>
        <w:t>and Disclosure Letter</w:t>
      </w:r>
      <w:r w:rsidRPr="00E46743">
        <w:rPr>
          <w:rFonts w:ascii="Verdana" w:hAnsi="Verdana"/>
          <w:sz w:val="20"/>
        </w:rPr>
        <w:t xml:space="preserve"> – by way of a drafting mark up of the Draft Project SPA </w:t>
      </w:r>
      <w:r w:rsidR="003F01A1">
        <w:rPr>
          <w:rFonts w:ascii="Verdana" w:hAnsi="Verdana"/>
          <w:sz w:val="20"/>
        </w:rPr>
        <w:t xml:space="preserve">and Disclosure Letter </w:t>
      </w:r>
      <w:r w:rsidRPr="00E46743">
        <w:rPr>
          <w:rFonts w:ascii="Verdana" w:hAnsi="Verdana"/>
          <w:sz w:val="20"/>
        </w:rPr>
        <w:t xml:space="preserve">and a commentary table </w:t>
      </w:r>
      <w:r>
        <w:rPr>
          <w:rFonts w:ascii="Verdana" w:hAnsi="Verdana"/>
          <w:sz w:val="20"/>
        </w:rPr>
        <w:t xml:space="preserve">to a </w:t>
      </w:r>
      <w:r w:rsidRPr="00E46743">
        <w:rPr>
          <w:rFonts w:ascii="Verdana" w:hAnsi="Verdana"/>
          <w:sz w:val="20"/>
        </w:rPr>
        <w:t xml:space="preserve">maximum </w:t>
      </w:r>
      <w:r>
        <w:rPr>
          <w:rFonts w:ascii="Verdana" w:hAnsi="Verdana"/>
          <w:sz w:val="20"/>
        </w:rPr>
        <w:t>of 10</w:t>
      </w:r>
      <w:r w:rsidRPr="00E46743">
        <w:rPr>
          <w:rFonts w:ascii="Verdana" w:hAnsi="Verdana"/>
          <w:sz w:val="20"/>
        </w:rPr>
        <w:t xml:space="preserve"> pages;</w:t>
      </w:r>
    </w:p>
    <w:p w:rsidR="00DE5880" w:rsidRPr="00E46743" w:rsidRDefault="00DE5880" w:rsidP="00DE5880">
      <w:pPr>
        <w:pStyle w:val="Heading4"/>
        <w:tabs>
          <w:tab w:val="clear" w:pos="2694"/>
          <w:tab w:val="num" w:pos="2268"/>
        </w:tabs>
        <w:ind w:left="2268" w:hanging="708"/>
        <w:rPr>
          <w:rFonts w:ascii="Verdana" w:hAnsi="Verdana"/>
          <w:sz w:val="20"/>
        </w:rPr>
      </w:pPr>
      <w:r w:rsidRPr="00E46743">
        <w:rPr>
          <w:rFonts w:ascii="Verdana" w:hAnsi="Verdana"/>
          <w:b/>
          <w:sz w:val="20"/>
        </w:rPr>
        <w:t>Draft Interface Agreement</w:t>
      </w:r>
      <w:r w:rsidRPr="00E46743">
        <w:rPr>
          <w:rFonts w:ascii="Verdana" w:hAnsi="Verdana"/>
          <w:sz w:val="20"/>
        </w:rPr>
        <w:t xml:space="preserve"> – by way of commentary table only, </w:t>
      </w:r>
      <w:r>
        <w:rPr>
          <w:rFonts w:ascii="Verdana" w:hAnsi="Verdana"/>
          <w:sz w:val="20"/>
        </w:rPr>
        <w:t xml:space="preserve">to a </w:t>
      </w:r>
      <w:r w:rsidRPr="00E46743">
        <w:rPr>
          <w:rFonts w:ascii="Verdana" w:hAnsi="Verdana"/>
          <w:sz w:val="20"/>
        </w:rPr>
        <w:t xml:space="preserve">maximum </w:t>
      </w:r>
      <w:r>
        <w:rPr>
          <w:rFonts w:ascii="Verdana" w:hAnsi="Verdana"/>
          <w:sz w:val="20"/>
        </w:rPr>
        <w:t xml:space="preserve">of </w:t>
      </w:r>
      <w:r w:rsidRPr="00E46743">
        <w:rPr>
          <w:rFonts w:ascii="Verdana" w:hAnsi="Verdana"/>
          <w:sz w:val="20"/>
        </w:rPr>
        <w:t>two pages;</w:t>
      </w:r>
    </w:p>
    <w:p w:rsidR="00DE5880" w:rsidRDefault="00DE5880" w:rsidP="00DE5880">
      <w:pPr>
        <w:pStyle w:val="Heading4"/>
        <w:tabs>
          <w:tab w:val="clear" w:pos="2694"/>
          <w:tab w:val="num" w:pos="2268"/>
        </w:tabs>
        <w:ind w:left="2268" w:hanging="708"/>
        <w:rPr>
          <w:rFonts w:ascii="Verdana" w:hAnsi="Verdana"/>
          <w:sz w:val="20"/>
        </w:rPr>
      </w:pPr>
      <w:proofErr w:type="gramStart"/>
      <w:r>
        <w:rPr>
          <w:rFonts w:ascii="Verdana" w:hAnsi="Verdana"/>
          <w:b/>
          <w:sz w:val="20"/>
        </w:rPr>
        <w:lastRenderedPageBreak/>
        <w:t>Commercial Offers</w:t>
      </w:r>
      <w:r w:rsidRPr="00E46743">
        <w:rPr>
          <w:rFonts w:ascii="Verdana" w:hAnsi="Verdana"/>
          <w:sz w:val="20"/>
        </w:rPr>
        <w:t xml:space="preserve"> </w:t>
      </w:r>
      <w:r w:rsidRPr="00DE5880">
        <w:rPr>
          <w:rFonts w:ascii="Verdana" w:hAnsi="Verdana"/>
          <w:b/>
          <w:sz w:val="20"/>
        </w:rPr>
        <w:t>(Operations &amp; Maintenance Agreement and Insurance Proposals where applicable)</w:t>
      </w:r>
      <w:r>
        <w:rPr>
          <w:rFonts w:ascii="Verdana" w:hAnsi="Verdana"/>
          <w:sz w:val="20"/>
        </w:rPr>
        <w:t xml:space="preserve"> – by way of comment and clarification to a maximum of 10 pages.</w:t>
      </w:r>
      <w:proofErr w:type="gramEnd"/>
      <w:r w:rsidRPr="00E46743">
        <w:rPr>
          <w:rFonts w:ascii="Verdana" w:hAnsi="Verdana"/>
          <w:sz w:val="20"/>
        </w:rPr>
        <w:t xml:space="preserve"> </w:t>
      </w:r>
    </w:p>
    <w:p w:rsidR="00DE5880" w:rsidRDefault="00DE5880" w:rsidP="00DE5880">
      <w:pPr>
        <w:pStyle w:val="Heading3"/>
        <w:rPr>
          <w:rFonts w:ascii="Verdana" w:hAnsi="Verdana"/>
          <w:sz w:val="20"/>
        </w:rPr>
      </w:pPr>
      <w:r>
        <w:rPr>
          <w:rFonts w:ascii="Verdana" w:hAnsi="Verdana"/>
          <w:sz w:val="20"/>
        </w:rPr>
        <w:t xml:space="preserve">In respect of Greater </w:t>
      </w:r>
      <w:proofErr w:type="spellStart"/>
      <w:r>
        <w:rPr>
          <w:rFonts w:ascii="Verdana" w:hAnsi="Verdana"/>
          <w:sz w:val="20"/>
        </w:rPr>
        <w:t>Gabbard</w:t>
      </w:r>
      <w:proofErr w:type="spellEnd"/>
      <w:r>
        <w:rPr>
          <w:rFonts w:ascii="Verdana" w:hAnsi="Verdana"/>
          <w:sz w:val="20"/>
        </w:rPr>
        <w:t xml:space="preserve"> only, Qualifying Bidders are also required to respond in respect of the Draft Interim Services Agreement and </w:t>
      </w:r>
      <w:r w:rsidR="00F41231">
        <w:rPr>
          <w:rFonts w:ascii="Verdana" w:hAnsi="Verdana"/>
          <w:sz w:val="20"/>
        </w:rPr>
        <w:t xml:space="preserve">Draft </w:t>
      </w:r>
      <w:r>
        <w:rPr>
          <w:rFonts w:ascii="Verdana" w:hAnsi="Verdana"/>
          <w:sz w:val="20"/>
        </w:rPr>
        <w:t>Commissioning Services Agreement</w:t>
      </w:r>
      <w:r w:rsidR="003F01A1">
        <w:rPr>
          <w:rFonts w:ascii="Verdana" w:hAnsi="Verdana"/>
          <w:sz w:val="20"/>
        </w:rPr>
        <w:t xml:space="preserve"> (which will be provided into the relevant Data Room in early January)</w:t>
      </w:r>
      <w:r>
        <w:rPr>
          <w:rFonts w:ascii="Verdana" w:hAnsi="Verdana"/>
          <w:sz w:val="20"/>
        </w:rPr>
        <w:t xml:space="preserve">, by way of a drafting mark up and a commentary table to a </w:t>
      </w:r>
      <w:proofErr w:type="spellStart"/>
      <w:r>
        <w:rPr>
          <w:rFonts w:ascii="Verdana" w:hAnsi="Verdana"/>
          <w:sz w:val="20"/>
        </w:rPr>
        <w:t>maxiumum</w:t>
      </w:r>
      <w:proofErr w:type="spellEnd"/>
      <w:r>
        <w:rPr>
          <w:rFonts w:ascii="Verdana" w:hAnsi="Verdana"/>
          <w:sz w:val="20"/>
        </w:rPr>
        <w:t xml:space="preserve"> of </w:t>
      </w:r>
      <w:r w:rsidR="003F01A1">
        <w:rPr>
          <w:rFonts w:ascii="Verdana" w:hAnsi="Verdana"/>
          <w:sz w:val="20"/>
        </w:rPr>
        <w:t>10</w:t>
      </w:r>
      <w:r>
        <w:rPr>
          <w:rFonts w:ascii="Verdana" w:hAnsi="Verdana"/>
          <w:sz w:val="20"/>
        </w:rPr>
        <w:t xml:space="preserve"> pages</w:t>
      </w:r>
      <w:r w:rsidR="005C689A">
        <w:rPr>
          <w:rFonts w:ascii="Verdana" w:hAnsi="Verdana"/>
          <w:sz w:val="20"/>
        </w:rPr>
        <w:t xml:space="preserve"> per Agreement</w:t>
      </w:r>
      <w:r>
        <w:rPr>
          <w:rFonts w:ascii="Verdana" w:hAnsi="Verdana"/>
          <w:sz w:val="20"/>
        </w:rPr>
        <w:t>.</w:t>
      </w:r>
    </w:p>
    <w:p w:rsidR="00DE5880" w:rsidRDefault="00F24C6A" w:rsidP="00DE5880">
      <w:pPr>
        <w:pStyle w:val="Heading3"/>
        <w:rPr>
          <w:rFonts w:ascii="Verdana" w:hAnsi="Verdana"/>
          <w:sz w:val="20"/>
        </w:rPr>
      </w:pPr>
      <w:r>
        <w:rPr>
          <w:rFonts w:ascii="Verdana" w:hAnsi="Verdana"/>
          <w:sz w:val="20"/>
        </w:rPr>
        <w:t>Following consideration by Ofgem, t</w:t>
      </w:r>
      <w:r w:rsidR="00DE5880" w:rsidRPr="00467FE0">
        <w:rPr>
          <w:rFonts w:ascii="Verdana" w:hAnsi="Verdana"/>
          <w:sz w:val="20"/>
        </w:rPr>
        <w:t>he</w:t>
      </w:r>
      <w:r>
        <w:rPr>
          <w:rFonts w:ascii="Verdana" w:hAnsi="Verdana"/>
          <w:sz w:val="20"/>
        </w:rPr>
        <w:t>se</w:t>
      </w:r>
      <w:r w:rsidR="00DE5880" w:rsidRPr="00467FE0">
        <w:rPr>
          <w:rFonts w:ascii="Verdana" w:hAnsi="Verdana"/>
          <w:sz w:val="20"/>
        </w:rPr>
        <w:t xml:space="preserve"> mark ups and commentary</w:t>
      </w:r>
      <w:r w:rsidR="00DE5880">
        <w:rPr>
          <w:rFonts w:ascii="Verdana" w:hAnsi="Verdana"/>
          <w:sz w:val="20"/>
        </w:rPr>
        <w:t xml:space="preserve"> tables</w:t>
      </w:r>
      <w:r w:rsidR="00DE5880" w:rsidRPr="00467FE0">
        <w:rPr>
          <w:rFonts w:ascii="Verdana" w:hAnsi="Verdana"/>
          <w:sz w:val="20"/>
        </w:rPr>
        <w:t xml:space="preserve"> will be provided to </w:t>
      </w:r>
      <w:r w:rsidR="00DE5880">
        <w:rPr>
          <w:rFonts w:ascii="Verdana" w:hAnsi="Verdana"/>
          <w:sz w:val="20"/>
        </w:rPr>
        <w:t>the relevant Developer</w:t>
      </w:r>
      <w:r w:rsidR="00DE5880" w:rsidRPr="00467FE0">
        <w:rPr>
          <w:rFonts w:ascii="Verdana" w:hAnsi="Verdana"/>
          <w:sz w:val="20"/>
        </w:rPr>
        <w:t xml:space="preserve"> on an anonymous basis</w:t>
      </w:r>
      <w:r>
        <w:rPr>
          <w:rFonts w:ascii="Verdana" w:hAnsi="Verdana"/>
          <w:sz w:val="20"/>
        </w:rPr>
        <w:t xml:space="preserve">. </w:t>
      </w:r>
      <w:r w:rsidR="00DE5880">
        <w:rPr>
          <w:rFonts w:ascii="Verdana" w:hAnsi="Verdana"/>
          <w:sz w:val="20"/>
        </w:rPr>
        <w:t xml:space="preserve"> </w:t>
      </w:r>
      <w:r w:rsidR="00DE5880" w:rsidRPr="00B47D87">
        <w:rPr>
          <w:rFonts w:ascii="Verdana" w:hAnsi="Verdana"/>
          <w:sz w:val="20"/>
        </w:rPr>
        <w:t>The Developer will consider the changes proposed to the Draft Project SPA and will prepare the Final Project SPA, which will be provided to Qualifying</w:t>
      </w:r>
      <w:r>
        <w:rPr>
          <w:rFonts w:ascii="Verdana" w:hAnsi="Verdana"/>
          <w:sz w:val="20"/>
        </w:rPr>
        <w:t xml:space="preserve"> Bidders by 17 February 2010.</w:t>
      </w:r>
    </w:p>
    <w:p w:rsidR="00F24C6A" w:rsidRPr="00F24C6A" w:rsidRDefault="00F24C6A" w:rsidP="00F24C6A">
      <w:pPr>
        <w:pStyle w:val="Heading3"/>
        <w:rPr>
          <w:rFonts w:ascii="Verdana" w:hAnsi="Verdana"/>
          <w:sz w:val="20"/>
        </w:rPr>
      </w:pPr>
      <w:r w:rsidRPr="00F24C6A">
        <w:rPr>
          <w:rFonts w:ascii="Verdana" w:hAnsi="Verdana"/>
          <w:sz w:val="20"/>
        </w:rPr>
        <w:t xml:space="preserve">In providing mark ups and commentary tables, Qualifying Bidders should be mindful </w:t>
      </w:r>
      <w:r w:rsidR="005C689A">
        <w:rPr>
          <w:rFonts w:ascii="Verdana" w:hAnsi="Verdana"/>
          <w:sz w:val="20"/>
        </w:rPr>
        <w:t>o</w:t>
      </w:r>
      <w:r w:rsidRPr="00F24C6A">
        <w:rPr>
          <w:rFonts w:ascii="Verdana" w:hAnsi="Verdana"/>
          <w:sz w:val="20"/>
        </w:rPr>
        <w:t xml:space="preserve">f the assumptions set out in </w:t>
      </w:r>
      <w:proofErr w:type="spellStart"/>
      <w:r w:rsidR="00B97509">
        <w:rPr>
          <w:rFonts w:ascii="Verdana" w:hAnsi="Verdana"/>
          <w:sz w:val="20"/>
        </w:rPr>
        <w:t>in</w:t>
      </w:r>
      <w:proofErr w:type="spellEnd"/>
      <w:r w:rsidR="00B97509">
        <w:rPr>
          <w:rFonts w:ascii="Verdana" w:hAnsi="Verdana"/>
          <w:sz w:val="20"/>
        </w:rPr>
        <w:t xml:space="preserve"> </w:t>
      </w:r>
      <w:r w:rsidRPr="00F24C6A">
        <w:rPr>
          <w:rFonts w:ascii="Verdana" w:hAnsi="Verdana"/>
          <w:sz w:val="20"/>
        </w:rPr>
        <w:t>section</w:t>
      </w:r>
      <w:r w:rsidR="00B97509">
        <w:rPr>
          <w:rFonts w:ascii="Verdana" w:hAnsi="Verdana"/>
          <w:sz w:val="20"/>
        </w:rPr>
        <w:t xml:space="preserve"> 6</w:t>
      </w:r>
      <w:r w:rsidRPr="00F24C6A">
        <w:rPr>
          <w:rFonts w:ascii="Verdana" w:hAnsi="Verdana"/>
          <w:sz w:val="20"/>
        </w:rPr>
        <w:t xml:space="preserve"> of this ITT Document.</w:t>
      </w:r>
    </w:p>
    <w:p w:rsidR="00DE5880" w:rsidRPr="008E7262" w:rsidRDefault="008E7262" w:rsidP="00DE5880">
      <w:pPr>
        <w:pStyle w:val="Heading3"/>
        <w:rPr>
          <w:rFonts w:ascii="Verdana" w:hAnsi="Verdana"/>
          <w:sz w:val="20"/>
        </w:rPr>
      </w:pPr>
      <w:r w:rsidRPr="008E7262">
        <w:rPr>
          <w:rFonts w:ascii="Verdana" w:hAnsi="Verdana"/>
          <w:sz w:val="20"/>
        </w:rPr>
        <w:t xml:space="preserve">Ofgem will not be evaluating these mark ups.  However, </w:t>
      </w:r>
      <w:r>
        <w:rPr>
          <w:rFonts w:ascii="Verdana" w:hAnsi="Verdana"/>
          <w:sz w:val="20"/>
        </w:rPr>
        <w:t>Q</w:t>
      </w:r>
      <w:r w:rsidR="00DE5880" w:rsidRPr="008E7262">
        <w:rPr>
          <w:rFonts w:ascii="Verdana" w:hAnsi="Verdana"/>
          <w:sz w:val="20"/>
        </w:rPr>
        <w:t xml:space="preserve">ualifying Bidders will be required to make their ITT Submissions based on, and assuming, that there will be no further changes to the Final Project SPA.  Qualifying Bidders firm Tender Revenue Stream </w:t>
      </w:r>
      <w:proofErr w:type="gramStart"/>
      <w:r w:rsidR="00DE5880" w:rsidRPr="008E7262">
        <w:rPr>
          <w:rFonts w:ascii="Verdana" w:hAnsi="Verdana"/>
          <w:sz w:val="20"/>
        </w:rPr>
        <w:t>bids  must</w:t>
      </w:r>
      <w:proofErr w:type="gramEnd"/>
      <w:r w:rsidR="00DE5880" w:rsidRPr="008E7262">
        <w:rPr>
          <w:rFonts w:ascii="Verdana" w:hAnsi="Verdana"/>
          <w:sz w:val="20"/>
        </w:rPr>
        <w:t xml:space="preserve"> be priced on the above basis.  Qualifying Bidders will not be permitted to provide a mark up of the Final Project SPA with their ITT Submissions</w:t>
      </w:r>
      <w:r w:rsidR="00F24C6A" w:rsidRPr="008E7262">
        <w:rPr>
          <w:rFonts w:ascii="Verdana" w:hAnsi="Verdana"/>
          <w:sz w:val="20"/>
        </w:rPr>
        <w:t>.</w:t>
      </w:r>
    </w:p>
    <w:p w:rsidR="00DE5880" w:rsidRDefault="00DE5880" w:rsidP="00DE5880">
      <w:pPr>
        <w:pStyle w:val="Heading2"/>
        <w:rPr>
          <w:rFonts w:ascii="Verdana" w:hAnsi="Verdana"/>
          <w:sz w:val="20"/>
        </w:rPr>
      </w:pPr>
      <w:r>
        <w:rPr>
          <w:rFonts w:ascii="Verdana" w:hAnsi="Verdana"/>
          <w:sz w:val="20"/>
        </w:rPr>
        <w:t>Form of Mark Up</w:t>
      </w:r>
    </w:p>
    <w:p w:rsidR="00DE5880" w:rsidRPr="0009635A" w:rsidRDefault="00DE5880" w:rsidP="00DE5880">
      <w:pPr>
        <w:pStyle w:val="Heading3"/>
        <w:rPr>
          <w:rFonts w:ascii="Verdana" w:hAnsi="Verdana"/>
          <w:sz w:val="20"/>
        </w:rPr>
      </w:pPr>
      <w:r w:rsidRPr="0009635A">
        <w:rPr>
          <w:rFonts w:ascii="Verdana" w:hAnsi="Verdana"/>
          <w:sz w:val="20"/>
        </w:rPr>
        <w:t xml:space="preserve">Where a mark up of a document is required, Qualifying Bidders must provide the mark up as: </w:t>
      </w:r>
    </w:p>
    <w:p w:rsidR="00DE5880" w:rsidRPr="0009635A" w:rsidRDefault="00DE5880" w:rsidP="00DE5880">
      <w:pPr>
        <w:pStyle w:val="Heading4"/>
        <w:tabs>
          <w:tab w:val="clear" w:pos="2694"/>
          <w:tab w:val="num" w:pos="2268"/>
        </w:tabs>
        <w:ind w:left="2268" w:hanging="708"/>
        <w:rPr>
          <w:rFonts w:ascii="Verdana" w:hAnsi="Verdana"/>
          <w:sz w:val="20"/>
        </w:rPr>
      </w:pPr>
      <w:proofErr w:type="gramStart"/>
      <w:r w:rsidRPr="0009635A">
        <w:rPr>
          <w:rFonts w:ascii="Verdana" w:hAnsi="Verdana"/>
          <w:sz w:val="20"/>
        </w:rPr>
        <w:t>a</w:t>
      </w:r>
      <w:proofErr w:type="gramEnd"/>
      <w:r w:rsidRPr="0009635A">
        <w:rPr>
          <w:rFonts w:ascii="Verdana" w:hAnsi="Verdana"/>
          <w:sz w:val="20"/>
        </w:rPr>
        <w:t xml:space="preserve"> clean document in MS Word format; and </w:t>
      </w:r>
    </w:p>
    <w:p w:rsidR="00DE5880" w:rsidRPr="0009635A" w:rsidRDefault="00DE5880" w:rsidP="00DE5880">
      <w:pPr>
        <w:pStyle w:val="Heading4"/>
        <w:tabs>
          <w:tab w:val="clear" w:pos="2694"/>
          <w:tab w:val="num" w:pos="2268"/>
        </w:tabs>
        <w:ind w:left="2268" w:hanging="708"/>
        <w:rPr>
          <w:rFonts w:ascii="Verdana" w:hAnsi="Verdana"/>
          <w:sz w:val="20"/>
        </w:rPr>
      </w:pPr>
      <w:proofErr w:type="gramStart"/>
      <w:r w:rsidRPr="0009635A">
        <w:rPr>
          <w:rFonts w:ascii="Verdana" w:hAnsi="Verdana"/>
          <w:sz w:val="20"/>
        </w:rPr>
        <w:t>a</w:t>
      </w:r>
      <w:proofErr w:type="gramEnd"/>
      <w:r w:rsidRPr="0009635A">
        <w:rPr>
          <w:rFonts w:ascii="Verdana" w:hAnsi="Verdana"/>
          <w:sz w:val="20"/>
        </w:rPr>
        <w:t xml:space="preserve"> PDF of a comparison between the mark up and the original document provided by the Developer.</w:t>
      </w:r>
    </w:p>
    <w:p w:rsidR="00DE5880" w:rsidRDefault="00DE5880" w:rsidP="00DE5880">
      <w:pPr>
        <w:pStyle w:val="Heading2"/>
        <w:rPr>
          <w:rFonts w:ascii="Verdana" w:hAnsi="Verdana"/>
          <w:sz w:val="20"/>
        </w:rPr>
      </w:pPr>
      <w:r>
        <w:rPr>
          <w:rFonts w:ascii="Verdana" w:hAnsi="Verdana"/>
          <w:sz w:val="20"/>
        </w:rPr>
        <w:t>Form of Commentary Table</w:t>
      </w:r>
    </w:p>
    <w:p w:rsidR="00DE5880" w:rsidRDefault="00DE5880" w:rsidP="00DE5880">
      <w:pPr>
        <w:pStyle w:val="Heading3"/>
        <w:rPr>
          <w:rFonts w:ascii="Verdana" w:hAnsi="Verdana"/>
          <w:sz w:val="20"/>
        </w:rPr>
      </w:pPr>
      <w:r>
        <w:rPr>
          <w:rFonts w:ascii="Verdana" w:hAnsi="Verdana"/>
          <w:sz w:val="20"/>
        </w:rPr>
        <w:t xml:space="preserve">Where a commentary table is required, </w:t>
      </w:r>
      <w:r w:rsidRPr="00467FE0">
        <w:rPr>
          <w:rFonts w:ascii="Verdana" w:hAnsi="Verdana"/>
          <w:sz w:val="20"/>
        </w:rPr>
        <w:t>Qualifying Bidders must</w:t>
      </w:r>
      <w:r>
        <w:rPr>
          <w:rFonts w:ascii="Verdana" w:hAnsi="Verdana"/>
          <w:sz w:val="20"/>
        </w:rPr>
        <w:t>:</w:t>
      </w:r>
      <w:r w:rsidRPr="00467FE0">
        <w:rPr>
          <w:rFonts w:ascii="Verdana" w:hAnsi="Verdana"/>
          <w:sz w:val="20"/>
        </w:rPr>
        <w:t xml:space="preserve"> </w:t>
      </w:r>
    </w:p>
    <w:p w:rsidR="00DE5880" w:rsidRPr="00E46743" w:rsidRDefault="00DE5880" w:rsidP="00DE5880">
      <w:pPr>
        <w:pStyle w:val="Heading4"/>
        <w:tabs>
          <w:tab w:val="clear" w:pos="2694"/>
          <w:tab w:val="num" w:pos="2268"/>
        </w:tabs>
        <w:ind w:left="2268" w:hanging="708"/>
        <w:rPr>
          <w:rFonts w:ascii="Verdana" w:hAnsi="Verdana"/>
          <w:sz w:val="20"/>
        </w:rPr>
      </w:pPr>
      <w:proofErr w:type="gramStart"/>
      <w:r w:rsidRPr="00E46743">
        <w:rPr>
          <w:rFonts w:ascii="Verdana" w:hAnsi="Verdana"/>
          <w:sz w:val="20"/>
        </w:rPr>
        <w:t>prepare</w:t>
      </w:r>
      <w:proofErr w:type="gramEnd"/>
      <w:r w:rsidRPr="00E46743">
        <w:rPr>
          <w:rFonts w:ascii="Verdana" w:hAnsi="Verdana"/>
          <w:sz w:val="20"/>
        </w:rPr>
        <w:t xml:space="preserve"> the commentary table using the form provided in the Data Room; and </w:t>
      </w:r>
    </w:p>
    <w:p w:rsidR="00DE5880" w:rsidRPr="00E46743" w:rsidRDefault="00DE5880" w:rsidP="00DE5880">
      <w:pPr>
        <w:pStyle w:val="Heading4"/>
        <w:tabs>
          <w:tab w:val="clear" w:pos="2694"/>
          <w:tab w:val="num" w:pos="2268"/>
        </w:tabs>
        <w:ind w:left="2268" w:hanging="708"/>
        <w:rPr>
          <w:rFonts w:ascii="Verdana" w:hAnsi="Verdana"/>
          <w:sz w:val="20"/>
        </w:rPr>
      </w:pPr>
      <w:proofErr w:type="gramStart"/>
      <w:r w:rsidRPr="00E46743">
        <w:rPr>
          <w:rFonts w:ascii="Verdana" w:hAnsi="Verdana"/>
          <w:sz w:val="20"/>
        </w:rPr>
        <w:t>provide</w:t>
      </w:r>
      <w:proofErr w:type="gramEnd"/>
      <w:r w:rsidRPr="00E46743">
        <w:rPr>
          <w:rFonts w:ascii="Verdana" w:hAnsi="Verdana"/>
          <w:sz w:val="20"/>
        </w:rPr>
        <w:t xml:space="preserve"> the commentary table in MS Word format. </w:t>
      </w:r>
    </w:p>
    <w:p w:rsidR="00DE5880" w:rsidRPr="00467FE0" w:rsidRDefault="00DE5880" w:rsidP="00DE5880">
      <w:pPr>
        <w:pStyle w:val="Heading3"/>
        <w:rPr>
          <w:rFonts w:ascii="Verdana" w:hAnsi="Verdana"/>
          <w:sz w:val="20"/>
        </w:rPr>
      </w:pPr>
      <w:r w:rsidRPr="00467FE0">
        <w:rPr>
          <w:rFonts w:ascii="Verdana" w:hAnsi="Verdana"/>
          <w:sz w:val="20"/>
        </w:rPr>
        <w:t xml:space="preserve">Qualifying Bidders </w:t>
      </w:r>
      <w:r w:rsidR="00F24C6A">
        <w:rPr>
          <w:rFonts w:ascii="Verdana" w:hAnsi="Verdana"/>
          <w:sz w:val="20"/>
        </w:rPr>
        <w:t>are required to i</w:t>
      </w:r>
      <w:r w:rsidRPr="00467FE0">
        <w:rPr>
          <w:rFonts w:ascii="Verdana" w:hAnsi="Verdana"/>
          <w:sz w:val="20"/>
        </w:rPr>
        <w:t xml:space="preserve">ndicate </w:t>
      </w:r>
      <w:r>
        <w:rPr>
          <w:rFonts w:ascii="Verdana" w:hAnsi="Verdana"/>
          <w:sz w:val="20"/>
        </w:rPr>
        <w:t xml:space="preserve">in the commentary table </w:t>
      </w:r>
      <w:r w:rsidRPr="00467FE0">
        <w:rPr>
          <w:rFonts w:ascii="Verdana" w:hAnsi="Verdana"/>
          <w:sz w:val="20"/>
        </w:rPr>
        <w:t xml:space="preserve">whether the issues underlying their proposed changes </w:t>
      </w:r>
      <w:r>
        <w:rPr>
          <w:rFonts w:ascii="Verdana" w:hAnsi="Verdana"/>
          <w:sz w:val="20"/>
        </w:rPr>
        <w:t xml:space="preserve">to the relevant document </w:t>
      </w:r>
      <w:r w:rsidRPr="00467FE0">
        <w:rPr>
          <w:rFonts w:ascii="Verdana" w:hAnsi="Verdana"/>
          <w:sz w:val="20"/>
        </w:rPr>
        <w:t>are:</w:t>
      </w:r>
    </w:p>
    <w:p w:rsidR="00DE5880" w:rsidRPr="00467FE0" w:rsidRDefault="00DE5880" w:rsidP="00794CF7">
      <w:pPr>
        <w:pStyle w:val="Heading6"/>
        <w:numPr>
          <w:ilvl w:val="0"/>
          <w:numId w:val="13"/>
        </w:numPr>
        <w:tabs>
          <w:tab w:val="clear" w:pos="4394"/>
          <w:tab w:val="left" w:pos="1985"/>
        </w:tabs>
        <w:ind w:left="1985" w:hanging="425"/>
        <w:rPr>
          <w:rFonts w:ascii="Verdana" w:hAnsi="Verdana"/>
          <w:sz w:val="20"/>
        </w:rPr>
      </w:pPr>
      <w:r w:rsidRPr="00467FE0">
        <w:rPr>
          <w:rFonts w:ascii="Verdana" w:hAnsi="Verdana"/>
          <w:b/>
          <w:sz w:val="20"/>
        </w:rPr>
        <w:t>High:</w:t>
      </w:r>
      <w:r w:rsidRPr="00467FE0">
        <w:rPr>
          <w:rFonts w:ascii="Verdana" w:hAnsi="Verdana"/>
          <w:sz w:val="20"/>
        </w:rPr>
        <w:t xml:space="preserve"> Significant commercial/legal impact which will materially affect the Tender Revenue Stream being bid;</w:t>
      </w:r>
    </w:p>
    <w:p w:rsidR="00DE5880" w:rsidRPr="00467FE0" w:rsidRDefault="00DE5880" w:rsidP="00794CF7">
      <w:pPr>
        <w:pStyle w:val="Heading6"/>
        <w:numPr>
          <w:ilvl w:val="0"/>
          <w:numId w:val="13"/>
        </w:numPr>
        <w:tabs>
          <w:tab w:val="clear" w:pos="4394"/>
          <w:tab w:val="left" w:pos="1985"/>
        </w:tabs>
        <w:ind w:left="1985" w:hanging="425"/>
        <w:rPr>
          <w:rFonts w:ascii="Verdana" w:hAnsi="Verdana"/>
          <w:sz w:val="20"/>
        </w:rPr>
      </w:pPr>
      <w:r w:rsidRPr="00467FE0">
        <w:rPr>
          <w:rFonts w:ascii="Verdana" w:hAnsi="Verdana"/>
          <w:b/>
          <w:sz w:val="20"/>
        </w:rPr>
        <w:t>Medium:</w:t>
      </w:r>
      <w:r w:rsidRPr="00467FE0">
        <w:rPr>
          <w:rFonts w:ascii="Verdana" w:hAnsi="Verdana"/>
          <w:sz w:val="20"/>
        </w:rPr>
        <w:t xml:space="preserve"> Commercial/legal impact which will not materially affect the Tender Revenue Stream being bid; or</w:t>
      </w:r>
    </w:p>
    <w:p w:rsidR="00DE5880" w:rsidRDefault="00DE5880" w:rsidP="00794CF7">
      <w:pPr>
        <w:pStyle w:val="Heading6"/>
        <w:numPr>
          <w:ilvl w:val="0"/>
          <w:numId w:val="13"/>
        </w:numPr>
        <w:tabs>
          <w:tab w:val="clear" w:pos="4394"/>
          <w:tab w:val="left" w:pos="1985"/>
        </w:tabs>
        <w:ind w:left="1985" w:hanging="425"/>
        <w:rPr>
          <w:rFonts w:ascii="Verdana" w:hAnsi="Verdana"/>
          <w:sz w:val="20"/>
        </w:rPr>
      </w:pPr>
      <w:r w:rsidRPr="00467FE0">
        <w:rPr>
          <w:rFonts w:ascii="Verdana" w:hAnsi="Verdana"/>
          <w:b/>
          <w:sz w:val="20"/>
        </w:rPr>
        <w:t>Low:</w:t>
      </w:r>
      <w:r w:rsidRPr="00467FE0">
        <w:rPr>
          <w:rFonts w:ascii="Verdana" w:hAnsi="Verdana"/>
          <w:sz w:val="20"/>
        </w:rPr>
        <w:t xml:space="preserve"> Amendments which neither affects the Tender Revenue Stream bid nor have a significant commercial impact, but which would make the </w:t>
      </w:r>
      <w:r w:rsidR="003F01A1">
        <w:rPr>
          <w:rFonts w:ascii="Verdana" w:hAnsi="Verdana"/>
          <w:sz w:val="20"/>
        </w:rPr>
        <w:t>transaction</w:t>
      </w:r>
      <w:r w:rsidRPr="00467FE0">
        <w:rPr>
          <w:rFonts w:ascii="Verdana" w:hAnsi="Verdana"/>
          <w:sz w:val="20"/>
        </w:rPr>
        <w:t xml:space="preserve"> more desirable from the Qualifying Bidder’s perspective.</w:t>
      </w:r>
    </w:p>
    <w:p w:rsidR="00F24C6A" w:rsidRPr="00F24C6A" w:rsidRDefault="00F24C6A" w:rsidP="00F24C6A">
      <w:pPr>
        <w:pStyle w:val="Heading3"/>
        <w:rPr>
          <w:rFonts w:ascii="Verdana" w:hAnsi="Verdana"/>
          <w:sz w:val="20"/>
        </w:rPr>
      </w:pPr>
      <w:r w:rsidRPr="00F24C6A">
        <w:rPr>
          <w:rFonts w:ascii="Verdana" w:hAnsi="Verdana"/>
          <w:sz w:val="20"/>
        </w:rPr>
        <w:lastRenderedPageBreak/>
        <w:t xml:space="preserve">Where </w:t>
      </w:r>
      <w:r>
        <w:rPr>
          <w:rFonts w:ascii="Verdana" w:hAnsi="Verdana"/>
          <w:sz w:val="20"/>
        </w:rPr>
        <w:t xml:space="preserve">a Qualifying Bidder identifies </w:t>
      </w:r>
      <w:r w:rsidR="005C689A">
        <w:rPr>
          <w:rFonts w:ascii="Verdana" w:hAnsi="Verdana"/>
          <w:sz w:val="20"/>
        </w:rPr>
        <w:t xml:space="preserve">issues of </w:t>
      </w:r>
      <w:r>
        <w:rPr>
          <w:rFonts w:ascii="Verdana" w:hAnsi="Verdana"/>
          <w:sz w:val="20"/>
        </w:rPr>
        <w:t>High or Medium significance, they are required to explain the nature of these and the impact that it has on the Tender Revenue Stream bid.</w:t>
      </w:r>
    </w:p>
    <w:p w:rsidR="00DE5880" w:rsidRDefault="00DE5880" w:rsidP="00DE5880">
      <w:pPr>
        <w:pStyle w:val="Heading2"/>
        <w:rPr>
          <w:rFonts w:ascii="Verdana" w:hAnsi="Verdana"/>
          <w:sz w:val="20"/>
        </w:rPr>
      </w:pPr>
      <w:r>
        <w:rPr>
          <w:rFonts w:ascii="Verdana" w:hAnsi="Verdana"/>
          <w:sz w:val="20"/>
        </w:rPr>
        <w:t>Form of Documents Generally</w:t>
      </w:r>
    </w:p>
    <w:p w:rsidR="00DE5880" w:rsidRDefault="00DE5880" w:rsidP="00DE5880">
      <w:pPr>
        <w:pStyle w:val="Heading3"/>
        <w:rPr>
          <w:rFonts w:ascii="Verdana" w:hAnsi="Verdana"/>
          <w:sz w:val="20"/>
        </w:rPr>
      </w:pPr>
      <w:r w:rsidRPr="00B47D87">
        <w:rPr>
          <w:rFonts w:ascii="Verdana" w:hAnsi="Verdana"/>
          <w:sz w:val="20"/>
        </w:rPr>
        <w:t xml:space="preserve">The marked up documents and commentary tables must be provided on an </w:t>
      </w:r>
      <w:proofErr w:type="spellStart"/>
      <w:r w:rsidRPr="00B47D87">
        <w:rPr>
          <w:rFonts w:ascii="Verdana" w:hAnsi="Verdana"/>
          <w:sz w:val="20"/>
        </w:rPr>
        <w:t>anonymised</w:t>
      </w:r>
      <w:proofErr w:type="spellEnd"/>
      <w:r w:rsidRPr="00B47D87">
        <w:rPr>
          <w:rFonts w:ascii="Verdana" w:hAnsi="Verdana"/>
          <w:sz w:val="20"/>
        </w:rPr>
        <w:t xml:space="preserve"> basis and </w:t>
      </w:r>
      <w:r w:rsidRPr="00D05816">
        <w:rPr>
          <w:rFonts w:ascii="Verdana" w:hAnsi="Verdana"/>
          <w:sz w:val="20"/>
        </w:rPr>
        <w:t>not contain any information (including in footnotes</w:t>
      </w:r>
      <w:r w:rsidRPr="00467FE0">
        <w:rPr>
          <w:rFonts w:ascii="Verdana" w:hAnsi="Verdana"/>
          <w:sz w:val="20"/>
        </w:rPr>
        <w:t xml:space="preserve">) which </w:t>
      </w:r>
      <w:r>
        <w:rPr>
          <w:rFonts w:ascii="Verdana" w:hAnsi="Verdana"/>
          <w:sz w:val="20"/>
        </w:rPr>
        <w:t>c</w:t>
      </w:r>
      <w:r w:rsidRPr="00467FE0">
        <w:rPr>
          <w:rFonts w:ascii="Verdana" w:hAnsi="Verdana"/>
          <w:sz w:val="20"/>
        </w:rPr>
        <w:t>ould identify or allow ready identification of the Qualifying Bidder or any member of the consortium (if relevant</w:t>
      </w:r>
      <w:r>
        <w:rPr>
          <w:rFonts w:ascii="Verdana" w:hAnsi="Verdana"/>
          <w:sz w:val="20"/>
        </w:rPr>
        <w:t>)</w:t>
      </w:r>
      <w:r w:rsidRPr="00467FE0">
        <w:rPr>
          <w:rFonts w:ascii="Verdana" w:hAnsi="Verdana"/>
          <w:sz w:val="20"/>
        </w:rPr>
        <w:t>.</w:t>
      </w:r>
    </w:p>
    <w:p w:rsidR="00DE5880" w:rsidRPr="00467FE0" w:rsidRDefault="00DE5880" w:rsidP="00DE5880">
      <w:pPr>
        <w:pStyle w:val="Heading3"/>
        <w:rPr>
          <w:rFonts w:ascii="Verdana" w:hAnsi="Verdana"/>
          <w:sz w:val="20"/>
        </w:rPr>
      </w:pPr>
      <w:r w:rsidRPr="00467FE0">
        <w:rPr>
          <w:rFonts w:ascii="Verdana" w:hAnsi="Verdana"/>
          <w:sz w:val="20"/>
        </w:rPr>
        <w:t xml:space="preserve">Any comments </w:t>
      </w:r>
      <w:r>
        <w:rPr>
          <w:rFonts w:ascii="Verdana" w:hAnsi="Verdana"/>
          <w:sz w:val="20"/>
        </w:rPr>
        <w:t xml:space="preserve">on the documents, whether by way of mark ups or commentary tables, should relate to the subject matter of the relevant document (for example, comments on the Draft Project SPA should relate </w:t>
      </w:r>
      <w:proofErr w:type="spellStart"/>
      <w:r>
        <w:rPr>
          <w:rFonts w:ascii="Verdana" w:hAnsi="Verdana"/>
          <w:sz w:val="20"/>
        </w:rPr>
        <w:t>soley</w:t>
      </w:r>
      <w:proofErr w:type="spellEnd"/>
      <w:r>
        <w:rPr>
          <w:rFonts w:ascii="Verdana" w:hAnsi="Verdana"/>
          <w:sz w:val="20"/>
        </w:rPr>
        <w:t xml:space="preserve"> to the Sale and Purchase Agreement as a mechanism to transfer the transmission assets). Any comments which are issues for Ofgem to address, including issues in relation to the Tender Process, Electricity Transmission Licence or regulatory regime, should be raised as clarifications in accordance with the procedure set out</w:t>
      </w:r>
      <w:r w:rsidR="00B45DFD">
        <w:rPr>
          <w:rFonts w:ascii="Verdana" w:hAnsi="Verdana"/>
          <w:sz w:val="20"/>
        </w:rPr>
        <w:t xml:space="preserve"> in</w:t>
      </w:r>
      <w:r>
        <w:rPr>
          <w:rFonts w:ascii="Verdana" w:hAnsi="Verdana"/>
          <w:sz w:val="20"/>
        </w:rPr>
        <w:t xml:space="preserve"> paragraph</w:t>
      </w:r>
      <w:r w:rsidR="001E40DC">
        <w:rPr>
          <w:rFonts w:ascii="Verdana" w:hAnsi="Verdana"/>
          <w:sz w:val="20"/>
        </w:rPr>
        <w:t xml:space="preserve"> 3.3.3</w:t>
      </w:r>
      <w:r>
        <w:rPr>
          <w:rFonts w:ascii="Verdana" w:hAnsi="Verdana"/>
          <w:sz w:val="20"/>
        </w:rPr>
        <w:t xml:space="preserve"> </w:t>
      </w:r>
      <w:r w:rsidR="00197607">
        <w:rPr>
          <w:rFonts w:ascii="Verdana" w:hAnsi="Verdana"/>
          <w:sz w:val="20"/>
        </w:rPr>
        <w:t xml:space="preserve">in section 3 </w:t>
      </w:r>
      <w:r>
        <w:rPr>
          <w:rFonts w:ascii="Verdana" w:hAnsi="Verdana"/>
          <w:sz w:val="20"/>
        </w:rPr>
        <w:t xml:space="preserve">of this ITT Document. </w:t>
      </w:r>
      <w:r w:rsidRPr="00467FE0">
        <w:rPr>
          <w:rFonts w:ascii="Verdana" w:hAnsi="Verdana"/>
          <w:sz w:val="20"/>
        </w:rPr>
        <w:t xml:space="preserve"> </w:t>
      </w:r>
    </w:p>
    <w:p w:rsidR="00DE5880" w:rsidRDefault="00DE5880" w:rsidP="00794CF7">
      <w:pPr>
        <w:pStyle w:val="Heading3"/>
        <w:numPr>
          <w:ilvl w:val="2"/>
          <w:numId w:val="10"/>
        </w:numPr>
        <w:rPr>
          <w:rFonts w:ascii="Verdana" w:hAnsi="Verdana"/>
          <w:sz w:val="20"/>
        </w:rPr>
      </w:pPr>
      <w:r w:rsidRPr="00467FE0">
        <w:rPr>
          <w:rFonts w:ascii="Verdana" w:hAnsi="Verdana"/>
          <w:sz w:val="20"/>
        </w:rPr>
        <w:t xml:space="preserve">Qualifying Bidders should be aware that failure to comply with instructions regarding </w:t>
      </w:r>
      <w:r>
        <w:rPr>
          <w:rFonts w:ascii="Verdana" w:hAnsi="Verdana"/>
          <w:sz w:val="20"/>
        </w:rPr>
        <w:t>the production of</w:t>
      </w:r>
      <w:r w:rsidRPr="00467FE0">
        <w:rPr>
          <w:rFonts w:ascii="Verdana" w:hAnsi="Verdana"/>
          <w:sz w:val="20"/>
        </w:rPr>
        <w:t xml:space="preserve"> mark ups and commentary </w:t>
      </w:r>
      <w:r>
        <w:rPr>
          <w:rFonts w:ascii="Verdana" w:hAnsi="Verdana"/>
          <w:sz w:val="20"/>
        </w:rPr>
        <w:t xml:space="preserve">tables </w:t>
      </w:r>
      <w:r w:rsidRPr="00467FE0">
        <w:rPr>
          <w:rFonts w:ascii="Verdana" w:hAnsi="Verdana"/>
          <w:sz w:val="20"/>
        </w:rPr>
        <w:t xml:space="preserve">may result in </w:t>
      </w:r>
      <w:r w:rsidR="00E47ED7">
        <w:rPr>
          <w:rFonts w:ascii="Verdana" w:hAnsi="Verdana"/>
          <w:sz w:val="20"/>
        </w:rPr>
        <w:t>their comments not</w:t>
      </w:r>
      <w:r w:rsidRPr="00467FE0">
        <w:rPr>
          <w:rFonts w:ascii="Verdana" w:hAnsi="Verdana"/>
          <w:sz w:val="20"/>
        </w:rPr>
        <w:t xml:space="preserve"> being passed to </w:t>
      </w:r>
      <w:r>
        <w:rPr>
          <w:rFonts w:ascii="Verdana" w:hAnsi="Verdana"/>
          <w:sz w:val="20"/>
        </w:rPr>
        <w:t>the Developer</w:t>
      </w:r>
      <w:r w:rsidRPr="00467FE0">
        <w:rPr>
          <w:rFonts w:ascii="Verdana" w:hAnsi="Verdana"/>
          <w:sz w:val="20"/>
        </w:rPr>
        <w:t>.</w:t>
      </w:r>
    </w:p>
    <w:p w:rsidR="001E40DC" w:rsidRDefault="001E40DC" w:rsidP="001E40DC">
      <w:pPr>
        <w:pStyle w:val="BodyText"/>
      </w:pPr>
    </w:p>
    <w:p w:rsidR="001E40DC" w:rsidRPr="001E40DC" w:rsidRDefault="001E40DC" w:rsidP="001E40DC">
      <w:pPr>
        <w:pStyle w:val="BodyText"/>
      </w:pPr>
    </w:p>
    <w:p w:rsidR="003B5FB7" w:rsidRPr="003B5FB7" w:rsidRDefault="002C5ADA" w:rsidP="003B5FB7">
      <w:pPr>
        <w:pStyle w:val="Heading1"/>
        <w:rPr>
          <w:rFonts w:ascii="Verdana" w:hAnsi="Verdana"/>
        </w:rPr>
      </w:pPr>
      <w:bookmarkStart w:id="54" w:name="_Toc249178464"/>
      <w:r>
        <w:rPr>
          <w:rFonts w:ascii="Verdana" w:hAnsi="Verdana"/>
        </w:rPr>
        <w:t xml:space="preserve">ITT </w:t>
      </w:r>
      <w:r w:rsidR="003B5FB7" w:rsidRPr="003B5FB7">
        <w:rPr>
          <w:rFonts w:ascii="Verdana" w:hAnsi="Verdana"/>
        </w:rPr>
        <w:t>Submission</w:t>
      </w:r>
      <w:r w:rsidR="00DE5880">
        <w:rPr>
          <w:rFonts w:ascii="Verdana" w:hAnsi="Verdana"/>
        </w:rPr>
        <w:t>s</w:t>
      </w:r>
      <w:bookmarkEnd w:id="54"/>
    </w:p>
    <w:p w:rsidR="007740F0" w:rsidRPr="00EB2CA8" w:rsidRDefault="003B5FB7" w:rsidP="00EB2CA8">
      <w:pPr>
        <w:pStyle w:val="Heading2"/>
        <w:rPr>
          <w:rFonts w:ascii="Verdana" w:hAnsi="Verdana"/>
          <w:sz w:val="20"/>
        </w:rPr>
      </w:pPr>
      <w:r w:rsidRPr="00EB2CA8">
        <w:rPr>
          <w:rFonts w:ascii="Verdana" w:hAnsi="Verdana"/>
          <w:sz w:val="20"/>
        </w:rPr>
        <w:t xml:space="preserve">Form of </w:t>
      </w:r>
      <w:r w:rsidR="00EB2CA8">
        <w:rPr>
          <w:rFonts w:ascii="Verdana" w:hAnsi="Verdana"/>
          <w:sz w:val="20"/>
        </w:rPr>
        <w:t xml:space="preserve">ITT </w:t>
      </w:r>
      <w:r w:rsidR="00D50A14" w:rsidRPr="00EB2CA8">
        <w:rPr>
          <w:rFonts w:ascii="Verdana" w:hAnsi="Verdana"/>
          <w:sz w:val="20"/>
        </w:rPr>
        <w:t xml:space="preserve">Submission </w:t>
      </w:r>
    </w:p>
    <w:p w:rsidR="007740F0" w:rsidRPr="007740F0" w:rsidRDefault="00D50A14" w:rsidP="007740F0">
      <w:pPr>
        <w:pStyle w:val="Heading3"/>
        <w:rPr>
          <w:rFonts w:ascii="Verdana" w:hAnsi="Verdana"/>
          <w:sz w:val="20"/>
        </w:rPr>
      </w:pPr>
      <w:r w:rsidRPr="007740F0">
        <w:rPr>
          <w:rFonts w:ascii="Verdana" w:hAnsi="Verdana"/>
          <w:sz w:val="20"/>
        </w:rPr>
        <w:t xml:space="preserve">All </w:t>
      </w:r>
      <w:r w:rsidR="003F01A1">
        <w:rPr>
          <w:rFonts w:ascii="Verdana" w:hAnsi="Verdana"/>
          <w:sz w:val="20"/>
        </w:rPr>
        <w:t xml:space="preserve">ITT </w:t>
      </w:r>
      <w:r w:rsidRPr="007740F0">
        <w:rPr>
          <w:rFonts w:ascii="Verdana" w:hAnsi="Verdana"/>
          <w:sz w:val="20"/>
        </w:rPr>
        <w:t xml:space="preserve">Submissions must be made via the Portal, using the templates provided, </w:t>
      </w:r>
      <w:r w:rsidR="003B5FB7" w:rsidRPr="007740F0">
        <w:rPr>
          <w:rFonts w:ascii="Verdana" w:hAnsi="Verdana"/>
          <w:sz w:val="20"/>
        </w:rPr>
        <w:t>ex</w:t>
      </w:r>
      <w:r w:rsidR="003A0123" w:rsidRPr="007740F0">
        <w:rPr>
          <w:rFonts w:ascii="Verdana" w:hAnsi="Verdana"/>
          <w:sz w:val="20"/>
        </w:rPr>
        <w:t xml:space="preserve">cept </w:t>
      </w:r>
      <w:r w:rsidR="003B5FB7" w:rsidRPr="007740F0">
        <w:rPr>
          <w:rFonts w:ascii="Verdana" w:hAnsi="Verdana"/>
          <w:sz w:val="20"/>
        </w:rPr>
        <w:t xml:space="preserve">where </w:t>
      </w:r>
      <w:r w:rsidRPr="007740F0">
        <w:rPr>
          <w:rFonts w:ascii="Verdana" w:hAnsi="Verdana"/>
          <w:sz w:val="20"/>
        </w:rPr>
        <w:t xml:space="preserve">information is </w:t>
      </w:r>
      <w:r w:rsidR="003B5FB7" w:rsidRPr="007740F0">
        <w:rPr>
          <w:rFonts w:ascii="Verdana" w:hAnsi="Verdana"/>
          <w:sz w:val="20"/>
        </w:rPr>
        <w:t xml:space="preserve">explicitly requested </w:t>
      </w:r>
      <w:r w:rsidRPr="007740F0">
        <w:rPr>
          <w:rFonts w:ascii="Verdana" w:hAnsi="Verdana"/>
          <w:sz w:val="20"/>
        </w:rPr>
        <w:t xml:space="preserve">to be provided </w:t>
      </w:r>
      <w:r w:rsidR="003B5FB7" w:rsidRPr="007740F0">
        <w:rPr>
          <w:rFonts w:ascii="Verdana" w:hAnsi="Verdana"/>
          <w:sz w:val="20"/>
        </w:rPr>
        <w:t>in specific formats</w:t>
      </w:r>
      <w:r w:rsidRPr="007740F0">
        <w:rPr>
          <w:rFonts w:ascii="Verdana" w:hAnsi="Verdana"/>
          <w:sz w:val="20"/>
        </w:rPr>
        <w:t xml:space="preserve">, </w:t>
      </w:r>
      <w:r w:rsidR="003B5FB7" w:rsidRPr="007740F0">
        <w:rPr>
          <w:rFonts w:ascii="Verdana" w:hAnsi="Verdana"/>
          <w:sz w:val="20"/>
        </w:rPr>
        <w:t xml:space="preserve">such as </w:t>
      </w:r>
      <w:r w:rsidRPr="007740F0">
        <w:rPr>
          <w:rFonts w:ascii="Verdana" w:hAnsi="Verdana"/>
          <w:sz w:val="20"/>
        </w:rPr>
        <w:t>the Ofgem</w:t>
      </w:r>
      <w:r w:rsidR="00DE5880">
        <w:rPr>
          <w:rFonts w:ascii="Verdana" w:hAnsi="Verdana"/>
          <w:sz w:val="20"/>
        </w:rPr>
        <w:t xml:space="preserve"> </w:t>
      </w:r>
      <w:proofErr w:type="spellStart"/>
      <w:r w:rsidR="00DE5880">
        <w:rPr>
          <w:rFonts w:ascii="Verdana" w:hAnsi="Verdana"/>
          <w:sz w:val="20"/>
        </w:rPr>
        <w:t>proforma</w:t>
      </w:r>
      <w:proofErr w:type="spellEnd"/>
      <w:r w:rsidR="00DE5880">
        <w:rPr>
          <w:rFonts w:ascii="Verdana" w:hAnsi="Verdana"/>
          <w:sz w:val="20"/>
        </w:rPr>
        <w:t xml:space="preserve"> input sheets</w:t>
      </w:r>
      <w:r w:rsidR="003B5FB7" w:rsidRPr="007740F0">
        <w:rPr>
          <w:rFonts w:ascii="Verdana" w:hAnsi="Verdana"/>
          <w:sz w:val="20"/>
        </w:rPr>
        <w:t>.</w:t>
      </w:r>
    </w:p>
    <w:p w:rsidR="00D50A14" w:rsidRPr="007740F0" w:rsidRDefault="00D50A14" w:rsidP="007740F0">
      <w:pPr>
        <w:pStyle w:val="Heading3"/>
        <w:rPr>
          <w:rFonts w:ascii="Verdana" w:hAnsi="Verdana"/>
          <w:sz w:val="20"/>
          <w:lang w:eastAsia="en-US"/>
        </w:rPr>
      </w:pPr>
      <w:r w:rsidRPr="007740F0">
        <w:rPr>
          <w:rFonts w:ascii="Verdana" w:hAnsi="Verdana"/>
          <w:sz w:val="20"/>
          <w:lang w:eastAsia="en-US"/>
        </w:rPr>
        <w:t xml:space="preserve">Where a Qualifying Bidder is on the shortlist for two or more Qualifying Projects, it is required to submit a separate </w:t>
      </w:r>
      <w:r w:rsidR="00B633EC">
        <w:rPr>
          <w:rFonts w:ascii="Verdana" w:hAnsi="Verdana"/>
          <w:sz w:val="20"/>
          <w:lang w:eastAsia="en-US"/>
        </w:rPr>
        <w:t xml:space="preserve">ITT </w:t>
      </w:r>
      <w:r w:rsidRPr="007740F0">
        <w:rPr>
          <w:rFonts w:ascii="Verdana" w:hAnsi="Verdana"/>
          <w:sz w:val="20"/>
          <w:lang w:eastAsia="en-US"/>
        </w:rPr>
        <w:t xml:space="preserve">Submission for each Qualifying Project.  Each </w:t>
      </w:r>
      <w:r w:rsidR="00B633EC">
        <w:rPr>
          <w:rFonts w:ascii="Verdana" w:hAnsi="Verdana"/>
          <w:sz w:val="20"/>
          <w:lang w:eastAsia="en-US"/>
        </w:rPr>
        <w:t xml:space="preserve">ITT </w:t>
      </w:r>
      <w:r w:rsidRPr="007740F0">
        <w:rPr>
          <w:rFonts w:ascii="Verdana" w:hAnsi="Verdana"/>
          <w:sz w:val="20"/>
          <w:lang w:eastAsia="en-US"/>
        </w:rPr>
        <w:t>Submission must set out how the Qualifying Bidder would meet the requirements in respect of the particular Qualifying Project in question.</w:t>
      </w:r>
    </w:p>
    <w:p w:rsidR="00D50A14" w:rsidRPr="007740F0" w:rsidRDefault="00D50A14" w:rsidP="007740F0">
      <w:pPr>
        <w:pStyle w:val="Heading3"/>
        <w:rPr>
          <w:rFonts w:ascii="Verdana" w:hAnsi="Verdana"/>
          <w:sz w:val="20"/>
          <w:lang w:eastAsia="en-US"/>
        </w:rPr>
      </w:pPr>
      <w:r w:rsidRPr="007740F0">
        <w:rPr>
          <w:rFonts w:ascii="Verdana" w:hAnsi="Verdana"/>
          <w:sz w:val="20"/>
          <w:lang w:eastAsia="en-US"/>
        </w:rPr>
        <w:t xml:space="preserve">The </w:t>
      </w:r>
      <w:r w:rsidR="009C3A37">
        <w:rPr>
          <w:rFonts w:ascii="Verdana" w:hAnsi="Verdana"/>
          <w:sz w:val="20"/>
          <w:lang w:eastAsia="en-US"/>
        </w:rPr>
        <w:t xml:space="preserve">ITT Submission </w:t>
      </w:r>
      <w:r w:rsidR="00F24C6A">
        <w:rPr>
          <w:rFonts w:ascii="Verdana" w:hAnsi="Verdana"/>
          <w:sz w:val="20"/>
          <w:lang w:eastAsia="en-US"/>
        </w:rPr>
        <w:t xml:space="preserve">must be completed in English, including any supplementary supporting documentation. </w:t>
      </w:r>
    </w:p>
    <w:bookmarkEnd w:id="51"/>
    <w:bookmarkEnd w:id="52"/>
    <w:bookmarkEnd w:id="53"/>
    <w:p w:rsidR="00E6691A" w:rsidRPr="007740F0" w:rsidRDefault="00EB2CA8" w:rsidP="00E6691A">
      <w:pPr>
        <w:pStyle w:val="Heading2"/>
        <w:rPr>
          <w:rFonts w:ascii="Verdana" w:hAnsi="Verdana"/>
          <w:sz w:val="20"/>
        </w:rPr>
      </w:pPr>
      <w:r>
        <w:rPr>
          <w:rFonts w:ascii="Verdana" w:hAnsi="Verdana"/>
          <w:sz w:val="20"/>
        </w:rPr>
        <w:t xml:space="preserve">ITT </w:t>
      </w:r>
      <w:r w:rsidR="00E6691A" w:rsidRPr="007740F0">
        <w:rPr>
          <w:rFonts w:ascii="Verdana" w:hAnsi="Verdana"/>
          <w:sz w:val="20"/>
        </w:rPr>
        <w:t>Submission Deadline</w:t>
      </w:r>
    </w:p>
    <w:p w:rsidR="00E6691A" w:rsidRDefault="00E6691A" w:rsidP="00E6691A">
      <w:pPr>
        <w:pStyle w:val="Heading3"/>
        <w:rPr>
          <w:rFonts w:ascii="Verdana" w:hAnsi="Verdana"/>
          <w:sz w:val="20"/>
        </w:rPr>
      </w:pPr>
      <w:r w:rsidRPr="007740F0">
        <w:rPr>
          <w:rFonts w:ascii="Verdana" w:hAnsi="Verdana"/>
          <w:sz w:val="20"/>
        </w:rPr>
        <w:t xml:space="preserve">All Submissions must be submitted </w:t>
      </w:r>
      <w:r>
        <w:rPr>
          <w:rFonts w:ascii="Verdana" w:hAnsi="Verdana"/>
          <w:sz w:val="20"/>
        </w:rPr>
        <w:t xml:space="preserve">via the Portal </w:t>
      </w:r>
      <w:r w:rsidRPr="007740F0">
        <w:rPr>
          <w:rFonts w:ascii="Verdana" w:hAnsi="Verdana"/>
          <w:sz w:val="20"/>
        </w:rPr>
        <w:t>no later than 12 noon on 4 March 2010.  The Portal will be closed at this time and no late submissions will be accepted.</w:t>
      </w:r>
    </w:p>
    <w:p w:rsidR="008E5C5D" w:rsidRPr="007740F0" w:rsidRDefault="003B5FB7" w:rsidP="007740F0">
      <w:pPr>
        <w:pStyle w:val="Heading2"/>
        <w:rPr>
          <w:rFonts w:ascii="Verdana" w:hAnsi="Verdana"/>
          <w:sz w:val="20"/>
        </w:rPr>
      </w:pPr>
      <w:r w:rsidRPr="007740F0">
        <w:rPr>
          <w:rFonts w:ascii="Verdana" w:hAnsi="Verdana"/>
          <w:sz w:val="20"/>
        </w:rPr>
        <w:t xml:space="preserve">Content of </w:t>
      </w:r>
      <w:r w:rsidR="00EB2CA8">
        <w:rPr>
          <w:rFonts w:ascii="Verdana" w:hAnsi="Verdana"/>
          <w:sz w:val="20"/>
        </w:rPr>
        <w:t xml:space="preserve">ITT </w:t>
      </w:r>
      <w:r w:rsidRPr="007740F0">
        <w:rPr>
          <w:rFonts w:ascii="Verdana" w:hAnsi="Verdana"/>
          <w:sz w:val="20"/>
        </w:rPr>
        <w:t>Submission</w:t>
      </w:r>
    </w:p>
    <w:p w:rsidR="008E5C5D" w:rsidRPr="007740F0" w:rsidRDefault="00EA336D" w:rsidP="007740F0">
      <w:pPr>
        <w:pStyle w:val="Heading3"/>
        <w:rPr>
          <w:rFonts w:ascii="Verdana" w:hAnsi="Verdana"/>
          <w:sz w:val="20"/>
        </w:rPr>
      </w:pPr>
      <w:r w:rsidRPr="007740F0">
        <w:rPr>
          <w:rFonts w:ascii="Verdana" w:hAnsi="Verdana"/>
          <w:sz w:val="20"/>
        </w:rPr>
        <w:t xml:space="preserve">A complete </w:t>
      </w:r>
      <w:r w:rsidR="009C3A37">
        <w:rPr>
          <w:rFonts w:ascii="Verdana" w:hAnsi="Verdana"/>
          <w:sz w:val="20"/>
        </w:rPr>
        <w:t xml:space="preserve">ITT </w:t>
      </w:r>
      <w:r w:rsidR="003B5FB7" w:rsidRPr="007740F0">
        <w:rPr>
          <w:rFonts w:ascii="Verdana" w:hAnsi="Verdana"/>
          <w:sz w:val="20"/>
        </w:rPr>
        <w:t xml:space="preserve">Submission must contain the following: </w:t>
      </w:r>
    </w:p>
    <w:p w:rsidR="003A0123" w:rsidRDefault="00DB44A0" w:rsidP="008E5C5D">
      <w:pPr>
        <w:pStyle w:val="Heading4"/>
        <w:tabs>
          <w:tab w:val="num" w:pos="2268"/>
        </w:tabs>
        <w:ind w:left="2268"/>
        <w:rPr>
          <w:rFonts w:ascii="Verdana" w:hAnsi="Verdana"/>
          <w:sz w:val="20"/>
        </w:rPr>
      </w:pPr>
      <w:r>
        <w:rPr>
          <w:rFonts w:ascii="Verdana" w:hAnsi="Verdana"/>
          <w:sz w:val="20"/>
        </w:rPr>
        <w:t xml:space="preserve">Responses to all </w:t>
      </w:r>
      <w:r w:rsidR="006335D6">
        <w:rPr>
          <w:rFonts w:ascii="Verdana" w:hAnsi="Verdana"/>
          <w:sz w:val="20"/>
        </w:rPr>
        <w:t xml:space="preserve">requirements of this ITT Document, </w:t>
      </w:r>
      <w:r w:rsidR="003B5FB7" w:rsidRPr="003B5FB7">
        <w:rPr>
          <w:rFonts w:ascii="Verdana" w:hAnsi="Verdana"/>
          <w:sz w:val="20"/>
        </w:rPr>
        <w:t>together with required supporting documentation and any optional supporting documentation</w:t>
      </w:r>
      <w:r w:rsidR="006335D6">
        <w:rPr>
          <w:rFonts w:ascii="Verdana" w:hAnsi="Verdana"/>
          <w:sz w:val="20"/>
        </w:rPr>
        <w:t>;</w:t>
      </w:r>
    </w:p>
    <w:p w:rsidR="00DE5880" w:rsidRDefault="00DE5880" w:rsidP="00DE5880">
      <w:pPr>
        <w:pStyle w:val="Heading4"/>
        <w:tabs>
          <w:tab w:val="num" w:pos="2268"/>
        </w:tabs>
        <w:ind w:left="2268"/>
        <w:rPr>
          <w:rFonts w:ascii="Verdana" w:hAnsi="Verdana"/>
          <w:sz w:val="20"/>
        </w:rPr>
      </w:pPr>
      <w:r>
        <w:rPr>
          <w:rFonts w:ascii="Verdana" w:hAnsi="Verdana"/>
          <w:sz w:val="20"/>
        </w:rPr>
        <w:lastRenderedPageBreak/>
        <w:t xml:space="preserve">For each Qualifying Project being bid, the Qualifying Bidder’s fully populated financial model </w:t>
      </w:r>
      <w:r w:rsidRPr="003879A6">
        <w:rPr>
          <w:rFonts w:ascii="Verdana" w:hAnsi="Verdana"/>
          <w:sz w:val="20"/>
        </w:rPr>
        <w:t>provided in Microsoft Excel in either Microsoft Excel Version 2003 or Microsoft Excel Version 2007. The model should not incorporate any password protection or protected macros</w:t>
      </w:r>
      <w:r>
        <w:rPr>
          <w:rFonts w:ascii="Verdana" w:hAnsi="Verdana"/>
          <w:sz w:val="20"/>
        </w:rPr>
        <w:t>; and</w:t>
      </w:r>
    </w:p>
    <w:p w:rsidR="008E5C5D" w:rsidRPr="00D737B1" w:rsidRDefault="00DE5880" w:rsidP="00DE5880">
      <w:pPr>
        <w:pStyle w:val="Heading4"/>
        <w:tabs>
          <w:tab w:val="num" w:pos="2268"/>
        </w:tabs>
        <w:ind w:left="2268"/>
        <w:rPr>
          <w:rFonts w:ascii="Verdana" w:hAnsi="Verdana"/>
          <w:sz w:val="20"/>
        </w:rPr>
      </w:pPr>
      <w:r>
        <w:rPr>
          <w:rFonts w:ascii="Verdana" w:hAnsi="Verdana"/>
          <w:sz w:val="20"/>
        </w:rPr>
        <w:t xml:space="preserve">Fully populated </w:t>
      </w:r>
      <w:proofErr w:type="spellStart"/>
      <w:r>
        <w:rPr>
          <w:rFonts w:ascii="Verdana" w:hAnsi="Verdana"/>
          <w:sz w:val="20"/>
        </w:rPr>
        <w:t>proforma</w:t>
      </w:r>
      <w:proofErr w:type="spellEnd"/>
      <w:r>
        <w:rPr>
          <w:rFonts w:ascii="Verdana" w:hAnsi="Verdana"/>
          <w:sz w:val="20"/>
        </w:rPr>
        <w:t xml:space="preserve"> input sheets for each Qualifying Project being bid, for </w:t>
      </w:r>
      <w:proofErr w:type="spellStart"/>
      <w:r>
        <w:rPr>
          <w:rFonts w:ascii="Verdana" w:hAnsi="Verdana"/>
          <w:sz w:val="20"/>
        </w:rPr>
        <w:t>Ofgem’s</w:t>
      </w:r>
      <w:proofErr w:type="spellEnd"/>
      <w:r>
        <w:rPr>
          <w:rFonts w:ascii="Verdana" w:hAnsi="Verdana"/>
          <w:sz w:val="20"/>
        </w:rPr>
        <w:t xml:space="preserve"> evaluation purposes, in accordance with the Tender Guidance Document for Ofgem </w:t>
      </w:r>
      <w:proofErr w:type="spellStart"/>
      <w:r>
        <w:rPr>
          <w:rFonts w:ascii="Verdana" w:hAnsi="Verdana"/>
          <w:sz w:val="20"/>
        </w:rPr>
        <w:t>Proforma</w:t>
      </w:r>
      <w:proofErr w:type="spellEnd"/>
      <w:r>
        <w:rPr>
          <w:rFonts w:ascii="Verdana" w:hAnsi="Verdana"/>
          <w:sz w:val="20"/>
        </w:rPr>
        <w:t xml:space="preserve"> </w:t>
      </w:r>
      <w:r w:rsidRPr="003B5FB7">
        <w:rPr>
          <w:rFonts w:ascii="Verdana" w:hAnsi="Verdana"/>
          <w:sz w:val="20"/>
        </w:rPr>
        <w:t>Input Sheets</w:t>
      </w:r>
      <w:r>
        <w:rPr>
          <w:rFonts w:ascii="Verdana" w:hAnsi="Verdana"/>
          <w:sz w:val="20"/>
        </w:rPr>
        <w:t>.</w:t>
      </w:r>
    </w:p>
    <w:p w:rsidR="00DE5880" w:rsidRDefault="00DE5880" w:rsidP="00C03689">
      <w:pPr>
        <w:pStyle w:val="Heading3"/>
        <w:rPr>
          <w:rFonts w:ascii="Verdana" w:hAnsi="Verdana"/>
          <w:sz w:val="20"/>
        </w:rPr>
      </w:pPr>
      <w:r>
        <w:rPr>
          <w:rFonts w:ascii="Verdana" w:hAnsi="Verdana"/>
          <w:sz w:val="20"/>
        </w:rPr>
        <w:t>Where page limits are indicated in the requirements for response, these must be adhered to.  Ofgem will ignore any additional information submitted in excess of these.</w:t>
      </w:r>
    </w:p>
    <w:p w:rsidR="00C03689" w:rsidRDefault="00C03689" w:rsidP="00C03689">
      <w:pPr>
        <w:pStyle w:val="Heading3"/>
        <w:rPr>
          <w:rFonts w:ascii="Verdana" w:hAnsi="Verdana"/>
          <w:sz w:val="20"/>
        </w:rPr>
      </w:pPr>
      <w:r w:rsidRPr="00C03689">
        <w:rPr>
          <w:rFonts w:ascii="Verdana" w:hAnsi="Verdana"/>
          <w:sz w:val="20"/>
        </w:rPr>
        <w:t>Ofgem reserves the right to amend the</w:t>
      </w:r>
      <w:r w:rsidR="00B633EC">
        <w:rPr>
          <w:rFonts w:ascii="Verdana" w:hAnsi="Verdana"/>
          <w:sz w:val="20"/>
        </w:rPr>
        <w:t>se requirements during the ITT S</w:t>
      </w:r>
      <w:r w:rsidRPr="00C03689">
        <w:rPr>
          <w:rFonts w:ascii="Verdana" w:hAnsi="Verdana"/>
          <w:sz w:val="20"/>
        </w:rPr>
        <w:t>tage prior to the ITT Submission deadline.</w:t>
      </w:r>
    </w:p>
    <w:p w:rsidR="00D05816" w:rsidRPr="00AB2C2F" w:rsidRDefault="00D05816" w:rsidP="00D05816">
      <w:pPr>
        <w:pStyle w:val="Heading2"/>
        <w:rPr>
          <w:rFonts w:ascii="Verdana" w:hAnsi="Verdana"/>
          <w:sz w:val="20"/>
        </w:rPr>
      </w:pPr>
      <w:r w:rsidRPr="00AB2C2F">
        <w:rPr>
          <w:rFonts w:ascii="Verdana" w:hAnsi="Verdana"/>
          <w:sz w:val="20"/>
        </w:rPr>
        <w:t xml:space="preserve">Variant </w:t>
      </w:r>
      <w:r w:rsidR="00EB2CA8">
        <w:rPr>
          <w:rFonts w:ascii="Verdana" w:hAnsi="Verdana"/>
          <w:sz w:val="20"/>
        </w:rPr>
        <w:t xml:space="preserve">ITT </w:t>
      </w:r>
      <w:r w:rsidRPr="00AB2C2F">
        <w:rPr>
          <w:rFonts w:ascii="Verdana" w:hAnsi="Verdana"/>
          <w:sz w:val="20"/>
        </w:rPr>
        <w:t>Submissions</w:t>
      </w:r>
    </w:p>
    <w:p w:rsidR="00D05816" w:rsidRDefault="00D05816" w:rsidP="00D05816">
      <w:pPr>
        <w:pStyle w:val="Heading3"/>
        <w:rPr>
          <w:rFonts w:ascii="Verdana" w:hAnsi="Verdana"/>
          <w:sz w:val="20"/>
        </w:rPr>
      </w:pPr>
      <w:r w:rsidRPr="00AB2C2F">
        <w:rPr>
          <w:rFonts w:ascii="Verdana" w:hAnsi="Verdana"/>
          <w:sz w:val="20"/>
        </w:rPr>
        <w:t xml:space="preserve">Ofgem will not accept any variant </w:t>
      </w:r>
      <w:r w:rsidR="00EB2CA8">
        <w:rPr>
          <w:rFonts w:ascii="Verdana" w:hAnsi="Verdana"/>
          <w:sz w:val="20"/>
        </w:rPr>
        <w:t xml:space="preserve">ITT </w:t>
      </w:r>
      <w:r w:rsidRPr="00AB2C2F">
        <w:rPr>
          <w:rFonts w:ascii="Verdana" w:hAnsi="Verdana"/>
          <w:sz w:val="20"/>
        </w:rPr>
        <w:t>Submissions.</w:t>
      </w:r>
    </w:p>
    <w:p w:rsidR="001E40DC" w:rsidRPr="001E40DC" w:rsidRDefault="001E40DC" w:rsidP="001E40DC">
      <w:pPr>
        <w:pStyle w:val="BodyText"/>
      </w:pPr>
    </w:p>
    <w:p w:rsidR="001D5E03" w:rsidRPr="00AB2C2F" w:rsidRDefault="00B47D87" w:rsidP="007740F0">
      <w:pPr>
        <w:pStyle w:val="Heading1"/>
        <w:rPr>
          <w:rFonts w:ascii="Verdana" w:hAnsi="Verdana"/>
          <w:sz w:val="20"/>
        </w:rPr>
      </w:pPr>
      <w:bookmarkStart w:id="55" w:name="_Toc249178465"/>
      <w:bookmarkStart w:id="56" w:name="_Ref223414233"/>
      <w:r w:rsidRPr="00B47D87">
        <w:rPr>
          <w:rFonts w:ascii="Verdana" w:hAnsi="Verdana"/>
          <w:sz w:val="20"/>
        </w:rPr>
        <w:t xml:space="preserve">Assumptions </w:t>
      </w:r>
      <w:r w:rsidR="00F24C6A">
        <w:rPr>
          <w:rFonts w:ascii="Verdana" w:hAnsi="Verdana"/>
          <w:sz w:val="20"/>
        </w:rPr>
        <w:t>for itt submissions</w:t>
      </w:r>
      <w:bookmarkEnd w:id="55"/>
    </w:p>
    <w:bookmarkEnd w:id="56"/>
    <w:p w:rsidR="00EB5C6B" w:rsidRDefault="00EB5C6B" w:rsidP="008E7262">
      <w:pPr>
        <w:pStyle w:val="Heading2"/>
        <w:rPr>
          <w:rFonts w:ascii="Verdana" w:hAnsi="Verdana"/>
          <w:sz w:val="20"/>
        </w:rPr>
      </w:pPr>
      <w:r>
        <w:rPr>
          <w:rFonts w:ascii="Verdana" w:hAnsi="Verdana"/>
          <w:sz w:val="20"/>
        </w:rPr>
        <w:t>Introduction</w:t>
      </w:r>
    </w:p>
    <w:p w:rsidR="00EB5C6B" w:rsidRPr="00EB5C6B" w:rsidRDefault="00FC27F6" w:rsidP="00EB5C6B">
      <w:pPr>
        <w:pStyle w:val="Heading3"/>
        <w:rPr>
          <w:rFonts w:ascii="Verdana" w:hAnsi="Verdana"/>
          <w:sz w:val="20"/>
        </w:rPr>
      </w:pPr>
      <w:r>
        <w:rPr>
          <w:rFonts w:ascii="Verdana" w:hAnsi="Verdana"/>
          <w:sz w:val="20"/>
        </w:rPr>
        <w:t xml:space="preserve">This section sets out certain standard assumptions that Qualifying Bidders must use, where relevant, in compiling their ITT Submissions.  This includes financing assumptions, economic assumptions, and certain assumptions specific to each Qualifying Project.  </w:t>
      </w:r>
    </w:p>
    <w:p w:rsidR="008E7262" w:rsidRPr="00AB2C2F" w:rsidRDefault="008E7262" w:rsidP="008E7262">
      <w:pPr>
        <w:pStyle w:val="Heading2"/>
        <w:rPr>
          <w:rFonts w:ascii="Verdana" w:hAnsi="Verdana"/>
          <w:sz w:val="20"/>
        </w:rPr>
      </w:pPr>
      <w:r w:rsidRPr="00AB2C2F">
        <w:rPr>
          <w:rFonts w:ascii="Verdana" w:hAnsi="Verdana"/>
          <w:sz w:val="20"/>
        </w:rPr>
        <w:t>Finan</w:t>
      </w:r>
      <w:r>
        <w:rPr>
          <w:rFonts w:ascii="Verdana" w:hAnsi="Verdana"/>
          <w:sz w:val="20"/>
        </w:rPr>
        <w:t>cing</w:t>
      </w:r>
      <w:r w:rsidRPr="00AB2C2F">
        <w:rPr>
          <w:rFonts w:ascii="Verdana" w:hAnsi="Verdana"/>
          <w:sz w:val="20"/>
        </w:rPr>
        <w:t xml:space="preserve"> Assumptions</w:t>
      </w:r>
    </w:p>
    <w:p w:rsidR="00EB5C6B" w:rsidRPr="00EB5C6B" w:rsidRDefault="00EB5C6B" w:rsidP="00EB5C6B">
      <w:pPr>
        <w:pStyle w:val="Heading3"/>
        <w:rPr>
          <w:rFonts w:ascii="Verdana" w:hAnsi="Verdana"/>
          <w:b/>
          <w:sz w:val="20"/>
        </w:rPr>
      </w:pPr>
      <w:r>
        <w:rPr>
          <w:rFonts w:ascii="Verdana" w:hAnsi="Verdana"/>
          <w:sz w:val="20"/>
        </w:rPr>
        <w:t xml:space="preserve">Where a Qualifying Bidder’s funding structure is dependent on underlying market rates, it is required to adopt the following reference rate assumptions as appropriate: </w:t>
      </w:r>
    </w:p>
    <w:p w:rsidR="00165EC8" w:rsidRDefault="00165EC8" w:rsidP="00794CF7">
      <w:pPr>
        <w:pStyle w:val="BodyText"/>
        <w:numPr>
          <w:ilvl w:val="0"/>
          <w:numId w:val="41"/>
        </w:numPr>
        <w:rPr>
          <w:rFonts w:ascii="Verdana" w:hAnsi="Verdana"/>
          <w:sz w:val="20"/>
        </w:rPr>
      </w:pPr>
      <w:r>
        <w:rPr>
          <w:rFonts w:ascii="Verdana" w:hAnsi="Verdana"/>
          <w:sz w:val="20"/>
        </w:rPr>
        <w:t xml:space="preserve">RPI </w:t>
      </w:r>
      <w:r w:rsidR="008E7262">
        <w:rPr>
          <w:rFonts w:ascii="Verdana" w:hAnsi="Verdana"/>
          <w:sz w:val="20"/>
        </w:rPr>
        <w:t xml:space="preserve">Swap Rate </w:t>
      </w:r>
      <w:r w:rsidR="008D0D10">
        <w:rPr>
          <w:rFonts w:ascii="Verdana" w:hAnsi="Verdana"/>
          <w:sz w:val="20"/>
        </w:rPr>
        <w:t xml:space="preserve">is </w:t>
      </w:r>
      <w:r w:rsidR="008E7262">
        <w:rPr>
          <w:rFonts w:ascii="Verdana" w:hAnsi="Verdana"/>
          <w:sz w:val="20"/>
        </w:rPr>
        <w:t>3.</w:t>
      </w:r>
      <w:r>
        <w:rPr>
          <w:rFonts w:ascii="Verdana" w:hAnsi="Verdana"/>
          <w:sz w:val="20"/>
        </w:rPr>
        <w:t>67</w:t>
      </w:r>
      <w:r w:rsidR="008E7262">
        <w:rPr>
          <w:rFonts w:ascii="Verdana" w:hAnsi="Verdana"/>
          <w:sz w:val="20"/>
        </w:rPr>
        <w:t>%</w:t>
      </w:r>
    </w:p>
    <w:p w:rsidR="00165EC8" w:rsidRDefault="008E7262" w:rsidP="00794CF7">
      <w:pPr>
        <w:pStyle w:val="BodyText"/>
        <w:numPr>
          <w:ilvl w:val="0"/>
          <w:numId w:val="41"/>
        </w:numPr>
        <w:rPr>
          <w:rFonts w:ascii="Verdana" w:hAnsi="Verdana"/>
          <w:sz w:val="20"/>
        </w:rPr>
      </w:pPr>
      <w:r w:rsidRPr="00165EC8">
        <w:rPr>
          <w:rFonts w:ascii="Verdana" w:hAnsi="Verdana"/>
          <w:sz w:val="20"/>
        </w:rPr>
        <w:t xml:space="preserve">Interest Rate Swap </w:t>
      </w:r>
      <w:r w:rsidR="00165EC8" w:rsidRPr="00165EC8">
        <w:rPr>
          <w:rFonts w:ascii="Verdana" w:hAnsi="Verdana"/>
          <w:sz w:val="20"/>
        </w:rPr>
        <w:t xml:space="preserve">Rate </w:t>
      </w:r>
      <w:r w:rsidR="008D0D10">
        <w:rPr>
          <w:rFonts w:ascii="Verdana" w:hAnsi="Verdana"/>
          <w:sz w:val="20"/>
        </w:rPr>
        <w:t xml:space="preserve">is </w:t>
      </w:r>
      <w:r w:rsidR="00165EC8" w:rsidRPr="00165EC8">
        <w:rPr>
          <w:rFonts w:ascii="Verdana" w:hAnsi="Verdana"/>
          <w:sz w:val="20"/>
        </w:rPr>
        <w:t>4.08</w:t>
      </w:r>
      <w:r w:rsidRPr="00165EC8">
        <w:rPr>
          <w:rFonts w:ascii="Verdana" w:hAnsi="Verdana"/>
          <w:sz w:val="20"/>
        </w:rPr>
        <w:t>%</w:t>
      </w:r>
    </w:p>
    <w:p w:rsidR="00165EC8" w:rsidRDefault="008E7262" w:rsidP="00794CF7">
      <w:pPr>
        <w:pStyle w:val="BodyText"/>
        <w:numPr>
          <w:ilvl w:val="0"/>
          <w:numId w:val="41"/>
        </w:numPr>
        <w:rPr>
          <w:rFonts w:ascii="Verdana" w:hAnsi="Verdana"/>
          <w:sz w:val="20"/>
        </w:rPr>
      </w:pPr>
      <w:r w:rsidRPr="00165EC8">
        <w:rPr>
          <w:rFonts w:ascii="Verdana" w:hAnsi="Verdana"/>
          <w:sz w:val="20"/>
        </w:rPr>
        <w:t>G</w:t>
      </w:r>
      <w:r w:rsidR="00165EC8" w:rsidRPr="00165EC8">
        <w:rPr>
          <w:rFonts w:ascii="Verdana" w:hAnsi="Verdana"/>
          <w:sz w:val="20"/>
        </w:rPr>
        <w:t xml:space="preserve">ilt Rate </w:t>
      </w:r>
      <w:r w:rsidR="008D0D10">
        <w:rPr>
          <w:rFonts w:ascii="Verdana" w:hAnsi="Verdana"/>
          <w:sz w:val="20"/>
        </w:rPr>
        <w:t xml:space="preserve">is </w:t>
      </w:r>
      <w:r w:rsidR="00165EC8" w:rsidRPr="00165EC8">
        <w:rPr>
          <w:rFonts w:ascii="Verdana" w:hAnsi="Verdana"/>
          <w:sz w:val="20"/>
        </w:rPr>
        <w:t>4.12%</w:t>
      </w:r>
    </w:p>
    <w:p w:rsidR="00165EC8" w:rsidRDefault="008E7262" w:rsidP="00794CF7">
      <w:pPr>
        <w:pStyle w:val="BodyText"/>
        <w:numPr>
          <w:ilvl w:val="0"/>
          <w:numId w:val="41"/>
        </w:numPr>
        <w:rPr>
          <w:rFonts w:ascii="Verdana" w:hAnsi="Verdana"/>
          <w:sz w:val="20"/>
        </w:rPr>
      </w:pPr>
      <w:r w:rsidRPr="00165EC8">
        <w:rPr>
          <w:rFonts w:ascii="Verdana" w:hAnsi="Verdana"/>
          <w:sz w:val="20"/>
        </w:rPr>
        <w:t>Index Linked G</w:t>
      </w:r>
      <w:r w:rsidR="00165EC8" w:rsidRPr="00165EC8">
        <w:rPr>
          <w:rFonts w:ascii="Verdana" w:hAnsi="Verdana"/>
          <w:sz w:val="20"/>
        </w:rPr>
        <w:t>ilt Rate</w:t>
      </w:r>
      <w:r w:rsidRPr="00165EC8">
        <w:rPr>
          <w:rFonts w:ascii="Verdana" w:hAnsi="Verdana"/>
          <w:sz w:val="20"/>
        </w:rPr>
        <w:t xml:space="preserve"> </w:t>
      </w:r>
      <w:r w:rsidR="008D0D10">
        <w:rPr>
          <w:rFonts w:ascii="Verdana" w:hAnsi="Verdana"/>
          <w:sz w:val="20"/>
        </w:rPr>
        <w:t xml:space="preserve">is </w:t>
      </w:r>
      <w:r w:rsidR="00165EC8" w:rsidRPr="00165EC8">
        <w:rPr>
          <w:rFonts w:ascii="Verdana" w:hAnsi="Verdana"/>
          <w:sz w:val="20"/>
        </w:rPr>
        <w:t>0.70%</w:t>
      </w:r>
    </w:p>
    <w:p w:rsidR="008E7262" w:rsidRPr="00165EC8" w:rsidRDefault="00EB5C6B" w:rsidP="00794CF7">
      <w:pPr>
        <w:pStyle w:val="BodyText"/>
        <w:numPr>
          <w:ilvl w:val="0"/>
          <w:numId w:val="41"/>
        </w:numPr>
        <w:rPr>
          <w:rFonts w:ascii="Verdana" w:hAnsi="Verdana"/>
          <w:sz w:val="20"/>
        </w:rPr>
      </w:pPr>
      <w:r w:rsidRPr="00165EC8">
        <w:rPr>
          <w:rFonts w:ascii="Verdana" w:hAnsi="Verdana"/>
          <w:sz w:val="20"/>
        </w:rPr>
        <w:t xml:space="preserve">Barclays Base Rate </w:t>
      </w:r>
      <w:r w:rsidR="008D0D10">
        <w:rPr>
          <w:rFonts w:ascii="Verdana" w:hAnsi="Verdana"/>
          <w:sz w:val="20"/>
        </w:rPr>
        <w:t xml:space="preserve">is </w:t>
      </w:r>
      <w:r w:rsidRPr="00165EC8">
        <w:rPr>
          <w:rFonts w:ascii="Verdana" w:hAnsi="Verdana"/>
          <w:sz w:val="20"/>
        </w:rPr>
        <w:t>0.5</w:t>
      </w:r>
      <w:r w:rsidR="008E7262" w:rsidRPr="00165EC8">
        <w:rPr>
          <w:rFonts w:ascii="Verdana" w:hAnsi="Verdana"/>
          <w:sz w:val="20"/>
        </w:rPr>
        <w:t>%</w:t>
      </w:r>
    </w:p>
    <w:p w:rsidR="00165EC8" w:rsidRPr="00165EC8" w:rsidRDefault="00165EC8" w:rsidP="00165EC8">
      <w:pPr>
        <w:pStyle w:val="Heading3"/>
        <w:rPr>
          <w:rFonts w:ascii="Verdana" w:hAnsi="Verdana"/>
          <w:sz w:val="20"/>
        </w:rPr>
      </w:pPr>
      <w:r w:rsidRPr="00165EC8">
        <w:rPr>
          <w:rFonts w:ascii="Verdana" w:hAnsi="Verdana"/>
          <w:sz w:val="20"/>
        </w:rPr>
        <w:t>The rates above are based on the following assumptions:</w:t>
      </w:r>
    </w:p>
    <w:p w:rsidR="00165EC8" w:rsidRPr="00165EC8" w:rsidRDefault="00165EC8" w:rsidP="00794CF7">
      <w:pPr>
        <w:pStyle w:val="Heading3"/>
        <w:numPr>
          <w:ilvl w:val="2"/>
          <w:numId w:val="40"/>
        </w:numPr>
        <w:tabs>
          <w:tab w:val="clear" w:pos="2268"/>
          <w:tab w:val="left" w:pos="1843"/>
        </w:tabs>
        <w:ind w:left="1843" w:hanging="283"/>
        <w:rPr>
          <w:rFonts w:ascii="Verdana" w:hAnsi="Verdana"/>
          <w:sz w:val="20"/>
        </w:rPr>
      </w:pPr>
      <w:r w:rsidRPr="00165EC8">
        <w:rPr>
          <w:rFonts w:ascii="Verdana" w:hAnsi="Verdana"/>
          <w:sz w:val="20"/>
        </w:rPr>
        <w:t xml:space="preserve">Inflation will be hedged for the full duration of the </w:t>
      </w:r>
      <w:r w:rsidR="008D0D10">
        <w:rPr>
          <w:rFonts w:ascii="Verdana" w:hAnsi="Verdana"/>
          <w:sz w:val="20"/>
        </w:rPr>
        <w:t>Offshore Electricity Transmission Licence</w:t>
      </w:r>
      <w:r w:rsidRPr="00165EC8">
        <w:rPr>
          <w:rFonts w:ascii="Verdana" w:hAnsi="Verdana"/>
          <w:sz w:val="20"/>
        </w:rPr>
        <w:t xml:space="preserve"> based on a flat 20 year swap profile; and</w:t>
      </w:r>
    </w:p>
    <w:p w:rsidR="00165EC8" w:rsidRPr="00165EC8" w:rsidRDefault="00165EC8" w:rsidP="00794CF7">
      <w:pPr>
        <w:pStyle w:val="Heading3"/>
        <w:numPr>
          <w:ilvl w:val="2"/>
          <w:numId w:val="40"/>
        </w:numPr>
        <w:tabs>
          <w:tab w:val="clear" w:pos="2268"/>
          <w:tab w:val="clear" w:pos="2977"/>
          <w:tab w:val="left" w:pos="1560"/>
          <w:tab w:val="left" w:pos="1843"/>
        </w:tabs>
        <w:ind w:left="1843" w:hanging="283"/>
        <w:rPr>
          <w:rFonts w:ascii="Verdana" w:hAnsi="Verdana"/>
          <w:sz w:val="20"/>
        </w:rPr>
      </w:pPr>
      <w:r w:rsidRPr="00165EC8">
        <w:rPr>
          <w:rFonts w:ascii="Verdana" w:hAnsi="Verdana"/>
          <w:sz w:val="20"/>
        </w:rPr>
        <w:t>Senior debt will hedged on the basis of an 18 to 19 year debt tenor, with an average loan life of 12 years.</w:t>
      </w:r>
    </w:p>
    <w:p w:rsidR="005C689A" w:rsidRDefault="005C689A" w:rsidP="008E7262">
      <w:pPr>
        <w:pStyle w:val="Heading3"/>
        <w:rPr>
          <w:rFonts w:ascii="Verdana" w:hAnsi="Verdana"/>
          <w:sz w:val="20"/>
        </w:rPr>
      </w:pPr>
      <w:r>
        <w:rPr>
          <w:rFonts w:ascii="Verdana" w:hAnsi="Verdana"/>
          <w:sz w:val="20"/>
        </w:rPr>
        <w:t>Qualifying Bidders should be aware that Ofgem reserves the right to update these reference rates during the ITT stage, as appropriate.</w:t>
      </w:r>
    </w:p>
    <w:p w:rsidR="00165EC8" w:rsidRPr="00165EC8" w:rsidRDefault="008E7262" w:rsidP="00165EC8">
      <w:pPr>
        <w:pStyle w:val="Heading3"/>
        <w:rPr>
          <w:rFonts w:ascii="Verdana" w:hAnsi="Verdana"/>
          <w:sz w:val="20"/>
        </w:rPr>
      </w:pPr>
      <w:r w:rsidRPr="00165EC8">
        <w:rPr>
          <w:rFonts w:ascii="Verdana" w:hAnsi="Verdana"/>
          <w:sz w:val="20"/>
        </w:rPr>
        <w:t>Should a Qualifying Bidder consider that it</w:t>
      </w:r>
      <w:r w:rsidR="00165EC8" w:rsidRPr="00165EC8">
        <w:rPr>
          <w:rFonts w:ascii="Verdana" w:hAnsi="Verdana"/>
          <w:sz w:val="20"/>
        </w:rPr>
        <w:t xml:space="preserve">s </w:t>
      </w:r>
      <w:r w:rsidR="00165EC8">
        <w:rPr>
          <w:rFonts w:ascii="Verdana" w:hAnsi="Verdana"/>
          <w:sz w:val="20"/>
        </w:rPr>
        <w:t xml:space="preserve">ITT Submission contains </w:t>
      </w:r>
      <w:r w:rsidRPr="00165EC8">
        <w:rPr>
          <w:rFonts w:ascii="Verdana" w:hAnsi="Verdana"/>
          <w:sz w:val="20"/>
        </w:rPr>
        <w:t xml:space="preserve">substantially different </w:t>
      </w:r>
      <w:r w:rsidR="00165EC8">
        <w:rPr>
          <w:rFonts w:ascii="Verdana" w:hAnsi="Verdana"/>
          <w:sz w:val="20"/>
        </w:rPr>
        <w:t xml:space="preserve">assumptions </w:t>
      </w:r>
      <w:r w:rsidRPr="00165EC8">
        <w:rPr>
          <w:rFonts w:ascii="Verdana" w:hAnsi="Verdana"/>
          <w:sz w:val="20"/>
        </w:rPr>
        <w:t>to th</w:t>
      </w:r>
      <w:r w:rsidR="00165EC8">
        <w:rPr>
          <w:rFonts w:ascii="Verdana" w:hAnsi="Verdana"/>
          <w:sz w:val="20"/>
        </w:rPr>
        <w:t>e</w:t>
      </w:r>
      <w:r w:rsidRPr="00165EC8">
        <w:rPr>
          <w:rFonts w:ascii="Verdana" w:hAnsi="Verdana"/>
          <w:sz w:val="20"/>
        </w:rPr>
        <w:t xml:space="preserve"> reference rates quoted above, they are required to raise a clarification via the Portal in the first instance.  </w:t>
      </w:r>
      <w:r w:rsidRPr="00165EC8">
        <w:rPr>
          <w:rFonts w:ascii="Verdana" w:hAnsi="Verdana"/>
          <w:sz w:val="20"/>
        </w:rPr>
        <w:lastRenderedPageBreak/>
        <w:t>Depending on the nature of the clarification, Ofgem may make this available to all other Qualifying Bidders in accordance with the clarification process described in section 3</w:t>
      </w:r>
      <w:r w:rsidR="008D0D10">
        <w:rPr>
          <w:rFonts w:ascii="Verdana" w:hAnsi="Verdana"/>
          <w:sz w:val="20"/>
        </w:rPr>
        <w:t xml:space="preserve"> above</w:t>
      </w:r>
      <w:r w:rsidRPr="00165EC8">
        <w:rPr>
          <w:rFonts w:ascii="Verdana" w:hAnsi="Verdana"/>
          <w:sz w:val="20"/>
        </w:rPr>
        <w:t>.  Ofgem will communicate its decision on any such clarification through the Portal.</w:t>
      </w:r>
    </w:p>
    <w:p w:rsidR="008E7262" w:rsidRPr="00165EC8" w:rsidRDefault="008E7262" w:rsidP="00165EC8">
      <w:pPr>
        <w:pStyle w:val="Heading3"/>
        <w:rPr>
          <w:rFonts w:ascii="Verdana" w:hAnsi="Verdana"/>
          <w:sz w:val="20"/>
        </w:rPr>
      </w:pPr>
      <w:r w:rsidRPr="00FA2823">
        <w:rPr>
          <w:rFonts w:ascii="Verdana" w:hAnsi="Verdana"/>
          <w:sz w:val="20"/>
        </w:rPr>
        <w:t xml:space="preserve">Qualifying Bidders should note that all </w:t>
      </w:r>
      <w:r w:rsidR="00EB5C6B">
        <w:rPr>
          <w:rFonts w:ascii="Verdana" w:hAnsi="Verdana"/>
          <w:sz w:val="20"/>
        </w:rPr>
        <w:t xml:space="preserve">reference </w:t>
      </w:r>
      <w:r w:rsidRPr="00FA2823">
        <w:rPr>
          <w:rFonts w:ascii="Verdana" w:hAnsi="Verdana"/>
          <w:sz w:val="20"/>
        </w:rPr>
        <w:t>rates above are quoted before application of any applicable credit spreads.</w:t>
      </w:r>
      <w:r w:rsidR="00165EC8">
        <w:rPr>
          <w:rFonts w:ascii="Verdana" w:hAnsi="Verdana"/>
          <w:sz w:val="20"/>
        </w:rPr>
        <w:t xml:space="preserve">  Qualifying </w:t>
      </w:r>
      <w:r w:rsidR="00165EC8" w:rsidRPr="00165EC8">
        <w:rPr>
          <w:rFonts w:ascii="Verdana" w:hAnsi="Verdana"/>
          <w:sz w:val="20"/>
        </w:rPr>
        <w:t>Bidders are required to include any spreads and margins in their financial models.</w:t>
      </w:r>
    </w:p>
    <w:p w:rsidR="008E7262" w:rsidRDefault="008E7262" w:rsidP="008E7262">
      <w:pPr>
        <w:pStyle w:val="Heading2"/>
        <w:rPr>
          <w:rFonts w:ascii="Verdana" w:hAnsi="Verdana"/>
          <w:sz w:val="20"/>
        </w:rPr>
      </w:pPr>
      <w:r>
        <w:rPr>
          <w:rFonts w:ascii="Verdana" w:hAnsi="Verdana"/>
          <w:sz w:val="20"/>
        </w:rPr>
        <w:t>Economic Assumptions</w:t>
      </w:r>
    </w:p>
    <w:p w:rsidR="00EB5C6B" w:rsidRPr="00EB5C6B" w:rsidRDefault="00EB5C6B" w:rsidP="00EB5C6B">
      <w:pPr>
        <w:pStyle w:val="Heading3"/>
        <w:rPr>
          <w:rFonts w:ascii="Verdana" w:hAnsi="Verdana"/>
          <w:sz w:val="20"/>
        </w:rPr>
      </w:pPr>
      <w:r w:rsidRPr="00EB5C6B">
        <w:rPr>
          <w:rFonts w:ascii="Verdana" w:hAnsi="Verdana"/>
          <w:sz w:val="20"/>
        </w:rPr>
        <w:t>All Qualifying Bidders are required to adopt the following economic assumptions in compiling their ITT Submissions:</w:t>
      </w:r>
    </w:p>
    <w:p w:rsidR="00165EC8" w:rsidRPr="00165EC8" w:rsidRDefault="008E7262" w:rsidP="00794CF7">
      <w:pPr>
        <w:pStyle w:val="Heading3"/>
        <w:numPr>
          <w:ilvl w:val="0"/>
          <w:numId w:val="42"/>
        </w:numPr>
      </w:pPr>
      <w:r w:rsidRPr="00165EC8">
        <w:rPr>
          <w:rFonts w:ascii="Verdana" w:hAnsi="Verdana"/>
          <w:sz w:val="20"/>
        </w:rPr>
        <w:t xml:space="preserve">Discount Rate </w:t>
      </w:r>
      <w:r w:rsidR="007D6414">
        <w:rPr>
          <w:rFonts w:ascii="Verdana" w:hAnsi="Verdana"/>
          <w:sz w:val="20"/>
        </w:rPr>
        <w:t xml:space="preserve">is </w:t>
      </w:r>
      <w:r w:rsidRPr="00165EC8">
        <w:rPr>
          <w:rFonts w:ascii="Verdana" w:hAnsi="Verdana"/>
          <w:sz w:val="20"/>
        </w:rPr>
        <w:t>3.5% Real</w:t>
      </w:r>
    </w:p>
    <w:p w:rsidR="00165EC8" w:rsidRDefault="00EB5C6B" w:rsidP="00794CF7">
      <w:pPr>
        <w:pStyle w:val="Heading3"/>
        <w:numPr>
          <w:ilvl w:val="0"/>
          <w:numId w:val="42"/>
        </w:numPr>
        <w:rPr>
          <w:rFonts w:ascii="Verdana" w:hAnsi="Verdana"/>
          <w:sz w:val="20"/>
        </w:rPr>
      </w:pPr>
      <w:r>
        <w:rPr>
          <w:rFonts w:ascii="Verdana" w:hAnsi="Verdana"/>
          <w:sz w:val="20"/>
        </w:rPr>
        <w:t xml:space="preserve">Base date for indexation </w:t>
      </w:r>
      <w:r w:rsidR="008E7262" w:rsidRPr="00EB5C6B">
        <w:rPr>
          <w:rFonts w:ascii="Verdana" w:hAnsi="Verdana"/>
          <w:sz w:val="20"/>
        </w:rPr>
        <w:t xml:space="preserve">is </w:t>
      </w:r>
      <w:r w:rsidR="00165EC8">
        <w:rPr>
          <w:rFonts w:ascii="Verdana" w:hAnsi="Verdana"/>
          <w:sz w:val="20"/>
        </w:rPr>
        <w:t xml:space="preserve">the </w:t>
      </w:r>
      <w:r w:rsidR="00DB0168">
        <w:rPr>
          <w:rFonts w:ascii="Verdana" w:hAnsi="Verdana"/>
          <w:sz w:val="20"/>
        </w:rPr>
        <w:t>E</w:t>
      </w:r>
      <w:r w:rsidR="00165EC8">
        <w:rPr>
          <w:rFonts w:ascii="Verdana" w:hAnsi="Verdana"/>
          <w:sz w:val="20"/>
        </w:rPr>
        <w:t xml:space="preserve">stimated </w:t>
      </w:r>
      <w:r w:rsidR="00DB0168">
        <w:rPr>
          <w:rFonts w:ascii="Verdana" w:hAnsi="Verdana"/>
          <w:sz w:val="20"/>
        </w:rPr>
        <w:t>T</w:t>
      </w:r>
      <w:r w:rsidR="00165EC8">
        <w:rPr>
          <w:rFonts w:ascii="Verdana" w:hAnsi="Verdana"/>
          <w:sz w:val="20"/>
        </w:rPr>
        <w:t xml:space="preserve">ransfer </w:t>
      </w:r>
      <w:r w:rsidR="00DB0168">
        <w:rPr>
          <w:rFonts w:ascii="Verdana" w:hAnsi="Verdana"/>
          <w:sz w:val="20"/>
        </w:rPr>
        <w:t>D</w:t>
      </w:r>
      <w:r w:rsidR="00165EC8">
        <w:rPr>
          <w:rFonts w:ascii="Verdana" w:hAnsi="Verdana"/>
          <w:sz w:val="20"/>
        </w:rPr>
        <w:t>ate for the relevant Qualifying Project</w:t>
      </w:r>
    </w:p>
    <w:p w:rsidR="008E7262" w:rsidRPr="00EB5C6B" w:rsidRDefault="008E7262" w:rsidP="00794CF7">
      <w:pPr>
        <w:pStyle w:val="Heading3"/>
        <w:numPr>
          <w:ilvl w:val="0"/>
          <w:numId w:val="42"/>
        </w:numPr>
        <w:rPr>
          <w:rFonts w:ascii="Verdana" w:hAnsi="Verdana"/>
          <w:sz w:val="20"/>
        </w:rPr>
      </w:pPr>
      <w:r w:rsidRPr="00EB5C6B">
        <w:rPr>
          <w:rFonts w:ascii="Verdana" w:hAnsi="Verdana"/>
          <w:sz w:val="20"/>
        </w:rPr>
        <w:t xml:space="preserve">Indexation should be applied in accordance with the </w:t>
      </w:r>
      <w:r w:rsidR="007D6414">
        <w:rPr>
          <w:rFonts w:ascii="Verdana" w:hAnsi="Verdana"/>
          <w:sz w:val="20"/>
        </w:rPr>
        <w:t xml:space="preserve">Offshore Electricity Transmission </w:t>
      </w:r>
      <w:r w:rsidRPr="00EB5C6B">
        <w:rPr>
          <w:rFonts w:ascii="Verdana" w:hAnsi="Verdana"/>
          <w:sz w:val="20"/>
        </w:rPr>
        <w:t>licence</w:t>
      </w:r>
      <w:r w:rsidR="007D6414">
        <w:rPr>
          <w:rFonts w:ascii="Verdana" w:hAnsi="Verdana"/>
          <w:sz w:val="20"/>
        </w:rPr>
        <w:t xml:space="preserve">, i.e. </w:t>
      </w:r>
      <w:r w:rsidRPr="00EB5C6B">
        <w:rPr>
          <w:rFonts w:ascii="Verdana" w:hAnsi="Verdana"/>
          <w:sz w:val="20"/>
        </w:rPr>
        <w:t>annually each April</w:t>
      </w:r>
    </w:p>
    <w:p w:rsidR="008E7262" w:rsidRPr="00EB5C6B" w:rsidRDefault="007D6414" w:rsidP="00794CF7">
      <w:pPr>
        <w:pStyle w:val="Heading3"/>
        <w:numPr>
          <w:ilvl w:val="0"/>
          <w:numId w:val="42"/>
        </w:numPr>
        <w:rPr>
          <w:rFonts w:ascii="Verdana" w:hAnsi="Verdana"/>
          <w:sz w:val="20"/>
        </w:rPr>
      </w:pPr>
      <w:r>
        <w:rPr>
          <w:rFonts w:ascii="Verdana" w:hAnsi="Verdana"/>
          <w:sz w:val="20"/>
        </w:rPr>
        <w:t xml:space="preserve">The </w:t>
      </w:r>
      <w:r w:rsidR="008E7262" w:rsidRPr="00EB5C6B">
        <w:rPr>
          <w:rFonts w:ascii="Verdana" w:hAnsi="Verdana"/>
          <w:sz w:val="20"/>
        </w:rPr>
        <w:t xml:space="preserve">Tender Revenue </w:t>
      </w:r>
      <w:r>
        <w:rPr>
          <w:rFonts w:ascii="Verdana" w:hAnsi="Verdana"/>
          <w:sz w:val="20"/>
        </w:rPr>
        <w:t>Stream c</w:t>
      </w:r>
      <w:r w:rsidR="008E7262" w:rsidRPr="00EB5C6B">
        <w:rPr>
          <w:rFonts w:ascii="Verdana" w:hAnsi="Verdana"/>
          <w:sz w:val="20"/>
        </w:rPr>
        <w:t xml:space="preserve">ommencement </w:t>
      </w:r>
      <w:r>
        <w:rPr>
          <w:rFonts w:ascii="Verdana" w:hAnsi="Verdana"/>
          <w:sz w:val="20"/>
        </w:rPr>
        <w:t>d</w:t>
      </w:r>
      <w:r w:rsidR="008E7262" w:rsidRPr="00EB5C6B">
        <w:rPr>
          <w:rFonts w:ascii="Verdana" w:hAnsi="Verdana"/>
          <w:sz w:val="20"/>
        </w:rPr>
        <w:t>ate</w:t>
      </w:r>
      <w:r>
        <w:rPr>
          <w:rFonts w:ascii="Verdana" w:hAnsi="Verdana"/>
          <w:sz w:val="20"/>
        </w:rPr>
        <w:t xml:space="preserve"> is the </w:t>
      </w:r>
      <w:r w:rsidR="008E7262" w:rsidRPr="00EB5C6B">
        <w:rPr>
          <w:rFonts w:ascii="Verdana" w:hAnsi="Verdana"/>
          <w:sz w:val="20"/>
        </w:rPr>
        <w:t>Estimated Transfer Date</w:t>
      </w:r>
      <w:r>
        <w:rPr>
          <w:rFonts w:ascii="Verdana" w:hAnsi="Verdana"/>
          <w:sz w:val="20"/>
        </w:rPr>
        <w:t xml:space="preserve"> for the relevant Qualifying Project</w:t>
      </w:r>
      <w:r w:rsidR="00E47ED7">
        <w:rPr>
          <w:rFonts w:ascii="Verdana" w:hAnsi="Verdana"/>
          <w:sz w:val="20"/>
        </w:rPr>
        <w:t xml:space="preserve">, with the exception of Greater </w:t>
      </w:r>
      <w:proofErr w:type="spellStart"/>
      <w:r w:rsidR="00E47ED7">
        <w:rPr>
          <w:rFonts w:ascii="Verdana" w:hAnsi="Verdana"/>
          <w:sz w:val="20"/>
        </w:rPr>
        <w:t>Gabbard</w:t>
      </w:r>
      <w:proofErr w:type="spellEnd"/>
      <w:r w:rsidR="00E47ED7">
        <w:rPr>
          <w:rFonts w:ascii="Verdana" w:hAnsi="Verdana"/>
          <w:sz w:val="20"/>
        </w:rPr>
        <w:t xml:space="preserve"> where a Pre-Transfer Tender Revenue Stream is required as set out in</w:t>
      </w:r>
      <w:r w:rsidR="00DB0168">
        <w:rPr>
          <w:rFonts w:ascii="Verdana" w:hAnsi="Verdana"/>
          <w:sz w:val="20"/>
        </w:rPr>
        <w:t xml:space="preserve"> Appendix 2,</w:t>
      </w:r>
      <w:r w:rsidR="00E47ED7">
        <w:rPr>
          <w:rFonts w:ascii="Verdana" w:hAnsi="Verdana"/>
          <w:sz w:val="20"/>
        </w:rPr>
        <w:t xml:space="preserve"> Section 5 Part C</w:t>
      </w:r>
    </w:p>
    <w:p w:rsidR="008E7262" w:rsidRPr="00EB5C6B" w:rsidRDefault="007D6414" w:rsidP="00794CF7">
      <w:pPr>
        <w:pStyle w:val="Heading3"/>
        <w:numPr>
          <w:ilvl w:val="0"/>
          <w:numId w:val="42"/>
        </w:numPr>
        <w:rPr>
          <w:rFonts w:ascii="Verdana" w:hAnsi="Verdana"/>
          <w:sz w:val="20"/>
        </w:rPr>
      </w:pPr>
      <w:r>
        <w:rPr>
          <w:rFonts w:ascii="Verdana" w:hAnsi="Verdana"/>
          <w:sz w:val="20"/>
        </w:rPr>
        <w:t xml:space="preserve">The length of the </w:t>
      </w:r>
      <w:r w:rsidR="008E7262" w:rsidRPr="00EB5C6B">
        <w:rPr>
          <w:rFonts w:ascii="Verdana" w:hAnsi="Verdana"/>
          <w:sz w:val="20"/>
        </w:rPr>
        <w:t xml:space="preserve">Tender Revenue Stream </w:t>
      </w:r>
      <w:r>
        <w:rPr>
          <w:rFonts w:ascii="Verdana" w:hAnsi="Verdana"/>
          <w:sz w:val="20"/>
        </w:rPr>
        <w:t xml:space="preserve">is </w:t>
      </w:r>
      <w:r w:rsidR="008E7262" w:rsidRPr="00EB5C6B">
        <w:rPr>
          <w:rFonts w:ascii="Verdana" w:hAnsi="Verdana"/>
          <w:sz w:val="20"/>
        </w:rPr>
        <w:t>20 years from the Estimated Transfer Date</w:t>
      </w:r>
      <w:r>
        <w:rPr>
          <w:rFonts w:ascii="Verdana" w:hAnsi="Verdana"/>
          <w:sz w:val="20"/>
        </w:rPr>
        <w:t xml:space="preserve"> for the relevant Qualifying Project</w:t>
      </w:r>
    </w:p>
    <w:p w:rsidR="008E7262" w:rsidRDefault="008E7262" w:rsidP="00794CF7">
      <w:pPr>
        <w:pStyle w:val="Heading3"/>
        <w:numPr>
          <w:ilvl w:val="0"/>
          <w:numId w:val="42"/>
        </w:numPr>
        <w:rPr>
          <w:rFonts w:ascii="Verdana" w:hAnsi="Verdana"/>
          <w:sz w:val="20"/>
        </w:rPr>
      </w:pPr>
      <w:r w:rsidRPr="00EB5C6B">
        <w:rPr>
          <w:rFonts w:ascii="Verdana" w:hAnsi="Verdana"/>
          <w:sz w:val="20"/>
        </w:rPr>
        <w:t xml:space="preserve">Support </w:t>
      </w:r>
      <w:r w:rsidR="00197607">
        <w:rPr>
          <w:rFonts w:ascii="Verdana" w:hAnsi="Verdana"/>
          <w:sz w:val="20"/>
        </w:rPr>
        <w:t xml:space="preserve">is required </w:t>
      </w:r>
      <w:r w:rsidRPr="00EB5C6B">
        <w:rPr>
          <w:rFonts w:ascii="Verdana" w:hAnsi="Verdana"/>
          <w:sz w:val="20"/>
        </w:rPr>
        <w:t xml:space="preserve">for 120% of the total funding requirement for all sources of finance </w:t>
      </w:r>
      <w:r w:rsidR="00DB0168">
        <w:rPr>
          <w:rFonts w:ascii="Verdana" w:hAnsi="Verdana"/>
          <w:sz w:val="20"/>
        </w:rPr>
        <w:t>for the Qualifying Project</w:t>
      </w:r>
      <w:r w:rsidRPr="00EB5C6B">
        <w:rPr>
          <w:rFonts w:ascii="Verdana" w:hAnsi="Verdana"/>
          <w:sz w:val="20"/>
        </w:rPr>
        <w:t xml:space="preserve">    </w:t>
      </w:r>
    </w:p>
    <w:p w:rsidR="00631D6E" w:rsidRPr="000B3108" w:rsidRDefault="007D6414" w:rsidP="00794CF7">
      <w:pPr>
        <w:pStyle w:val="Heading3"/>
        <w:numPr>
          <w:ilvl w:val="0"/>
          <w:numId w:val="42"/>
        </w:numPr>
        <w:rPr>
          <w:rFonts w:ascii="Verdana" w:hAnsi="Verdana"/>
          <w:sz w:val="20"/>
        </w:rPr>
      </w:pPr>
      <w:r>
        <w:rPr>
          <w:rFonts w:ascii="Verdana" w:hAnsi="Verdana"/>
          <w:sz w:val="20"/>
        </w:rPr>
        <w:t>T</w:t>
      </w:r>
      <w:r w:rsidR="00631D6E">
        <w:rPr>
          <w:rFonts w:ascii="Verdana" w:hAnsi="Verdana"/>
          <w:sz w:val="20"/>
        </w:rPr>
        <w:t xml:space="preserve">he financial year end </w:t>
      </w:r>
      <w:r w:rsidR="00DB0168">
        <w:rPr>
          <w:rFonts w:ascii="Verdana" w:hAnsi="Verdana"/>
          <w:sz w:val="20"/>
        </w:rPr>
        <w:t>is assumed to be</w:t>
      </w:r>
      <w:r w:rsidR="00631D6E">
        <w:rPr>
          <w:rFonts w:ascii="Verdana" w:hAnsi="Verdana"/>
          <w:sz w:val="20"/>
        </w:rPr>
        <w:t xml:space="preserve"> March each year.</w:t>
      </w:r>
      <w:r w:rsidR="00631D6E">
        <w:t xml:space="preserve"> </w:t>
      </w:r>
    </w:p>
    <w:p w:rsidR="008E7262" w:rsidRPr="00EB5C6B" w:rsidRDefault="008E7262" w:rsidP="00EB5C6B">
      <w:pPr>
        <w:pStyle w:val="Heading2"/>
        <w:rPr>
          <w:rFonts w:ascii="Verdana" w:hAnsi="Verdana"/>
          <w:sz w:val="20"/>
        </w:rPr>
      </w:pPr>
      <w:r w:rsidRPr="00EB5C6B">
        <w:rPr>
          <w:rFonts w:ascii="Verdana" w:hAnsi="Verdana"/>
          <w:sz w:val="20"/>
        </w:rPr>
        <w:t>Qualifying Project Assumptions</w:t>
      </w:r>
    </w:p>
    <w:p w:rsidR="00BC1FAD" w:rsidRPr="00BC1FAD" w:rsidRDefault="00BC1FAD" w:rsidP="00BC1FAD">
      <w:pPr>
        <w:pStyle w:val="Heading3"/>
        <w:rPr>
          <w:rFonts w:ascii="Verdana" w:hAnsi="Verdana"/>
          <w:sz w:val="20"/>
        </w:rPr>
      </w:pPr>
      <w:r w:rsidRPr="00BC1FAD">
        <w:rPr>
          <w:rFonts w:ascii="Verdana" w:hAnsi="Verdana"/>
          <w:sz w:val="20"/>
        </w:rPr>
        <w:t>The following table sets out a number of data that Qualifying Bidders must assume in compiling their ITT Submissions.</w:t>
      </w:r>
      <w:r w:rsidR="00165EC8">
        <w:rPr>
          <w:rFonts w:ascii="Verdana" w:hAnsi="Verdana"/>
          <w:sz w:val="20"/>
        </w:rPr>
        <w:t xml:space="preserve">  This was the information published in the Information Memoranda published at the commencement of the QTT stage.</w:t>
      </w:r>
    </w:p>
    <w:p w:rsidR="00BC1FAD" w:rsidRPr="00BC1FAD" w:rsidRDefault="00BC1FAD" w:rsidP="00EB5C6B">
      <w:pPr>
        <w:pStyle w:val="BodyText"/>
        <w:ind w:left="709"/>
        <w:rPr>
          <w:rFonts w:ascii="Verdana" w:hAnsi="Verdana"/>
          <w:sz w:val="20"/>
        </w:rPr>
      </w:pPr>
    </w:p>
    <w:tbl>
      <w:tblPr>
        <w:tblW w:w="89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2940"/>
        <w:gridCol w:w="2138"/>
        <w:gridCol w:w="1738"/>
      </w:tblGrid>
      <w:tr w:rsidR="001E40DC" w:rsidRPr="001E40DC" w:rsidTr="001E40DC">
        <w:trPr>
          <w:trHeight w:val="316"/>
        </w:trPr>
        <w:tc>
          <w:tcPr>
            <w:tcW w:w="2138" w:type="dxa"/>
            <w:shd w:val="clear" w:color="auto" w:fill="A3A2A0"/>
            <w:vAlign w:val="bottom"/>
          </w:tcPr>
          <w:p w:rsidR="005C689A" w:rsidRPr="001E40DC" w:rsidRDefault="005C689A" w:rsidP="005C689A">
            <w:pPr>
              <w:spacing w:before="60" w:after="60"/>
              <w:jc w:val="center"/>
              <w:rPr>
                <w:rFonts w:ascii="Verdana" w:hAnsi="Verdana"/>
                <w:b/>
                <w:color w:val="FFFFFF"/>
                <w:sz w:val="16"/>
                <w:szCs w:val="16"/>
              </w:rPr>
            </w:pPr>
            <w:r w:rsidRPr="001E40DC">
              <w:rPr>
                <w:rFonts w:ascii="Verdana" w:hAnsi="Verdana"/>
                <w:b/>
                <w:color w:val="FFFFFF"/>
                <w:sz w:val="16"/>
                <w:szCs w:val="16"/>
              </w:rPr>
              <w:t>Project</w:t>
            </w:r>
          </w:p>
        </w:tc>
        <w:tc>
          <w:tcPr>
            <w:tcW w:w="2940" w:type="dxa"/>
            <w:shd w:val="clear" w:color="auto" w:fill="A3A2A0"/>
            <w:vAlign w:val="bottom"/>
          </w:tcPr>
          <w:p w:rsidR="005C689A" w:rsidRPr="001E40DC" w:rsidRDefault="005C689A" w:rsidP="005C689A">
            <w:pPr>
              <w:spacing w:before="60" w:after="60"/>
              <w:jc w:val="center"/>
              <w:rPr>
                <w:rFonts w:ascii="Verdana" w:hAnsi="Verdana"/>
                <w:b/>
                <w:color w:val="FFFFFF"/>
                <w:sz w:val="16"/>
                <w:szCs w:val="16"/>
              </w:rPr>
            </w:pPr>
            <w:r w:rsidRPr="001E40DC">
              <w:rPr>
                <w:rFonts w:ascii="Verdana" w:hAnsi="Verdana"/>
                <w:b/>
                <w:color w:val="FFFFFF"/>
                <w:sz w:val="16"/>
                <w:szCs w:val="16"/>
              </w:rPr>
              <w:t>Developer(s)</w:t>
            </w:r>
          </w:p>
        </w:tc>
        <w:tc>
          <w:tcPr>
            <w:tcW w:w="2138" w:type="dxa"/>
            <w:shd w:val="clear" w:color="auto" w:fill="A3A2A0"/>
            <w:vAlign w:val="bottom"/>
          </w:tcPr>
          <w:p w:rsidR="005C689A" w:rsidRPr="001E40DC" w:rsidRDefault="005C689A" w:rsidP="005C689A">
            <w:pPr>
              <w:spacing w:before="60" w:after="60"/>
              <w:jc w:val="center"/>
              <w:rPr>
                <w:rFonts w:ascii="Verdana" w:hAnsi="Verdana"/>
                <w:b/>
                <w:color w:val="FFFFFF"/>
                <w:sz w:val="16"/>
                <w:szCs w:val="16"/>
              </w:rPr>
            </w:pPr>
            <w:r w:rsidRPr="001E40DC">
              <w:rPr>
                <w:rFonts w:ascii="Verdana" w:hAnsi="Verdana"/>
                <w:b/>
                <w:color w:val="FFFFFF"/>
                <w:sz w:val="16"/>
                <w:szCs w:val="16"/>
              </w:rPr>
              <w:t>Estimated Transfer Value</w:t>
            </w:r>
          </w:p>
        </w:tc>
        <w:tc>
          <w:tcPr>
            <w:tcW w:w="1738" w:type="dxa"/>
            <w:shd w:val="clear" w:color="auto" w:fill="A3A2A0"/>
            <w:vAlign w:val="bottom"/>
          </w:tcPr>
          <w:p w:rsidR="005C689A" w:rsidRPr="001E40DC" w:rsidRDefault="005C689A" w:rsidP="007D6414">
            <w:pPr>
              <w:spacing w:before="60" w:after="60"/>
              <w:jc w:val="center"/>
              <w:rPr>
                <w:rFonts w:ascii="Verdana" w:hAnsi="Verdana"/>
                <w:b/>
                <w:color w:val="FFFFFF"/>
                <w:sz w:val="16"/>
                <w:szCs w:val="16"/>
              </w:rPr>
            </w:pPr>
            <w:r w:rsidRPr="001E40DC">
              <w:rPr>
                <w:rFonts w:ascii="Verdana" w:hAnsi="Verdana"/>
                <w:b/>
                <w:color w:val="FFFFFF"/>
                <w:sz w:val="16"/>
                <w:szCs w:val="16"/>
              </w:rPr>
              <w:t>E</w:t>
            </w:r>
            <w:r w:rsidR="007D6414" w:rsidRPr="001E40DC">
              <w:rPr>
                <w:rFonts w:ascii="Verdana" w:hAnsi="Verdana"/>
                <w:b/>
                <w:color w:val="FFFFFF"/>
                <w:sz w:val="16"/>
                <w:szCs w:val="16"/>
              </w:rPr>
              <w:t>stimated</w:t>
            </w:r>
            <w:r w:rsidRPr="001E40DC">
              <w:rPr>
                <w:rFonts w:ascii="Verdana" w:hAnsi="Verdana"/>
                <w:b/>
                <w:color w:val="FFFFFF"/>
                <w:sz w:val="16"/>
                <w:szCs w:val="16"/>
              </w:rPr>
              <w:t xml:space="preserve"> Transfer Date</w:t>
            </w:r>
          </w:p>
        </w:tc>
      </w:tr>
      <w:tr w:rsidR="001E40DC" w:rsidRPr="001E40DC" w:rsidTr="001E40DC">
        <w:trPr>
          <w:trHeight w:val="188"/>
        </w:trPr>
        <w:tc>
          <w:tcPr>
            <w:tcW w:w="2138" w:type="dxa"/>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Barrow</w:t>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DONG Energy, Centrica</w:t>
            </w:r>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£36.5m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June 2010</w:t>
            </w:r>
          </w:p>
        </w:tc>
      </w:tr>
      <w:tr w:rsidR="001E40DC" w:rsidRPr="001E40DC" w:rsidTr="001E40DC">
        <w:trPr>
          <w:trHeight w:val="188"/>
        </w:trPr>
        <w:tc>
          <w:tcPr>
            <w:tcW w:w="2138" w:type="dxa"/>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 xml:space="preserve">Robin </w:t>
            </w:r>
            <w:proofErr w:type="spellStart"/>
            <w:r w:rsidRPr="001E40DC">
              <w:rPr>
                <w:rFonts w:ascii="Verdana" w:hAnsi="Verdana"/>
                <w:sz w:val="16"/>
                <w:szCs w:val="16"/>
              </w:rPr>
              <w:t>Rigg</w:t>
            </w:r>
            <w:proofErr w:type="spellEnd"/>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E.On</w:t>
            </w:r>
            <w:proofErr w:type="spellEnd"/>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£57.3m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June 2010</w:t>
            </w:r>
          </w:p>
        </w:tc>
      </w:tr>
      <w:tr w:rsidR="001E40DC" w:rsidRPr="001E40DC" w:rsidTr="001E40DC">
        <w:trPr>
          <w:trHeight w:val="316"/>
        </w:trPr>
        <w:tc>
          <w:tcPr>
            <w:tcW w:w="2138"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Gunfleet</w:t>
            </w:r>
            <w:proofErr w:type="spellEnd"/>
            <w:r w:rsidRPr="001E40DC">
              <w:rPr>
                <w:rFonts w:ascii="Verdana" w:hAnsi="Verdana"/>
                <w:sz w:val="16"/>
                <w:szCs w:val="16"/>
              </w:rPr>
              <w:t xml:space="preserve"> Sands I &amp; II</w:t>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DONG Energy</w:t>
            </w:r>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£48.2m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June 2010</w:t>
            </w:r>
          </w:p>
        </w:tc>
      </w:tr>
      <w:tr w:rsidR="001E40DC" w:rsidRPr="001E40DC" w:rsidTr="001E40DC">
        <w:trPr>
          <w:trHeight w:val="188"/>
        </w:trPr>
        <w:tc>
          <w:tcPr>
            <w:tcW w:w="2138"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Sheringham</w:t>
            </w:r>
            <w:proofErr w:type="spellEnd"/>
            <w:r w:rsidRPr="001E40DC">
              <w:rPr>
                <w:rFonts w:ascii="Verdana" w:hAnsi="Verdana"/>
                <w:sz w:val="16"/>
                <w:szCs w:val="16"/>
              </w:rPr>
              <w:t xml:space="preserve"> Shoal</w:t>
            </w:r>
            <w:r w:rsidR="00D751F3" w:rsidRPr="001E40DC">
              <w:rPr>
                <w:rStyle w:val="FootnoteReference"/>
                <w:rFonts w:ascii="Verdana" w:hAnsi="Verdana"/>
                <w:sz w:val="16"/>
                <w:szCs w:val="16"/>
              </w:rPr>
              <w:footnoteReference w:id="4"/>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StatoilHydro</w:t>
            </w:r>
            <w:proofErr w:type="spellEnd"/>
            <w:r w:rsidRPr="001E40DC">
              <w:rPr>
                <w:rFonts w:ascii="Verdana" w:hAnsi="Verdana"/>
                <w:sz w:val="16"/>
                <w:szCs w:val="16"/>
              </w:rPr>
              <w:t xml:space="preserve">, </w:t>
            </w:r>
            <w:proofErr w:type="spellStart"/>
            <w:r w:rsidRPr="001E40DC">
              <w:rPr>
                <w:rFonts w:ascii="Verdana" w:hAnsi="Verdana"/>
                <w:sz w:val="16"/>
                <w:szCs w:val="16"/>
              </w:rPr>
              <w:t>Statkraft</w:t>
            </w:r>
            <w:proofErr w:type="spellEnd"/>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£182.1m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April 2011</w:t>
            </w:r>
          </w:p>
        </w:tc>
      </w:tr>
      <w:tr w:rsidR="001E40DC" w:rsidRPr="001E40DC" w:rsidTr="001E40DC">
        <w:trPr>
          <w:trHeight w:val="188"/>
        </w:trPr>
        <w:tc>
          <w:tcPr>
            <w:tcW w:w="2138"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Ormonde</w:t>
            </w:r>
            <w:proofErr w:type="spellEnd"/>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Vattenfall</w:t>
            </w:r>
            <w:proofErr w:type="spellEnd"/>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£101.1m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March 2011</w:t>
            </w:r>
          </w:p>
        </w:tc>
      </w:tr>
      <w:tr w:rsidR="001E40DC" w:rsidRPr="001E40DC" w:rsidTr="001E40DC">
        <w:trPr>
          <w:trHeight w:val="196"/>
        </w:trPr>
        <w:tc>
          <w:tcPr>
            <w:tcW w:w="2138" w:type="dxa"/>
            <w:shd w:val="clear" w:color="auto" w:fill="auto"/>
          </w:tcPr>
          <w:p w:rsidR="005C689A" w:rsidRPr="001E40DC" w:rsidRDefault="005C689A" w:rsidP="00D751F3">
            <w:pPr>
              <w:pStyle w:val="BodyText"/>
              <w:spacing w:before="60" w:after="60"/>
              <w:jc w:val="center"/>
              <w:rPr>
                <w:rFonts w:ascii="Verdana" w:hAnsi="Verdana"/>
                <w:sz w:val="16"/>
                <w:szCs w:val="16"/>
              </w:rPr>
            </w:pPr>
            <w:r w:rsidRPr="001E40DC">
              <w:rPr>
                <w:rFonts w:ascii="Verdana" w:hAnsi="Verdana"/>
                <w:sz w:val="16"/>
                <w:szCs w:val="16"/>
              </w:rPr>
              <w:lastRenderedPageBreak/>
              <w:t xml:space="preserve">Greater </w:t>
            </w:r>
            <w:proofErr w:type="spellStart"/>
            <w:r w:rsidRPr="001E40DC">
              <w:rPr>
                <w:rFonts w:ascii="Verdana" w:hAnsi="Verdana"/>
                <w:sz w:val="16"/>
                <w:szCs w:val="16"/>
              </w:rPr>
              <w:t>Gabbard</w:t>
            </w:r>
            <w:proofErr w:type="spellEnd"/>
            <w:r w:rsidR="00D751F3" w:rsidRPr="001E40DC">
              <w:rPr>
                <w:rStyle w:val="FootnoteReference"/>
                <w:rFonts w:ascii="Verdana" w:hAnsi="Verdana"/>
                <w:sz w:val="16"/>
                <w:szCs w:val="16"/>
              </w:rPr>
              <w:footnoteReference w:id="5"/>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SSE/</w:t>
            </w:r>
            <w:proofErr w:type="spellStart"/>
            <w:r w:rsidRPr="001E40DC">
              <w:rPr>
                <w:rFonts w:ascii="Verdana" w:hAnsi="Verdana"/>
                <w:sz w:val="16"/>
                <w:szCs w:val="16"/>
              </w:rPr>
              <w:t>Airtricity</w:t>
            </w:r>
            <w:proofErr w:type="spellEnd"/>
            <w:r w:rsidRPr="001E40DC">
              <w:rPr>
                <w:rFonts w:ascii="Verdana" w:hAnsi="Verdana"/>
                <w:sz w:val="16"/>
                <w:szCs w:val="16"/>
              </w:rPr>
              <w:t xml:space="preserve">, RWE </w:t>
            </w:r>
            <w:proofErr w:type="spellStart"/>
            <w:r w:rsidRPr="001E40DC">
              <w:rPr>
                <w:rFonts w:ascii="Verdana" w:hAnsi="Verdana"/>
                <w:sz w:val="16"/>
                <w:szCs w:val="16"/>
              </w:rPr>
              <w:t>Innogy</w:t>
            </w:r>
            <w:proofErr w:type="spellEnd"/>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£316.6m</w:t>
            </w:r>
          </w:p>
        </w:tc>
        <w:tc>
          <w:tcPr>
            <w:tcW w:w="1738" w:type="dxa"/>
            <w:shd w:val="clear" w:color="auto" w:fill="auto"/>
          </w:tcPr>
          <w:p w:rsidR="005C689A" w:rsidRPr="001E40DC" w:rsidRDefault="005C689A" w:rsidP="00B45DFD">
            <w:pPr>
              <w:pStyle w:val="BodyText"/>
              <w:spacing w:before="60" w:after="60"/>
              <w:jc w:val="center"/>
              <w:rPr>
                <w:rFonts w:ascii="Verdana" w:hAnsi="Verdana"/>
                <w:sz w:val="16"/>
                <w:szCs w:val="16"/>
              </w:rPr>
            </w:pPr>
            <w:r w:rsidRPr="001E40DC">
              <w:rPr>
                <w:rFonts w:ascii="Verdana" w:hAnsi="Verdana"/>
                <w:sz w:val="16"/>
                <w:szCs w:val="16"/>
              </w:rPr>
              <w:t>Nov 2010</w:t>
            </w:r>
          </w:p>
        </w:tc>
      </w:tr>
      <w:tr w:rsidR="001E40DC" w:rsidRPr="001E40DC" w:rsidTr="001E40DC">
        <w:trPr>
          <w:trHeight w:val="188"/>
        </w:trPr>
        <w:tc>
          <w:tcPr>
            <w:tcW w:w="2138" w:type="dxa"/>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Thanet</w:t>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Vattenfall</w:t>
            </w:r>
            <w:proofErr w:type="spellEnd"/>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£163.1m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June 2010</w:t>
            </w:r>
          </w:p>
        </w:tc>
      </w:tr>
      <w:tr w:rsidR="001E40DC" w:rsidRPr="001E40DC" w:rsidTr="001E40DC">
        <w:trPr>
          <w:trHeight w:val="188"/>
        </w:trPr>
        <w:tc>
          <w:tcPr>
            <w:tcW w:w="2138" w:type="dxa"/>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Walney</w:t>
            </w:r>
            <w:proofErr w:type="spellEnd"/>
            <w:r w:rsidRPr="001E40DC">
              <w:rPr>
                <w:rFonts w:ascii="Verdana" w:hAnsi="Verdana"/>
                <w:sz w:val="16"/>
                <w:szCs w:val="16"/>
              </w:rPr>
              <w:t xml:space="preserve"> 1</w:t>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DONG Energy</w:t>
            </w:r>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£101.8m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Oct 2010</w:t>
            </w:r>
          </w:p>
        </w:tc>
      </w:tr>
      <w:tr w:rsidR="001E40DC" w:rsidRPr="001E40DC" w:rsidTr="001E40DC">
        <w:trPr>
          <w:trHeight w:val="188"/>
        </w:trPr>
        <w:tc>
          <w:tcPr>
            <w:tcW w:w="2138" w:type="dxa"/>
          </w:tcPr>
          <w:p w:rsidR="005C689A" w:rsidRPr="001E40DC" w:rsidRDefault="005C689A" w:rsidP="005C689A">
            <w:pPr>
              <w:pStyle w:val="BodyText"/>
              <w:spacing w:before="60" w:after="60"/>
              <w:jc w:val="center"/>
              <w:rPr>
                <w:rFonts w:ascii="Verdana" w:hAnsi="Verdana"/>
                <w:sz w:val="16"/>
                <w:szCs w:val="16"/>
              </w:rPr>
            </w:pPr>
            <w:proofErr w:type="spellStart"/>
            <w:r w:rsidRPr="001E40DC">
              <w:rPr>
                <w:rFonts w:ascii="Verdana" w:hAnsi="Verdana"/>
                <w:sz w:val="16"/>
                <w:szCs w:val="16"/>
              </w:rPr>
              <w:t>Walney</w:t>
            </w:r>
            <w:proofErr w:type="spellEnd"/>
            <w:r w:rsidRPr="001E40DC">
              <w:rPr>
                <w:rFonts w:ascii="Verdana" w:hAnsi="Verdana"/>
                <w:sz w:val="16"/>
                <w:szCs w:val="16"/>
              </w:rPr>
              <w:t xml:space="preserve"> 2</w:t>
            </w:r>
          </w:p>
        </w:tc>
        <w:tc>
          <w:tcPr>
            <w:tcW w:w="2940"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DONG Energy</w:t>
            </w:r>
          </w:p>
        </w:tc>
        <w:tc>
          <w:tcPr>
            <w:tcW w:w="2138" w:type="dxa"/>
            <w:shd w:val="clear" w:color="auto" w:fill="auto"/>
          </w:tcPr>
          <w:p w:rsidR="005C689A" w:rsidRPr="001E40DC" w:rsidRDefault="005C689A" w:rsidP="005C689A">
            <w:pPr>
              <w:pStyle w:val="BodyText"/>
              <w:spacing w:before="60" w:after="60"/>
              <w:ind w:rightChars="208" w:right="458"/>
              <w:jc w:val="center"/>
              <w:rPr>
                <w:rFonts w:ascii="Verdana" w:hAnsi="Verdana"/>
                <w:sz w:val="16"/>
                <w:szCs w:val="16"/>
              </w:rPr>
            </w:pPr>
            <w:r w:rsidRPr="001E40DC">
              <w:rPr>
                <w:rFonts w:ascii="Verdana" w:hAnsi="Verdana"/>
                <w:sz w:val="16"/>
                <w:szCs w:val="16"/>
              </w:rPr>
              <w:t>£105.0m</w:t>
            </w:r>
          </w:p>
        </w:tc>
        <w:tc>
          <w:tcPr>
            <w:tcW w:w="1738" w:type="dxa"/>
            <w:shd w:val="clear" w:color="auto" w:fill="auto"/>
          </w:tcPr>
          <w:p w:rsidR="005C689A" w:rsidRPr="001E40DC" w:rsidRDefault="005C689A" w:rsidP="005C689A">
            <w:pPr>
              <w:pStyle w:val="BodyText"/>
              <w:spacing w:before="60" w:after="60"/>
              <w:jc w:val="center"/>
              <w:rPr>
                <w:rFonts w:ascii="Verdana" w:hAnsi="Verdana"/>
                <w:sz w:val="16"/>
                <w:szCs w:val="16"/>
              </w:rPr>
            </w:pPr>
            <w:r w:rsidRPr="001E40DC">
              <w:rPr>
                <w:rFonts w:ascii="Verdana" w:hAnsi="Verdana"/>
                <w:sz w:val="16"/>
                <w:szCs w:val="16"/>
              </w:rPr>
              <w:t>Aug 2011</w:t>
            </w:r>
          </w:p>
        </w:tc>
      </w:tr>
      <w:tr w:rsidR="001E40DC" w:rsidRPr="001E40DC" w:rsidTr="001E40DC">
        <w:trPr>
          <w:trHeight w:val="196"/>
        </w:trPr>
        <w:tc>
          <w:tcPr>
            <w:tcW w:w="2138" w:type="dxa"/>
          </w:tcPr>
          <w:p w:rsidR="00E47ED7" w:rsidRPr="001E40DC" w:rsidRDefault="00E47ED7" w:rsidP="005C689A">
            <w:pPr>
              <w:pStyle w:val="BodyText"/>
              <w:spacing w:before="60" w:after="60"/>
              <w:jc w:val="center"/>
              <w:rPr>
                <w:rFonts w:ascii="Verdana" w:hAnsi="Verdana"/>
                <w:sz w:val="16"/>
                <w:szCs w:val="16"/>
              </w:rPr>
            </w:pPr>
          </w:p>
        </w:tc>
        <w:tc>
          <w:tcPr>
            <w:tcW w:w="2940" w:type="dxa"/>
            <w:shd w:val="clear" w:color="auto" w:fill="auto"/>
          </w:tcPr>
          <w:p w:rsidR="00E47ED7" w:rsidRPr="001E40DC" w:rsidRDefault="00E47ED7" w:rsidP="005C689A">
            <w:pPr>
              <w:pStyle w:val="BodyText"/>
              <w:spacing w:before="60" w:after="60"/>
              <w:jc w:val="center"/>
              <w:rPr>
                <w:rFonts w:ascii="Verdana" w:hAnsi="Verdana"/>
                <w:b/>
                <w:sz w:val="16"/>
                <w:szCs w:val="16"/>
              </w:rPr>
            </w:pPr>
            <w:r w:rsidRPr="001E40DC">
              <w:rPr>
                <w:rFonts w:ascii="Verdana" w:hAnsi="Verdana"/>
                <w:b/>
                <w:sz w:val="16"/>
                <w:szCs w:val="16"/>
              </w:rPr>
              <w:t xml:space="preserve">TOTAL </w:t>
            </w:r>
          </w:p>
        </w:tc>
        <w:tc>
          <w:tcPr>
            <w:tcW w:w="2138" w:type="dxa"/>
            <w:shd w:val="clear" w:color="auto" w:fill="auto"/>
          </w:tcPr>
          <w:p w:rsidR="00E47ED7" w:rsidRPr="001E40DC" w:rsidRDefault="00E47ED7" w:rsidP="005C689A">
            <w:pPr>
              <w:pStyle w:val="BodyText"/>
              <w:spacing w:before="60" w:after="60"/>
              <w:ind w:rightChars="208" w:right="458"/>
              <w:jc w:val="center"/>
              <w:rPr>
                <w:rFonts w:ascii="Verdana" w:hAnsi="Verdana"/>
                <w:b/>
                <w:sz w:val="16"/>
                <w:szCs w:val="16"/>
              </w:rPr>
            </w:pPr>
            <w:r w:rsidRPr="001E40DC">
              <w:rPr>
                <w:rFonts w:ascii="Verdana" w:hAnsi="Verdana"/>
                <w:b/>
                <w:sz w:val="16"/>
                <w:szCs w:val="16"/>
              </w:rPr>
              <w:t>£1,111.7m</w:t>
            </w:r>
          </w:p>
        </w:tc>
        <w:tc>
          <w:tcPr>
            <w:tcW w:w="1738" w:type="dxa"/>
            <w:shd w:val="clear" w:color="auto" w:fill="auto"/>
          </w:tcPr>
          <w:p w:rsidR="00E47ED7" w:rsidRPr="001E40DC" w:rsidRDefault="00E47ED7" w:rsidP="005C689A">
            <w:pPr>
              <w:pStyle w:val="BodyText"/>
              <w:spacing w:before="60" w:after="60"/>
              <w:jc w:val="center"/>
              <w:rPr>
                <w:rFonts w:ascii="Verdana" w:hAnsi="Verdana"/>
                <w:b/>
                <w:sz w:val="16"/>
                <w:szCs w:val="16"/>
              </w:rPr>
            </w:pPr>
          </w:p>
        </w:tc>
      </w:tr>
    </w:tbl>
    <w:p w:rsidR="00BC1FAD" w:rsidRDefault="00BC1FAD" w:rsidP="00BC1FAD">
      <w:pPr>
        <w:pStyle w:val="Heading2"/>
        <w:numPr>
          <w:ilvl w:val="0"/>
          <w:numId w:val="0"/>
        </w:numPr>
        <w:tabs>
          <w:tab w:val="clear" w:pos="1559"/>
        </w:tabs>
        <w:ind w:left="709"/>
        <w:rPr>
          <w:rFonts w:ascii="Verdana" w:hAnsi="Verdana"/>
          <w:sz w:val="20"/>
        </w:rPr>
      </w:pPr>
    </w:p>
    <w:p w:rsidR="00EB5C6B" w:rsidRPr="00EB5C6B" w:rsidRDefault="008E7262" w:rsidP="00794CF7">
      <w:pPr>
        <w:pStyle w:val="Heading2"/>
        <w:numPr>
          <w:ilvl w:val="1"/>
          <w:numId w:val="10"/>
        </w:numPr>
        <w:tabs>
          <w:tab w:val="clear" w:pos="1559"/>
        </w:tabs>
        <w:rPr>
          <w:rFonts w:ascii="Verdana" w:hAnsi="Verdana"/>
          <w:sz w:val="20"/>
        </w:rPr>
      </w:pPr>
      <w:r w:rsidRPr="0024157B">
        <w:rPr>
          <w:rFonts w:ascii="Verdana" w:hAnsi="Verdana"/>
          <w:sz w:val="20"/>
        </w:rPr>
        <w:t>Deferred Consideration, Security and Interest</w:t>
      </w:r>
      <w:r w:rsidRPr="0024157B">
        <w:rPr>
          <w:rFonts w:ascii="Verdana" w:hAnsi="Verdana"/>
          <w:bCs/>
          <w:sz w:val="20"/>
        </w:rPr>
        <w:t xml:space="preserve"> </w:t>
      </w:r>
    </w:p>
    <w:p w:rsidR="008E7262" w:rsidRPr="00EB5C6B" w:rsidRDefault="008E7262" w:rsidP="00794CF7">
      <w:pPr>
        <w:pStyle w:val="Heading3"/>
        <w:numPr>
          <w:ilvl w:val="2"/>
          <w:numId w:val="10"/>
        </w:numPr>
        <w:tabs>
          <w:tab w:val="clear" w:pos="1570"/>
          <w:tab w:val="clear" w:pos="2268"/>
          <w:tab w:val="left" w:pos="1560"/>
        </w:tabs>
        <w:rPr>
          <w:rFonts w:ascii="Verdana" w:hAnsi="Verdana"/>
          <w:sz w:val="20"/>
        </w:rPr>
      </w:pPr>
      <w:r w:rsidRPr="00EB5C6B">
        <w:rPr>
          <w:rFonts w:ascii="Verdana" w:hAnsi="Verdana"/>
          <w:sz w:val="20"/>
        </w:rPr>
        <w:t xml:space="preserve">Qualifying Bidders should assume that, for </w:t>
      </w:r>
      <w:r w:rsidR="00EB5C6B">
        <w:rPr>
          <w:rFonts w:ascii="Verdana" w:hAnsi="Verdana"/>
          <w:sz w:val="20"/>
        </w:rPr>
        <w:t xml:space="preserve">Qualifying </w:t>
      </w:r>
      <w:r w:rsidRPr="00EB5C6B">
        <w:rPr>
          <w:rFonts w:ascii="Verdana" w:hAnsi="Verdana"/>
          <w:sz w:val="20"/>
        </w:rPr>
        <w:t>Projects which are commissioned after the “Go Live” date:</w:t>
      </w:r>
    </w:p>
    <w:p w:rsidR="008E7262" w:rsidRDefault="00EB5C6B" w:rsidP="00794CF7">
      <w:pPr>
        <w:pStyle w:val="Heading4"/>
        <w:numPr>
          <w:ilvl w:val="3"/>
          <w:numId w:val="10"/>
        </w:numPr>
        <w:tabs>
          <w:tab w:val="clear" w:pos="2694"/>
          <w:tab w:val="num" w:pos="2268"/>
        </w:tabs>
        <w:ind w:left="2268" w:hanging="708"/>
        <w:rPr>
          <w:rFonts w:ascii="Verdana" w:hAnsi="Verdana"/>
          <w:sz w:val="20"/>
        </w:rPr>
      </w:pPr>
      <w:r>
        <w:rPr>
          <w:rFonts w:ascii="Verdana" w:hAnsi="Verdana"/>
          <w:sz w:val="20"/>
        </w:rPr>
        <w:t xml:space="preserve">For the purpose of providing their Tender Revenue Stream bid, </w:t>
      </w:r>
      <w:r w:rsidR="008E7262">
        <w:rPr>
          <w:rFonts w:ascii="Verdana" w:hAnsi="Verdana"/>
          <w:sz w:val="20"/>
        </w:rPr>
        <w:t>Deferred Consideration shall be equal to 25% of the Estimated Transfer Value</w:t>
      </w:r>
      <w:r w:rsidR="00BC1FAD">
        <w:rPr>
          <w:rFonts w:ascii="Verdana" w:hAnsi="Verdana"/>
          <w:sz w:val="20"/>
        </w:rPr>
        <w:t xml:space="preserve">.  Qualifying Bidders should assume </w:t>
      </w:r>
      <w:r w:rsidR="00197607">
        <w:rPr>
          <w:rFonts w:ascii="Verdana" w:hAnsi="Verdana"/>
          <w:sz w:val="20"/>
        </w:rPr>
        <w:t xml:space="preserve">that </w:t>
      </w:r>
      <w:r w:rsidR="00BC1FAD">
        <w:rPr>
          <w:rFonts w:ascii="Verdana" w:hAnsi="Verdana"/>
          <w:sz w:val="20"/>
        </w:rPr>
        <w:t xml:space="preserve">financing is in place at the date that </w:t>
      </w:r>
      <w:r w:rsidR="00631D6E">
        <w:rPr>
          <w:rFonts w:ascii="Verdana" w:hAnsi="Verdana"/>
          <w:sz w:val="20"/>
        </w:rPr>
        <w:t>the transmission assets are transferred</w:t>
      </w:r>
      <w:r w:rsidR="00363638">
        <w:rPr>
          <w:rFonts w:ascii="Verdana" w:hAnsi="Verdana"/>
          <w:sz w:val="20"/>
        </w:rPr>
        <w:t xml:space="preserve"> for 100% of the Estimated Transfer Value</w:t>
      </w:r>
      <w:r w:rsidR="00631D6E">
        <w:rPr>
          <w:rFonts w:ascii="Verdana" w:hAnsi="Verdana"/>
          <w:sz w:val="20"/>
        </w:rPr>
        <w:t>.</w:t>
      </w:r>
      <w:r w:rsidR="00BC1FAD">
        <w:rPr>
          <w:rFonts w:ascii="Verdana" w:hAnsi="Verdana"/>
          <w:sz w:val="20"/>
        </w:rPr>
        <w:t xml:space="preserve"> </w:t>
      </w:r>
      <w:r w:rsidR="008E7262">
        <w:rPr>
          <w:rFonts w:ascii="Verdana" w:hAnsi="Verdana"/>
          <w:sz w:val="20"/>
        </w:rPr>
        <w:t xml:space="preserve">  </w:t>
      </w:r>
    </w:p>
    <w:p w:rsidR="008E7262" w:rsidRPr="00E46743" w:rsidRDefault="00EB5C6B" w:rsidP="00794CF7">
      <w:pPr>
        <w:pStyle w:val="Heading4"/>
        <w:numPr>
          <w:ilvl w:val="3"/>
          <w:numId w:val="10"/>
        </w:numPr>
        <w:tabs>
          <w:tab w:val="clear" w:pos="2694"/>
          <w:tab w:val="num" w:pos="2268"/>
        </w:tabs>
        <w:ind w:left="2268" w:hanging="708"/>
        <w:rPr>
          <w:rFonts w:ascii="Verdana" w:hAnsi="Verdana"/>
          <w:sz w:val="20"/>
        </w:rPr>
      </w:pPr>
      <w:r>
        <w:rPr>
          <w:rFonts w:ascii="Verdana" w:hAnsi="Verdana"/>
          <w:sz w:val="20"/>
        </w:rPr>
        <w:t>The p</w:t>
      </w:r>
      <w:r w:rsidR="008E7262">
        <w:rPr>
          <w:rFonts w:ascii="Verdana" w:hAnsi="Verdana"/>
          <w:sz w:val="20"/>
        </w:rPr>
        <w:t>rovision for</w:t>
      </w:r>
      <w:r w:rsidR="008E7262" w:rsidRPr="00E46743">
        <w:rPr>
          <w:rFonts w:ascii="Verdana" w:hAnsi="Verdana"/>
          <w:sz w:val="20"/>
        </w:rPr>
        <w:t xml:space="preserve"> security for the “Deferred Consideration” (as defined in the relevant Draft Project SPA) in the form of a Parent Company Guarantee or Letter of Credit for a period of 6 months post transfer;</w:t>
      </w:r>
      <w:r>
        <w:rPr>
          <w:rFonts w:ascii="Verdana" w:hAnsi="Verdana"/>
          <w:sz w:val="20"/>
        </w:rPr>
        <w:t xml:space="preserve"> and</w:t>
      </w:r>
    </w:p>
    <w:p w:rsidR="008E7262" w:rsidRPr="00E46743" w:rsidRDefault="00EB5C6B" w:rsidP="00794CF7">
      <w:pPr>
        <w:pStyle w:val="Heading4"/>
        <w:numPr>
          <w:ilvl w:val="3"/>
          <w:numId w:val="10"/>
        </w:numPr>
        <w:tabs>
          <w:tab w:val="clear" w:pos="2694"/>
          <w:tab w:val="num" w:pos="2268"/>
        </w:tabs>
        <w:ind w:left="2268" w:hanging="708"/>
        <w:rPr>
          <w:rFonts w:ascii="Verdana" w:hAnsi="Verdana"/>
          <w:sz w:val="20"/>
        </w:rPr>
      </w:pPr>
      <w:proofErr w:type="gramStart"/>
      <w:r>
        <w:rPr>
          <w:rFonts w:ascii="Verdana" w:hAnsi="Verdana"/>
          <w:sz w:val="20"/>
        </w:rPr>
        <w:t>The i</w:t>
      </w:r>
      <w:r w:rsidR="008E7262" w:rsidRPr="00E46743">
        <w:rPr>
          <w:rFonts w:ascii="Verdana" w:hAnsi="Verdana"/>
          <w:sz w:val="20"/>
        </w:rPr>
        <w:t>nterest</w:t>
      </w:r>
      <w:r w:rsidR="008E7262">
        <w:rPr>
          <w:rFonts w:ascii="Verdana" w:hAnsi="Verdana"/>
          <w:sz w:val="20"/>
        </w:rPr>
        <w:t xml:space="preserve"> payable</w:t>
      </w:r>
      <w:r w:rsidR="008E7262" w:rsidRPr="00E46743">
        <w:rPr>
          <w:rFonts w:ascii="Verdana" w:hAnsi="Verdana"/>
          <w:sz w:val="20"/>
        </w:rPr>
        <w:t xml:space="preserve"> on the </w:t>
      </w:r>
      <w:r w:rsidR="008E7262">
        <w:rPr>
          <w:rFonts w:ascii="Verdana" w:hAnsi="Verdana"/>
          <w:sz w:val="20"/>
        </w:rPr>
        <w:t xml:space="preserve">amount of </w:t>
      </w:r>
      <w:r w:rsidR="008E7262" w:rsidRPr="00E46743">
        <w:rPr>
          <w:rFonts w:ascii="Verdana" w:hAnsi="Verdana"/>
          <w:sz w:val="20"/>
        </w:rPr>
        <w:t>Deferred Consideration at Barclays Base Rate</w:t>
      </w:r>
      <w:r w:rsidR="008E7262">
        <w:rPr>
          <w:rFonts w:ascii="Verdana" w:hAnsi="Verdana"/>
          <w:sz w:val="20"/>
        </w:rPr>
        <w:t xml:space="preserve"> which has been set out in the </w:t>
      </w:r>
      <w:r w:rsidR="00B45DFD">
        <w:rPr>
          <w:rFonts w:ascii="Verdana" w:hAnsi="Verdana"/>
          <w:sz w:val="20"/>
        </w:rPr>
        <w:t>financial a</w:t>
      </w:r>
      <w:r w:rsidR="008E7262">
        <w:rPr>
          <w:rFonts w:ascii="Verdana" w:hAnsi="Verdana"/>
          <w:sz w:val="20"/>
        </w:rPr>
        <w:t xml:space="preserve">ssumptions </w:t>
      </w:r>
      <w:r w:rsidR="00197607">
        <w:rPr>
          <w:rFonts w:ascii="Verdana" w:hAnsi="Verdana"/>
          <w:sz w:val="20"/>
        </w:rPr>
        <w:t>above</w:t>
      </w:r>
      <w:r w:rsidR="008E7262" w:rsidRPr="00E46743">
        <w:rPr>
          <w:rFonts w:ascii="Verdana" w:hAnsi="Verdana"/>
          <w:sz w:val="20"/>
        </w:rPr>
        <w:t>.</w:t>
      </w:r>
      <w:proofErr w:type="gramEnd"/>
    </w:p>
    <w:p w:rsidR="008E7262" w:rsidRDefault="008E7262" w:rsidP="008E7262">
      <w:pPr>
        <w:pStyle w:val="Heading2"/>
        <w:rPr>
          <w:rFonts w:ascii="Verdana" w:hAnsi="Verdana"/>
          <w:sz w:val="20"/>
        </w:rPr>
      </w:pPr>
      <w:r>
        <w:rPr>
          <w:rFonts w:ascii="Verdana" w:hAnsi="Verdana"/>
          <w:sz w:val="20"/>
        </w:rPr>
        <w:t>Value Added Taxation</w:t>
      </w:r>
      <w:r w:rsidRPr="00E7525D">
        <w:rPr>
          <w:rFonts w:ascii="Verdana" w:hAnsi="Verdana"/>
          <w:sz w:val="20"/>
        </w:rPr>
        <w:t xml:space="preserve"> </w:t>
      </w:r>
    </w:p>
    <w:p w:rsidR="008E7262" w:rsidRPr="00EB5C6B" w:rsidRDefault="00EB5C6B" w:rsidP="008E7262">
      <w:pPr>
        <w:pStyle w:val="Heading3"/>
        <w:rPr>
          <w:rFonts w:ascii="Verdana" w:hAnsi="Verdana"/>
          <w:sz w:val="20"/>
        </w:rPr>
      </w:pPr>
      <w:r>
        <w:rPr>
          <w:rFonts w:ascii="Verdana" w:hAnsi="Verdana"/>
          <w:sz w:val="20"/>
        </w:rPr>
        <w:t xml:space="preserve">All </w:t>
      </w:r>
      <w:r w:rsidR="008E7262" w:rsidRPr="00FA2823">
        <w:rPr>
          <w:rFonts w:ascii="Verdana" w:hAnsi="Verdana"/>
          <w:sz w:val="20"/>
        </w:rPr>
        <w:t xml:space="preserve">Qualifying Bidders are required to assume that the </w:t>
      </w:r>
      <w:r w:rsidR="008E7262">
        <w:rPr>
          <w:rFonts w:ascii="Verdana" w:hAnsi="Verdana"/>
          <w:sz w:val="20"/>
        </w:rPr>
        <w:t xml:space="preserve">transfer value </w:t>
      </w:r>
      <w:r>
        <w:rPr>
          <w:rFonts w:ascii="Verdana" w:hAnsi="Verdana"/>
          <w:sz w:val="20"/>
        </w:rPr>
        <w:t>is VAT f</w:t>
      </w:r>
      <w:r w:rsidR="008E7262" w:rsidRPr="00FA2823">
        <w:rPr>
          <w:rFonts w:ascii="Verdana" w:hAnsi="Verdana"/>
          <w:sz w:val="20"/>
        </w:rPr>
        <w:t>ree</w:t>
      </w:r>
      <w:r>
        <w:rPr>
          <w:rFonts w:ascii="Verdana" w:hAnsi="Verdana"/>
          <w:sz w:val="20"/>
        </w:rPr>
        <w:t>.</w:t>
      </w:r>
      <w:r w:rsidR="001E40DC">
        <w:rPr>
          <w:rFonts w:ascii="Verdana" w:hAnsi="Verdana"/>
          <w:sz w:val="20"/>
        </w:rPr>
        <w:t xml:space="preserve">  Please see HMRC </w:t>
      </w:r>
      <w:r w:rsidR="00363638">
        <w:rPr>
          <w:rFonts w:ascii="Verdana" w:hAnsi="Verdana"/>
          <w:sz w:val="20"/>
        </w:rPr>
        <w:t>letter</w:t>
      </w:r>
      <w:r w:rsidR="001E40DC">
        <w:rPr>
          <w:rFonts w:ascii="Verdana" w:hAnsi="Verdana"/>
          <w:sz w:val="20"/>
        </w:rPr>
        <w:t xml:space="preserve"> referred to at 3.2.4 and issued in the data room.</w:t>
      </w:r>
    </w:p>
    <w:p w:rsidR="008E7262" w:rsidRDefault="008E7262" w:rsidP="008E7262">
      <w:pPr>
        <w:pStyle w:val="Heading2"/>
        <w:rPr>
          <w:rFonts w:ascii="Verdana" w:hAnsi="Verdana"/>
          <w:sz w:val="20"/>
        </w:rPr>
      </w:pPr>
      <w:r>
        <w:rPr>
          <w:rFonts w:ascii="Verdana" w:hAnsi="Verdana"/>
          <w:sz w:val="20"/>
        </w:rPr>
        <w:t>Accounting and Taxation</w:t>
      </w:r>
      <w:r w:rsidRPr="00E7525D">
        <w:rPr>
          <w:rFonts w:ascii="Verdana" w:hAnsi="Verdana"/>
          <w:sz w:val="20"/>
        </w:rPr>
        <w:t xml:space="preserve"> </w:t>
      </w:r>
    </w:p>
    <w:p w:rsidR="008E7262" w:rsidRDefault="008E7262" w:rsidP="008E7262">
      <w:pPr>
        <w:pStyle w:val="Heading3"/>
        <w:rPr>
          <w:rFonts w:ascii="Verdana" w:hAnsi="Verdana"/>
          <w:sz w:val="20"/>
        </w:rPr>
      </w:pPr>
      <w:r w:rsidRPr="000B3108">
        <w:rPr>
          <w:rFonts w:ascii="Verdana" w:hAnsi="Verdana"/>
          <w:sz w:val="20"/>
        </w:rPr>
        <w:t xml:space="preserve">All accounting and tax assumptions made by </w:t>
      </w:r>
      <w:r w:rsidR="00EB5C6B">
        <w:rPr>
          <w:rFonts w:ascii="Verdana" w:hAnsi="Verdana"/>
          <w:sz w:val="20"/>
        </w:rPr>
        <w:t>Qualifying B</w:t>
      </w:r>
      <w:r w:rsidRPr="000B3108">
        <w:rPr>
          <w:rFonts w:ascii="Verdana" w:hAnsi="Verdana"/>
          <w:sz w:val="20"/>
        </w:rPr>
        <w:t xml:space="preserve">idders are at their own risk and each bidder must undertake not to pass on any costs of changing its accounting and / or tax assumptions within </w:t>
      </w:r>
      <w:r w:rsidR="00B633EC">
        <w:rPr>
          <w:rFonts w:ascii="Verdana" w:hAnsi="Verdana"/>
          <w:sz w:val="20"/>
        </w:rPr>
        <w:t>their f</w:t>
      </w:r>
      <w:r w:rsidRPr="000B3108">
        <w:rPr>
          <w:rFonts w:ascii="Verdana" w:hAnsi="Verdana"/>
          <w:sz w:val="20"/>
        </w:rPr>
        <w:t xml:space="preserve">inancial </w:t>
      </w:r>
      <w:r w:rsidR="00B633EC">
        <w:rPr>
          <w:rFonts w:ascii="Verdana" w:hAnsi="Verdana"/>
          <w:sz w:val="20"/>
        </w:rPr>
        <w:t>m</w:t>
      </w:r>
      <w:r w:rsidRPr="000B3108">
        <w:rPr>
          <w:rFonts w:ascii="Verdana" w:hAnsi="Verdana"/>
          <w:sz w:val="20"/>
        </w:rPr>
        <w:t>odel</w:t>
      </w:r>
      <w:r w:rsidR="00B633EC">
        <w:rPr>
          <w:rFonts w:ascii="Verdana" w:hAnsi="Verdana"/>
          <w:sz w:val="20"/>
        </w:rPr>
        <w:t>s</w:t>
      </w:r>
      <w:r w:rsidRPr="000B3108">
        <w:rPr>
          <w:rFonts w:ascii="Verdana" w:hAnsi="Verdana"/>
          <w:sz w:val="20"/>
        </w:rPr>
        <w:t>.</w:t>
      </w:r>
    </w:p>
    <w:p w:rsidR="008E7262" w:rsidRPr="00E46743" w:rsidRDefault="008E7262" w:rsidP="008E7262">
      <w:pPr>
        <w:pStyle w:val="Heading2"/>
        <w:rPr>
          <w:rFonts w:ascii="Verdana" w:hAnsi="Verdana"/>
          <w:sz w:val="20"/>
        </w:rPr>
      </w:pPr>
      <w:r w:rsidRPr="00E46743">
        <w:rPr>
          <w:rFonts w:ascii="Verdana" w:hAnsi="Verdana"/>
          <w:sz w:val="20"/>
        </w:rPr>
        <w:t>EIB Funding</w:t>
      </w:r>
    </w:p>
    <w:p w:rsidR="008E7262" w:rsidRPr="00E46743" w:rsidRDefault="008E7262" w:rsidP="008E7262">
      <w:pPr>
        <w:pStyle w:val="Heading3"/>
        <w:rPr>
          <w:rFonts w:ascii="Verdana" w:hAnsi="Verdana"/>
          <w:sz w:val="20"/>
        </w:rPr>
      </w:pPr>
      <w:r w:rsidRPr="00E46743">
        <w:rPr>
          <w:rFonts w:ascii="Verdana" w:hAnsi="Verdana"/>
          <w:sz w:val="20"/>
        </w:rPr>
        <w:t>The European Investment Bank has confirmed that it is willing to provide debt funding to the offshore transmission regime for six Qualifying Projects</w:t>
      </w:r>
      <w:r>
        <w:rPr>
          <w:rFonts w:ascii="Verdana" w:hAnsi="Verdana"/>
          <w:sz w:val="20"/>
        </w:rPr>
        <w:t xml:space="preserve"> which are Greater </w:t>
      </w:r>
      <w:proofErr w:type="spellStart"/>
      <w:r>
        <w:rPr>
          <w:rFonts w:ascii="Verdana" w:hAnsi="Verdana"/>
          <w:sz w:val="20"/>
        </w:rPr>
        <w:t>Gabbard</w:t>
      </w:r>
      <w:proofErr w:type="spellEnd"/>
      <w:r>
        <w:rPr>
          <w:rFonts w:ascii="Verdana" w:hAnsi="Verdana"/>
          <w:sz w:val="20"/>
        </w:rPr>
        <w:t xml:space="preserve">, Ormond, </w:t>
      </w:r>
      <w:proofErr w:type="spellStart"/>
      <w:r>
        <w:rPr>
          <w:rFonts w:ascii="Verdana" w:hAnsi="Verdana"/>
          <w:sz w:val="20"/>
        </w:rPr>
        <w:t>Sheringham</w:t>
      </w:r>
      <w:proofErr w:type="spellEnd"/>
      <w:r>
        <w:rPr>
          <w:rFonts w:ascii="Verdana" w:hAnsi="Verdana"/>
          <w:sz w:val="20"/>
        </w:rPr>
        <w:t xml:space="preserve"> Shoal, Thanet and </w:t>
      </w:r>
      <w:proofErr w:type="spellStart"/>
      <w:r>
        <w:rPr>
          <w:rFonts w:ascii="Verdana" w:hAnsi="Verdana"/>
          <w:sz w:val="20"/>
        </w:rPr>
        <w:t>Walney</w:t>
      </w:r>
      <w:proofErr w:type="spellEnd"/>
      <w:r>
        <w:rPr>
          <w:rFonts w:ascii="Verdana" w:hAnsi="Verdana"/>
          <w:sz w:val="20"/>
        </w:rPr>
        <w:t xml:space="preserve"> I and </w:t>
      </w:r>
      <w:proofErr w:type="spellStart"/>
      <w:r>
        <w:rPr>
          <w:rFonts w:ascii="Verdana" w:hAnsi="Verdana"/>
          <w:sz w:val="20"/>
        </w:rPr>
        <w:t>Walney</w:t>
      </w:r>
      <w:proofErr w:type="spellEnd"/>
      <w:r>
        <w:rPr>
          <w:rFonts w:ascii="Verdana" w:hAnsi="Verdana"/>
          <w:sz w:val="20"/>
        </w:rPr>
        <w:t xml:space="preserve"> II</w:t>
      </w:r>
      <w:r w:rsidRPr="00E46743">
        <w:rPr>
          <w:rFonts w:ascii="Verdana" w:hAnsi="Verdana"/>
          <w:sz w:val="20"/>
        </w:rPr>
        <w:t>. </w:t>
      </w:r>
      <w:r>
        <w:rPr>
          <w:rFonts w:ascii="Verdana" w:hAnsi="Verdana"/>
          <w:sz w:val="20"/>
        </w:rPr>
        <w:t xml:space="preserve"> </w:t>
      </w:r>
      <w:r w:rsidRPr="00E46743">
        <w:rPr>
          <w:rFonts w:ascii="Verdana" w:hAnsi="Verdana"/>
          <w:sz w:val="20"/>
        </w:rPr>
        <w:t xml:space="preserve">Qualifying Bidders are invited to include this source of debt funding in their financing proposal for </w:t>
      </w:r>
      <w:r>
        <w:rPr>
          <w:rFonts w:ascii="Verdana" w:hAnsi="Verdana"/>
          <w:sz w:val="20"/>
        </w:rPr>
        <w:t>these projects</w:t>
      </w:r>
      <w:r w:rsidRPr="00E46743">
        <w:rPr>
          <w:rFonts w:ascii="Verdana" w:hAnsi="Verdana"/>
          <w:sz w:val="20"/>
        </w:rPr>
        <w:t xml:space="preserve">.  Where a Qualifying Bidder does so, it is required to indicate this in its ITT Submission and provide details supported by any outline terms issued to it by EIB in its </w:t>
      </w:r>
      <w:r w:rsidR="00B633EC">
        <w:rPr>
          <w:rFonts w:ascii="Verdana" w:hAnsi="Verdana"/>
          <w:sz w:val="20"/>
        </w:rPr>
        <w:t>b</w:t>
      </w:r>
      <w:r w:rsidRPr="00E46743">
        <w:rPr>
          <w:rFonts w:ascii="Verdana" w:hAnsi="Verdana"/>
          <w:sz w:val="20"/>
        </w:rPr>
        <w:t xml:space="preserve">ase </w:t>
      </w:r>
      <w:r w:rsidR="00B633EC">
        <w:rPr>
          <w:rFonts w:ascii="Verdana" w:hAnsi="Verdana"/>
          <w:sz w:val="20"/>
        </w:rPr>
        <w:t>c</w:t>
      </w:r>
      <w:r w:rsidRPr="00E46743">
        <w:rPr>
          <w:rFonts w:ascii="Verdana" w:hAnsi="Verdana"/>
          <w:sz w:val="20"/>
        </w:rPr>
        <w:t>ase financial model.</w:t>
      </w:r>
    </w:p>
    <w:p w:rsidR="008E7262" w:rsidRPr="000B3108" w:rsidRDefault="008E7262" w:rsidP="008E7262">
      <w:pPr>
        <w:pStyle w:val="Heading3"/>
        <w:rPr>
          <w:rFonts w:ascii="Verdana" w:hAnsi="Verdana"/>
          <w:sz w:val="20"/>
        </w:rPr>
      </w:pPr>
      <w:r w:rsidRPr="00467FE0">
        <w:rPr>
          <w:rFonts w:ascii="Verdana" w:hAnsi="Verdana"/>
          <w:sz w:val="20"/>
        </w:rPr>
        <w:lastRenderedPageBreak/>
        <w:t xml:space="preserve">Qualifying Bidders should engage directly with EIB during the ITT </w:t>
      </w:r>
      <w:r w:rsidR="00B633EC">
        <w:rPr>
          <w:rFonts w:ascii="Verdana" w:hAnsi="Verdana"/>
          <w:sz w:val="20"/>
        </w:rPr>
        <w:t>S</w:t>
      </w:r>
      <w:r w:rsidRPr="00467FE0">
        <w:rPr>
          <w:rFonts w:ascii="Verdana" w:hAnsi="Verdana"/>
          <w:sz w:val="20"/>
        </w:rPr>
        <w:t xml:space="preserve">tage and obtain outline terms from EIB on a case by case basis.  </w:t>
      </w:r>
      <w:r w:rsidRPr="00467FE0">
        <w:rPr>
          <w:rFonts w:ascii="Verdana" w:hAnsi="Verdana"/>
          <w:sz w:val="20"/>
        </w:rPr>
        <w:br/>
        <w:t xml:space="preserve">Qualifying Bidders should note that EIB will not provide credit approved terms until the appointment of Preferred Bidder has been announced.  </w:t>
      </w:r>
      <w:r>
        <w:rPr>
          <w:rFonts w:ascii="Verdana" w:hAnsi="Verdana"/>
          <w:sz w:val="20"/>
        </w:rPr>
        <w:t xml:space="preserve">However, </w:t>
      </w:r>
      <w:r w:rsidRPr="00467FE0">
        <w:rPr>
          <w:rFonts w:ascii="Verdana" w:hAnsi="Verdana"/>
          <w:sz w:val="20"/>
        </w:rPr>
        <w:t xml:space="preserve">Ofgem requires credit approval for all other sources of finance to be included in the proposed financing structure </w:t>
      </w:r>
      <w:r>
        <w:rPr>
          <w:rFonts w:ascii="Verdana" w:hAnsi="Verdana"/>
          <w:sz w:val="20"/>
        </w:rPr>
        <w:t>as set out in</w:t>
      </w:r>
      <w:r w:rsidR="00197607">
        <w:rPr>
          <w:rFonts w:ascii="Verdana" w:hAnsi="Verdana"/>
          <w:sz w:val="20"/>
        </w:rPr>
        <w:t xml:space="preserve"> the Qualifying Bidder’s ITT Submission</w:t>
      </w:r>
      <w:r>
        <w:rPr>
          <w:rFonts w:ascii="Verdana" w:hAnsi="Verdana"/>
          <w:sz w:val="20"/>
        </w:rPr>
        <w:t>. Ofgem understand</w:t>
      </w:r>
      <w:r w:rsidRPr="00467FE0">
        <w:rPr>
          <w:rFonts w:ascii="Verdana" w:hAnsi="Verdana"/>
          <w:sz w:val="20"/>
        </w:rPr>
        <w:t xml:space="preserve"> that the</w:t>
      </w:r>
      <w:r>
        <w:rPr>
          <w:rFonts w:ascii="Verdana" w:hAnsi="Verdana"/>
          <w:sz w:val="20"/>
        </w:rPr>
        <w:t xml:space="preserve"> debt</w:t>
      </w:r>
      <w:r w:rsidRPr="00467FE0">
        <w:rPr>
          <w:rFonts w:ascii="Verdana" w:hAnsi="Verdana"/>
          <w:sz w:val="20"/>
        </w:rPr>
        <w:t xml:space="preserve"> approvals will be subject to EIB involvement at the next stage.  Ofgem encourage</w:t>
      </w:r>
      <w:r w:rsidR="00402BA6">
        <w:rPr>
          <w:rFonts w:ascii="Verdana" w:hAnsi="Verdana"/>
          <w:sz w:val="20"/>
        </w:rPr>
        <w:t>s</w:t>
      </w:r>
      <w:r w:rsidRPr="00467FE0">
        <w:rPr>
          <w:rFonts w:ascii="Verdana" w:hAnsi="Verdana"/>
          <w:sz w:val="20"/>
        </w:rPr>
        <w:t xml:space="preserve"> Qualifying Bidders to </w:t>
      </w:r>
      <w:r w:rsidR="00363638">
        <w:rPr>
          <w:rFonts w:ascii="Verdana" w:hAnsi="Verdana"/>
          <w:sz w:val="20"/>
        </w:rPr>
        <w:t>consider</w:t>
      </w:r>
      <w:r w:rsidRPr="00467FE0">
        <w:rPr>
          <w:rFonts w:ascii="Verdana" w:hAnsi="Verdana"/>
          <w:sz w:val="20"/>
        </w:rPr>
        <w:t xml:space="preserve"> EIB funding for those projects which have been identified as eligible </w:t>
      </w:r>
      <w:r>
        <w:rPr>
          <w:rFonts w:ascii="Verdana" w:hAnsi="Verdana"/>
          <w:sz w:val="20"/>
        </w:rPr>
        <w:t>where this will enable a lower tender revenue stream to be bid.</w:t>
      </w:r>
      <w:r w:rsidRPr="00467FE0">
        <w:rPr>
          <w:rFonts w:ascii="Verdana" w:hAnsi="Verdana"/>
          <w:sz w:val="20"/>
        </w:rPr>
        <w:t xml:space="preserve"> </w:t>
      </w:r>
      <w:r>
        <w:rPr>
          <w:rFonts w:ascii="Verdana" w:hAnsi="Verdana"/>
          <w:sz w:val="20"/>
        </w:rPr>
        <w:t>T</w:t>
      </w:r>
      <w:r w:rsidRPr="00467FE0">
        <w:rPr>
          <w:rFonts w:ascii="Verdana" w:hAnsi="Verdana"/>
          <w:sz w:val="20"/>
        </w:rPr>
        <w:t xml:space="preserve">he outline terms obtained from EIB should be adopted in their financial models together with the other sources of funding being utilised. </w:t>
      </w:r>
    </w:p>
    <w:p w:rsidR="009F77A1" w:rsidRDefault="008E5C5D" w:rsidP="009F77A1">
      <w:pPr>
        <w:pStyle w:val="Heading1"/>
        <w:rPr>
          <w:rFonts w:ascii="Verdana" w:hAnsi="Verdana"/>
          <w:szCs w:val="22"/>
        </w:rPr>
      </w:pPr>
      <w:bookmarkStart w:id="57" w:name="_Toc249178466"/>
      <w:r w:rsidRPr="00D32F47">
        <w:rPr>
          <w:rFonts w:ascii="Verdana" w:hAnsi="Verdana"/>
          <w:szCs w:val="22"/>
        </w:rPr>
        <w:t xml:space="preserve">Evaluation </w:t>
      </w:r>
      <w:r w:rsidR="00E11FA1">
        <w:rPr>
          <w:rFonts w:ascii="Verdana" w:hAnsi="Verdana"/>
          <w:szCs w:val="22"/>
        </w:rPr>
        <w:t>OF ITT SUBMISSIONs</w:t>
      </w:r>
      <w:bookmarkEnd w:id="57"/>
    </w:p>
    <w:p w:rsidR="00057EFA" w:rsidRDefault="00057EFA" w:rsidP="003B5FB7">
      <w:pPr>
        <w:pStyle w:val="Heading2"/>
        <w:rPr>
          <w:rFonts w:ascii="Verdana" w:hAnsi="Verdana"/>
          <w:sz w:val="20"/>
        </w:rPr>
      </w:pPr>
      <w:r w:rsidRPr="007740F0">
        <w:rPr>
          <w:rFonts w:ascii="Verdana" w:hAnsi="Verdana"/>
          <w:sz w:val="20"/>
        </w:rPr>
        <w:t>Introduction</w:t>
      </w:r>
    </w:p>
    <w:p w:rsidR="00D70665" w:rsidRPr="00D70665" w:rsidRDefault="00821E0C" w:rsidP="00D70665">
      <w:pPr>
        <w:pStyle w:val="Heading3"/>
        <w:rPr>
          <w:rFonts w:ascii="Verdana" w:hAnsi="Verdana"/>
          <w:sz w:val="20"/>
        </w:rPr>
      </w:pPr>
      <w:r>
        <w:rPr>
          <w:rFonts w:ascii="Verdana" w:hAnsi="Verdana"/>
          <w:sz w:val="20"/>
        </w:rPr>
        <w:t>This section explains how Ofgem will evaluate the detailed ITT Submissions provided by Qualifying Bidders for each Qualifying Project</w:t>
      </w:r>
      <w:r w:rsidR="00FC27F6">
        <w:rPr>
          <w:rFonts w:ascii="Verdana" w:hAnsi="Verdana"/>
          <w:sz w:val="20"/>
        </w:rPr>
        <w:t xml:space="preserve"> for which </w:t>
      </w:r>
      <w:r>
        <w:rPr>
          <w:rFonts w:ascii="Verdana" w:hAnsi="Verdana"/>
          <w:sz w:val="20"/>
        </w:rPr>
        <w:t xml:space="preserve">they </w:t>
      </w:r>
      <w:r w:rsidR="00FC27F6">
        <w:rPr>
          <w:rFonts w:ascii="Verdana" w:hAnsi="Verdana"/>
          <w:sz w:val="20"/>
        </w:rPr>
        <w:t xml:space="preserve">have bid.   It also sets out those conditions precedent that Ofgem considers will be the only outstanding </w:t>
      </w:r>
      <w:r w:rsidR="00D74666">
        <w:rPr>
          <w:rFonts w:ascii="Verdana" w:hAnsi="Verdana"/>
          <w:sz w:val="20"/>
        </w:rPr>
        <w:t>issues that the Preferred Bidde</w:t>
      </w:r>
      <w:r w:rsidR="00FC27F6">
        <w:rPr>
          <w:rFonts w:ascii="Verdana" w:hAnsi="Verdana"/>
          <w:sz w:val="20"/>
        </w:rPr>
        <w:t>r</w:t>
      </w:r>
      <w:r w:rsidR="00D74666">
        <w:rPr>
          <w:rFonts w:ascii="Verdana" w:hAnsi="Verdana"/>
          <w:sz w:val="20"/>
        </w:rPr>
        <w:t>s</w:t>
      </w:r>
      <w:r w:rsidR="00FC27F6">
        <w:rPr>
          <w:rFonts w:ascii="Verdana" w:hAnsi="Verdana"/>
          <w:sz w:val="20"/>
        </w:rPr>
        <w:t xml:space="preserve"> would need to satisfy prior to the grant of the Offshore Electricity Transmission Licence. </w:t>
      </w:r>
      <w:r w:rsidR="00D70665" w:rsidRPr="00D70665">
        <w:rPr>
          <w:rFonts w:ascii="Verdana" w:hAnsi="Verdana"/>
          <w:sz w:val="20"/>
        </w:rPr>
        <w:tab/>
      </w:r>
    </w:p>
    <w:p w:rsidR="00D70665" w:rsidRPr="006B60C0" w:rsidRDefault="00D70665" w:rsidP="00D70665">
      <w:pPr>
        <w:pStyle w:val="Heading2"/>
        <w:rPr>
          <w:rFonts w:ascii="Verdana" w:hAnsi="Verdana"/>
          <w:sz w:val="20"/>
        </w:rPr>
      </w:pPr>
      <w:r w:rsidRPr="006B60C0">
        <w:rPr>
          <w:rFonts w:ascii="Verdana" w:hAnsi="Verdana"/>
          <w:sz w:val="20"/>
        </w:rPr>
        <w:t>Conditions Precedent</w:t>
      </w:r>
    </w:p>
    <w:p w:rsidR="00D70665" w:rsidRPr="006B60C0" w:rsidRDefault="00D70665" w:rsidP="00D70665">
      <w:pPr>
        <w:pStyle w:val="Heading3"/>
        <w:rPr>
          <w:rFonts w:ascii="Verdana" w:hAnsi="Verdana"/>
          <w:sz w:val="20"/>
        </w:rPr>
      </w:pPr>
      <w:r w:rsidRPr="006B60C0">
        <w:rPr>
          <w:rFonts w:ascii="Verdana" w:hAnsi="Verdana"/>
          <w:sz w:val="20"/>
        </w:rPr>
        <w:t>Qualifying Bidder</w:t>
      </w:r>
      <w:r>
        <w:rPr>
          <w:rFonts w:ascii="Verdana" w:hAnsi="Verdana"/>
          <w:sz w:val="20"/>
        </w:rPr>
        <w:t xml:space="preserve">s are required </w:t>
      </w:r>
      <w:r w:rsidR="00D751F3">
        <w:rPr>
          <w:rFonts w:ascii="Verdana" w:hAnsi="Verdana"/>
          <w:sz w:val="20"/>
        </w:rPr>
        <w:t xml:space="preserve">to provide a firm bid in their ITT Submissions that will be subject only to the following </w:t>
      </w:r>
      <w:r w:rsidRPr="006B60C0">
        <w:rPr>
          <w:rFonts w:ascii="Verdana" w:hAnsi="Verdana"/>
          <w:sz w:val="20"/>
        </w:rPr>
        <w:t>conditions</w:t>
      </w:r>
      <w:r w:rsidR="008A2CAE">
        <w:rPr>
          <w:rFonts w:ascii="Verdana" w:hAnsi="Verdana"/>
          <w:sz w:val="20"/>
        </w:rPr>
        <w:t xml:space="preserve"> </w:t>
      </w:r>
      <w:r w:rsidR="00FC27F6">
        <w:rPr>
          <w:rFonts w:ascii="Verdana" w:hAnsi="Verdana"/>
          <w:sz w:val="20"/>
        </w:rPr>
        <w:t>precedent</w:t>
      </w:r>
      <w:r w:rsidRPr="006B60C0">
        <w:rPr>
          <w:rFonts w:ascii="Verdana" w:hAnsi="Verdana"/>
          <w:sz w:val="20"/>
        </w:rPr>
        <w:t>:</w:t>
      </w:r>
    </w:p>
    <w:p w:rsidR="00D70665" w:rsidRPr="0010318D" w:rsidRDefault="00D70665" w:rsidP="00D70665">
      <w:pPr>
        <w:pStyle w:val="Heading4"/>
        <w:tabs>
          <w:tab w:val="num" w:pos="2268"/>
        </w:tabs>
        <w:ind w:left="2268" w:hanging="708"/>
        <w:rPr>
          <w:rFonts w:ascii="Verdana" w:hAnsi="Verdana"/>
          <w:sz w:val="20"/>
        </w:rPr>
      </w:pPr>
      <w:r w:rsidRPr="0010318D">
        <w:rPr>
          <w:rFonts w:ascii="Verdana" w:hAnsi="Verdana"/>
          <w:sz w:val="20"/>
        </w:rPr>
        <w:t>To execute the S</w:t>
      </w:r>
      <w:r>
        <w:rPr>
          <w:rFonts w:ascii="Verdana" w:hAnsi="Verdana"/>
          <w:sz w:val="20"/>
        </w:rPr>
        <w:t xml:space="preserve">ale and </w:t>
      </w:r>
      <w:r w:rsidRPr="0010318D">
        <w:rPr>
          <w:rFonts w:ascii="Verdana" w:hAnsi="Verdana"/>
          <w:sz w:val="20"/>
        </w:rPr>
        <w:t>P</w:t>
      </w:r>
      <w:r>
        <w:rPr>
          <w:rFonts w:ascii="Verdana" w:hAnsi="Verdana"/>
          <w:sz w:val="20"/>
        </w:rPr>
        <w:t xml:space="preserve">urchase </w:t>
      </w:r>
      <w:r w:rsidRPr="0010318D">
        <w:rPr>
          <w:rFonts w:ascii="Verdana" w:hAnsi="Verdana"/>
          <w:sz w:val="20"/>
        </w:rPr>
        <w:t>A</w:t>
      </w:r>
      <w:r>
        <w:rPr>
          <w:rFonts w:ascii="Verdana" w:hAnsi="Verdana"/>
          <w:sz w:val="20"/>
        </w:rPr>
        <w:t>greement</w:t>
      </w:r>
      <w:r w:rsidRPr="0010318D">
        <w:rPr>
          <w:rFonts w:ascii="Verdana" w:hAnsi="Verdana"/>
          <w:sz w:val="20"/>
        </w:rPr>
        <w:t xml:space="preserve"> </w:t>
      </w:r>
      <w:r>
        <w:rPr>
          <w:rFonts w:ascii="Verdana" w:hAnsi="Verdana"/>
          <w:sz w:val="20"/>
        </w:rPr>
        <w:t xml:space="preserve">(and all ancillary agreements required as conditions or completion deliverables under the </w:t>
      </w:r>
      <w:r w:rsidRPr="0010318D">
        <w:rPr>
          <w:rFonts w:ascii="Verdana" w:hAnsi="Verdana"/>
          <w:sz w:val="20"/>
        </w:rPr>
        <w:t>S</w:t>
      </w:r>
      <w:r>
        <w:rPr>
          <w:rFonts w:ascii="Verdana" w:hAnsi="Verdana"/>
          <w:sz w:val="20"/>
        </w:rPr>
        <w:t xml:space="preserve">ale and </w:t>
      </w:r>
      <w:r w:rsidRPr="0010318D">
        <w:rPr>
          <w:rFonts w:ascii="Verdana" w:hAnsi="Verdana"/>
          <w:sz w:val="20"/>
        </w:rPr>
        <w:t>P</w:t>
      </w:r>
      <w:r>
        <w:rPr>
          <w:rFonts w:ascii="Verdana" w:hAnsi="Verdana"/>
          <w:sz w:val="20"/>
        </w:rPr>
        <w:t xml:space="preserve">urchase </w:t>
      </w:r>
      <w:r w:rsidRPr="0010318D">
        <w:rPr>
          <w:rFonts w:ascii="Verdana" w:hAnsi="Verdana"/>
          <w:sz w:val="20"/>
        </w:rPr>
        <w:t>A</w:t>
      </w:r>
      <w:r>
        <w:rPr>
          <w:rFonts w:ascii="Verdana" w:hAnsi="Verdana"/>
          <w:sz w:val="20"/>
        </w:rPr>
        <w:t>greement) w</w:t>
      </w:r>
      <w:r w:rsidRPr="0010318D">
        <w:rPr>
          <w:rFonts w:ascii="Verdana" w:hAnsi="Verdana"/>
          <w:sz w:val="20"/>
        </w:rPr>
        <w:t>ithin a specific timescale</w:t>
      </w:r>
      <w:r>
        <w:rPr>
          <w:rFonts w:ascii="Verdana" w:hAnsi="Verdana"/>
          <w:sz w:val="20"/>
        </w:rPr>
        <w:t>;</w:t>
      </w:r>
    </w:p>
    <w:p w:rsidR="00D70665" w:rsidRPr="0010318D" w:rsidRDefault="00D70665" w:rsidP="00D70665">
      <w:pPr>
        <w:pStyle w:val="Heading4"/>
        <w:tabs>
          <w:tab w:val="num" w:pos="2268"/>
        </w:tabs>
        <w:ind w:left="2268" w:hanging="708"/>
        <w:rPr>
          <w:rFonts w:ascii="Verdana" w:hAnsi="Verdana"/>
          <w:sz w:val="20"/>
        </w:rPr>
      </w:pPr>
      <w:r w:rsidRPr="0010318D">
        <w:rPr>
          <w:rFonts w:ascii="Verdana" w:hAnsi="Verdana"/>
          <w:sz w:val="20"/>
        </w:rPr>
        <w:t xml:space="preserve">To agree, within a specific timescale, to the grant of the Offshore </w:t>
      </w:r>
      <w:r>
        <w:rPr>
          <w:rFonts w:ascii="Verdana" w:hAnsi="Verdana"/>
          <w:sz w:val="20"/>
        </w:rPr>
        <w:t xml:space="preserve">Electricity </w:t>
      </w:r>
      <w:r w:rsidRPr="0010318D">
        <w:rPr>
          <w:rFonts w:ascii="Verdana" w:hAnsi="Verdana"/>
          <w:sz w:val="20"/>
        </w:rPr>
        <w:t>Transmission Licence from Ofgem;</w:t>
      </w:r>
    </w:p>
    <w:p w:rsidR="00D70665" w:rsidRPr="0010318D" w:rsidRDefault="00D70665" w:rsidP="00D70665">
      <w:pPr>
        <w:pStyle w:val="Heading4"/>
        <w:ind w:left="2268" w:hanging="708"/>
        <w:rPr>
          <w:rFonts w:ascii="Verdana" w:hAnsi="Verdana"/>
          <w:sz w:val="20"/>
        </w:rPr>
      </w:pPr>
      <w:r w:rsidRPr="0010318D">
        <w:rPr>
          <w:rFonts w:ascii="Verdana" w:hAnsi="Verdana"/>
          <w:sz w:val="20"/>
        </w:rPr>
        <w:t xml:space="preserve">To accede to relevant industry codes, </w:t>
      </w:r>
      <w:r>
        <w:rPr>
          <w:rFonts w:ascii="Verdana" w:hAnsi="Verdana"/>
          <w:sz w:val="20"/>
        </w:rPr>
        <w:t>and any necessary interface agreements</w:t>
      </w:r>
      <w:r w:rsidR="00D751F3">
        <w:rPr>
          <w:rFonts w:ascii="Verdana" w:hAnsi="Verdana"/>
          <w:sz w:val="20"/>
        </w:rPr>
        <w:t xml:space="preserve">, </w:t>
      </w:r>
      <w:r>
        <w:rPr>
          <w:rFonts w:ascii="Verdana" w:hAnsi="Verdana"/>
          <w:sz w:val="20"/>
        </w:rPr>
        <w:t xml:space="preserve">where applicable, </w:t>
      </w:r>
      <w:r w:rsidRPr="0010318D">
        <w:rPr>
          <w:rFonts w:ascii="Verdana" w:hAnsi="Verdana"/>
          <w:sz w:val="20"/>
        </w:rPr>
        <w:t>within a specific timescale;</w:t>
      </w:r>
      <w:r>
        <w:rPr>
          <w:rFonts w:ascii="Verdana" w:hAnsi="Verdana"/>
          <w:sz w:val="20"/>
        </w:rPr>
        <w:t xml:space="preserve"> and</w:t>
      </w:r>
    </w:p>
    <w:p w:rsidR="00D70665" w:rsidRPr="0010318D" w:rsidRDefault="00D70665" w:rsidP="00D70665">
      <w:pPr>
        <w:pStyle w:val="Heading4"/>
        <w:tabs>
          <w:tab w:val="num" w:pos="2268"/>
        </w:tabs>
        <w:ind w:left="2268" w:hanging="708"/>
        <w:rPr>
          <w:rFonts w:ascii="Verdana" w:hAnsi="Verdana"/>
          <w:sz w:val="20"/>
        </w:rPr>
      </w:pPr>
      <w:r w:rsidRPr="0010318D">
        <w:rPr>
          <w:rFonts w:ascii="Verdana" w:hAnsi="Verdana"/>
          <w:sz w:val="20"/>
        </w:rPr>
        <w:t>To execute defined project contracts or other documentation within a specific timescale, including</w:t>
      </w:r>
      <w:r>
        <w:rPr>
          <w:rFonts w:ascii="Verdana" w:hAnsi="Verdana"/>
          <w:sz w:val="20"/>
        </w:rPr>
        <w:t>:</w:t>
      </w:r>
    </w:p>
    <w:p w:rsidR="00D70665" w:rsidRPr="0010318D" w:rsidRDefault="00D70665" w:rsidP="00794CF7">
      <w:pPr>
        <w:pStyle w:val="Heading4"/>
        <w:numPr>
          <w:ilvl w:val="0"/>
          <w:numId w:val="12"/>
        </w:numPr>
        <w:ind w:left="2977" w:hanging="709"/>
        <w:rPr>
          <w:rFonts w:ascii="Verdana" w:hAnsi="Verdana"/>
          <w:sz w:val="20"/>
        </w:rPr>
      </w:pPr>
      <w:r w:rsidRPr="0010318D">
        <w:rPr>
          <w:rFonts w:ascii="Verdana" w:hAnsi="Verdana"/>
          <w:sz w:val="20"/>
        </w:rPr>
        <w:t>Completion of relevant financing documents and confirmatory due diligence</w:t>
      </w:r>
      <w:r>
        <w:rPr>
          <w:rFonts w:ascii="Verdana" w:hAnsi="Verdana"/>
          <w:sz w:val="20"/>
        </w:rPr>
        <w:t>,</w:t>
      </w:r>
    </w:p>
    <w:p w:rsidR="00D70665" w:rsidRPr="0010318D" w:rsidRDefault="00D70665" w:rsidP="00794CF7">
      <w:pPr>
        <w:pStyle w:val="Heading4"/>
        <w:numPr>
          <w:ilvl w:val="0"/>
          <w:numId w:val="12"/>
        </w:numPr>
        <w:ind w:left="2977" w:hanging="709"/>
        <w:rPr>
          <w:rFonts w:ascii="Verdana" w:hAnsi="Verdana"/>
          <w:sz w:val="20"/>
        </w:rPr>
      </w:pPr>
      <w:r>
        <w:rPr>
          <w:rFonts w:ascii="Verdana" w:hAnsi="Verdana"/>
          <w:sz w:val="20"/>
        </w:rPr>
        <w:t>Execution of an O&amp;M agreement and</w:t>
      </w:r>
      <w:r w:rsidR="00402BA6">
        <w:rPr>
          <w:rFonts w:ascii="Verdana" w:hAnsi="Verdana"/>
          <w:sz w:val="20"/>
        </w:rPr>
        <w:t>/or</w:t>
      </w:r>
      <w:r w:rsidRPr="0010318D">
        <w:rPr>
          <w:rFonts w:ascii="Verdana" w:hAnsi="Verdana"/>
          <w:sz w:val="20"/>
        </w:rPr>
        <w:t xml:space="preserve"> re</w:t>
      </w:r>
      <w:r>
        <w:rPr>
          <w:rFonts w:ascii="Verdana" w:hAnsi="Verdana"/>
          <w:sz w:val="20"/>
        </w:rPr>
        <w:t>levant sub-contracts, and</w:t>
      </w:r>
    </w:p>
    <w:p w:rsidR="00D70665" w:rsidRDefault="00D70665" w:rsidP="00794CF7">
      <w:pPr>
        <w:pStyle w:val="Heading4"/>
        <w:numPr>
          <w:ilvl w:val="0"/>
          <w:numId w:val="12"/>
        </w:numPr>
        <w:ind w:firstLine="338"/>
        <w:rPr>
          <w:rFonts w:ascii="Verdana" w:hAnsi="Verdana"/>
          <w:sz w:val="20"/>
        </w:rPr>
      </w:pPr>
      <w:proofErr w:type="gramStart"/>
      <w:r w:rsidRPr="0010318D">
        <w:rPr>
          <w:rFonts w:ascii="Verdana" w:hAnsi="Verdana"/>
          <w:sz w:val="20"/>
        </w:rPr>
        <w:t>Establishment of the SPV (where required)</w:t>
      </w:r>
      <w:r w:rsidR="00B633EC">
        <w:rPr>
          <w:rFonts w:ascii="Verdana" w:hAnsi="Verdana"/>
          <w:sz w:val="20"/>
        </w:rPr>
        <w:t>.</w:t>
      </w:r>
      <w:proofErr w:type="gramEnd"/>
      <w:r w:rsidRPr="0010318D">
        <w:rPr>
          <w:rFonts w:ascii="Verdana" w:hAnsi="Verdana"/>
          <w:sz w:val="20"/>
        </w:rPr>
        <w:t xml:space="preserve"> </w:t>
      </w:r>
    </w:p>
    <w:p w:rsidR="005C335D" w:rsidRDefault="005C335D" w:rsidP="005C335D">
      <w:pPr>
        <w:pStyle w:val="BodyText"/>
      </w:pPr>
    </w:p>
    <w:p w:rsidR="005C335D" w:rsidRDefault="005C335D" w:rsidP="005C335D">
      <w:pPr>
        <w:pStyle w:val="BodyText"/>
        <w:ind w:left="1559"/>
        <w:rPr>
          <w:rFonts w:ascii="Verdana" w:hAnsi="Verdana"/>
          <w:sz w:val="20"/>
        </w:rPr>
      </w:pPr>
      <w:r>
        <w:rPr>
          <w:rFonts w:ascii="Verdana" w:hAnsi="Verdana"/>
          <w:sz w:val="20"/>
        </w:rPr>
        <w:t>For the avoidance of doubt the Conditions Precedent above must be completed to the timescales set out in the Guidance Note to Asset Transfer.</w:t>
      </w:r>
    </w:p>
    <w:p w:rsidR="005C335D" w:rsidRPr="005C335D" w:rsidRDefault="005C335D" w:rsidP="005C335D">
      <w:pPr>
        <w:pStyle w:val="BodyText"/>
        <w:ind w:left="1559"/>
        <w:rPr>
          <w:rFonts w:ascii="Verdana" w:hAnsi="Verdana"/>
          <w:sz w:val="20"/>
        </w:rPr>
      </w:pPr>
    </w:p>
    <w:p w:rsidR="00D70665" w:rsidRPr="00D70665" w:rsidRDefault="00D70665" w:rsidP="00D70665">
      <w:pPr>
        <w:pStyle w:val="Heading2"/>
        <w:rPr>
          <w:rFonts w:ascii="Verdana" w:hAnsi="Verdana"/>
          <w:sz w:val="20"/>
        </w:rPr>
      </w:pPr>
      <w:r w:rsidRPr="00D70665">
        <w:rPr>
          <w:rFonts w:ascii="Verdana" w:hAnsi="Verdana"/>
          <w:sz w:val="20"/>
        </w:rPr>
        <w:lastRenderedPageBreak/>
        <w:t>Evaluation Process</w:t>
      </w:r>
    </w:p>
    <w:p w:rsidR="008F36F5" w:rsidRPr="008F36F5" w:rsidRDefault="006B60C0" w:rsidP="008F36F5">
      <w:pPr>
        <w:pStyle w:val="Heading3"/>
        <w:rPr>
          <w:rFonts w:ascii="Verdana" w:hAnsi="Verdana"/>
          <w:sz w:val="20"/>
        </w:rPr>
      </w:pPr>
      <w:r>
        <w:rPr>
          <w:rFonts w:ascii="Verdana" w:hAnsi="Verdana"/>
          <w:sz w:val="20"/>
        </w:rPr>
        <w:t xml:space="preserve">The purpose of the ITT </w:t>
      </w:r>
      <w:r w:rsidR="00B633EC">
        <w:rPr>
          <w:rFonts w:ascii="Verdana" w:hAnsi="Verdana"/>
          <w:sz w:val="20"/>
        </w:rPr>
        <w:t>S</w:t>
      </w:r>
      <w:r>
        <w:rPr>
          <w:rFonts w:ascii="Verdana" w:hAnsi="Verdana"/>
          <w:sz w:val="20"/>
        </w:rPr>
        <w:t xml:space="preserve">tage is to identify a Preferred Bidder </w:t>
      </w:r>
      <w:r w:rsidR="00E46743">
        <w:rPr>
          <w:rFonts w:ascii="Verdana" w:hAnsi="Verdana"/>
          <w:sz w:val="20"/>
        </w:rPr>
        <w:t xml:space="preserve">for each Qualifying Project </w:t>
      </w:r>
      <w:r>
        <w:rPr>
          <w:rFonts w:ascii="Verdana" w:hAnsi="Verdana"/>
          <w:sz w:val="20"/>
        </w:rPr>
        <w:t xml:space="preserve">to whom Ofgem would be willing to grant </w:t>
      </w:r>
      <w:proofErr w:type="gramStart"/>
      <w:r w:rsidR="00E46743">
        <w:rPr>
          <w:rFonts w:ascii="Verdana" w:hAnsi="Verdana"/>
          <w:sz w:val="20"/>
        </w:rPr>
        <w:t>a</w:t>
      </w:r>
      <w:proofErr w:type="gramEnd"/>
      <w:r w:rsidR="00E46743">
        <w:rPr>
          <w:rFonts w:ascii="Verdana" w:hAnsi="Verdana"/>
          <w:sz w:val="20"/>
        </w:rPr>
        <w:t xml:space="preserve"> </w:t>
      </w:r>
      <w:r>
        <w:rPr>
          <w:rFonts w:ascii="Verdana" w:hAnsi="Verdana"/>
          <w:sz w:val="20"/>
        </w:rPr>
        <w:t>Offshore Electricity Transmission Licence</w:t>
      </w:r>
      <w:r w:rsidR="00E46743">
        <w:rPr>
          <w:rFonts w:ascii="Verdana" w:hAnsi="Verdana"/>
          <w:sz w:val="20"/>
        </w:rPr>
        <w:t xml:space="preserve">. </w:t>
      </w:r>
      <w:r>
        <w:rPr>
          <w:rFonts w:ascii="Verdana" w:hAnsi="Verdana"/>
          <w:sz w:val="20"/>
        </w:rPr>
        <w:t xml:space="preserve"> </w:t>
      </w:r>
      <w:r w:rsidR="008F36F5" w:rsidRPr="008F36F5">
        <w:rPr>
          <w:rFonts w:ascii="Verdana" w:hAnsi="Verdana"/>
          <w:sz w:val="20"/>
        </w:rPr>
        <w:t xml:space="preserve"> </w:t>
      </w:r>
    </w:p>
    <w:p w:rsidR="00E46743" w:rsidRDefault="006B60C0" w:rsidP="00E46743">
      <w:pPr>
        <w:pStyle w:val="Heading3"/>
        <w:rPr>
          <w:rFonts w:ascii="Verdana" w:hAnsi="Verdana"/>
          <w:sz w:val="20"/>
        </w:rPr>
      </w:pPr>
      <w:r w:rsidRPr="00E46743">
        <w:rPr>
          <w:rFonts w:ascii="Verdana" w:hAnsi="Verdana"/>
          <w:sz w:val="20"/>
        </w:rPr>
        <w:t xml:space="preserve">In order </w:t>
      </w:r>
      <w:r w:rsidR="00E46743" w:rsidRPr="00E46743">
        <w:rPr>
          <w:rFonts w:ascii="Verdana" w:hAnsi="Verdana"/>
          <w:sz w:val="20"/>
        </w:rPr>
        <w:t xml:space="preserve">to do so, Ofgem </w:t>
      </w:r>
      <w:r w:rsidR="00286EA6" w:rsidRPr="00E46743">
        <w:rPr>
          <w:rFonts w:ascii="Verdana" w:hAnsi="Verdana"/>
          <w:sz w:val="20"/>
        </w:rPr>
        <w:t xml:space="preserve">will conduct a detailed evaluation process over four </w:t>
      </w:r>
      <w:r w:rsidR="008F36F5" w:rsidRPr="00E46743">
        <w:rPr>
          <w:rFonts w:ascii="Verdana" w:hAnsi="Verdana"/>
          <w:sz w:val="20"/>
        </w:rPr>
        <w:t xml:space="preserve">distinct </w:t>
      </w:r>
      <w:r w:rsidR="00286EA6" w:rsidRPr="00E46743">
        <w:rPr>
          <w:rFonts w:ascii="Verdana" w:hAnsi="Verdana"/>
          <w:sz w:val="20"/>
        </w:rPr>
        <w:t>sequential stages:</w:t>
      </w:r>
    </w:p>
    <w:p w:rsidR="005C335D" w:rsidRPr="005C335D" w:rsidRDefault="005C335D" w:rsidP="005C335D">
      <w:pPr>
        <w:pStyle w:val="BodyText"/>
      </w:pPr>
    </w:p>
    <w:p w:rsidR="00286EA6" w:rsidRPr="00286EA6" w:rsidRDefault="00286EA6" w:rsidP="00286EA6">
      <w:pPr>
        <w:pStyle w:val="Heading5"/>
        <w:tabs>
          <w:tab w:val="clear" w:pos="2977"/>
          <w:tab w:val="num" w:pos="1985"/>
        </w:tabs>
        <w:ind w:left="1985" w:hanging="425"/>
        <w:rPr>
          <w:rFonts w:ascii="Verdana" w:hAnsi="Verdana"/>
          <w:sz w:val="20"/>
        </w:rPr>
      </w:pPr>
      <w:r w:rsidRPr="00286EA6">
        <w:rPr>
          <w:rFonts w:ascii="Verdana" w:hAnsi="Verdana"/>
          <w:sz w:val="20"/>
        </w:rPr>
        <w:t>An assessment of compliance</w:t>
      </w:r>
      <w:r>
        <w:rPr>
          <w:rFonts w:ascii="Verdana" w:hAnsi="Verdana"/>
          <w:sz w:val="20"/>
        </w:rPr>
        <w:t>;</w:t>
      </w:r>
      <w:r w:rsidRPr="00286EA6">
        <w:rPr>
          <w:rFonts w:ascii="Verdana" w:hAnsi="Verdana"/>
          <w:sz w:val="20"/>
        </w:rPr>
        <w:t xml:space="preserve"> </w:t>
      </w:r>
    </w:p>
    <w:p w:rsidR="00286EA6" w:rsidRDefault="00286EA6" w:rsidP="00286EA6">
      <w:pPr>
        <w:pStyle w:val="Heading5"/>
        <w:tabs>
          <w:tab w:val="clear" w:pos="2977"/>
          <w:tab w:val="num" w:pos="1985"/>
        </w:tabs>
        <w:ind w:left="1985" w:hanging="425"/>
        <w:rPr>
          <w:rFonts w:ascii="Verdana" w:hAnsi="Verdana"/>
          <w:sz w:val="20"/>
        </w:rPr>
      </w:pPr>
      <w:r w:rsidRPr="00286EA6">
        <w:rPr>
          <w:rFonts w:ascii="Verdana" w:hAnsi="Verdana"/>
          <w:sz w:val="20"/>
        </w:rPr>
        <w:t xml:space="preserve">An assessment of the </w:t>
      </w:r>
      <w:r w:rsidR="00733EA7">
        <w:rPr>
          <w:rFonts w:ascii="Verdana" w:hAnsi="Verdana"/>
          <w:sz w:val="20"/>
        </w:rPr>
        <w:t xml:space="preserve">quality and </w:t>
      </w:r>
      <w:r w:rsidRPr="00286EA6">
        <w:rPr>
          <w:rFonts w:ascii="Verdana" w:hAnsi="Verdana"/>
          <w:sz w:val="20"/>
        </w:rPr>
        <w:t xml:space="preserve">deliverability of </w:t>
      </w:r>
      <w:r>
        <w:rPr>
          <w:rFonts w:ascii="Verdana" w:hAnsi="Verdana"/>
          <w:sz w:val="20"/>
        </w:rPr>
        <w:t xml:space="preserve">Qualifying Bidders’ non-financial submissions; </w:t>
      </w:r>
      <w:r w:rsidRPr="00286EA6">
        <w:rPr>
          <w:rFonts w:ascii="Verdana" w:hAnsi="Verdana"/>
          <w:sz w:val="20"/>
        </w:rPr>
        <w:t xml:space="preserve"> </w:t>
      </w:r>
    </w:p>
    <w:p w:rsidR="00286EA6" w:rsidRPr="00286EA6" w:rsidRDefault="00286EA6" w:rsidP="00286EA6">
      <w:pPr>
        <w:pStyle w:val="Heading5"/>
        <w:tabs>
          <w:tab w:val="clear" w:pos="2977"/>
          <w:tab w:val="num" w:pos="1985"/>
        </w:tabs>
        <w:ind w:left="1985" w:hanging="425"/>
        <w:rPr>
          <w:rFonts w:ascii="Verdana" w:hAnsi="Verdana"/>
          <w:sz w:val="20"/>
        </w:rPr>
      </w:pPr>
      <w:r w:rsidRPr="00286EA6">
        <w:rPr>
          <w:rFonts w:ascii="Verdana" w:hAnsi="Verdana"/>
          <w:sz w:val="20"/>
        </w:rPr>
        <w:t xml:space="preserve">An assessment of </w:t>
      </w:r>
      <w:r>
        <w:rPr>
          <w:rFonts w:ascii="Verdana" w:hAnsi="Verdana"/>
          <w:sz w:val="20"/>
        </w:rPr>
        <w:t xml:space="preserve">the </w:t>
      </w:r>
      <w:r w:rsidR="00733EA7">
        <w:rPr>
          <w:rFonts w:ascii="Verdana" w:hAnsi="Verdana"/>
          <w:sz w:val="20"/>
        </w:rPr>
        <w:t xml:space="preserve">quality and </w:t>
      </w:r>
      <w:r w:rsidRPr="00286EA6">
        <w:rPr>
          <w:rFonts w:ascii="Verdana" w:hAnsi="Verdana"/>
          <w:sz w:val="20"/>
        </w:rPr>
        <w:t xml:space="preserve">deliverability </w:t>
      </w:r>
      <w:r>
        <w:rPr>
          <w:rFonts w:ascii="Verdana" w:hAnsi="Verdana"/>
          <w:sz w:val="20"/>
        </w:rPr>
        <w:t>of Qualifying Bidders’ financial submissions; and</w:t>
      </w:r>
      <w:r w:rsidRPr="00286EA6">
        <w:rPr>
          <w:rFonts w:ascii="Verdana" w:hAnsi="Verdana"/>
          <w:sz w:val="20"/>
        </w:rPr>
        <w:t xml:space="preserve"> </w:t>
      </w:r>
    </w:p>
    <w:p w:rsidR="00286EA6" w:rsidRDefault="00286EA6" w:rsidP="00286EA6">
      <w:pPr>
        <w:pStyle w:val="Heading5"/>
        <w:tabs>
          <w:tab w:val="clear" w:pos="2977"/>
          <w:tab w:val="num" w:pos="1985"/>
        </w:tabs>
        <w:ind w:left="1985" w:hanging="425"/>
        <w:rPr>
          <w:rFonts w:ascii="Verdana" w:hAnsi="Verdana"/>
          <w:sz w:val="20"/>
        </w:rPr>
      </w:pPr>
      <w:r>
        <w:rPr>
          <w:rFonts w:ascii="Verdana" w:hAnsi="Verdana"/>
          <w:sz w:val="20"/>
        </w:rPr>
        <w:t>A</w:t>
      </w:r>
      <w:r w:rsidRPr="00286EA6">
        <w:rPr>
          <w:rFonts w:ascii="Verdana" w:hAnsi="Verdana"/>
          <w:sz w:val="20"/>
        </w:rPr>
        <w:t xml:space="preserve">n assessment of the </w:t>
      </w:r>
      <w:r>
        <w:rPr>
          <w:rFonts w:ascii="Verdana" w:hAnsi="Verdana"/>
          <w:sz w:val="20"/>
        </w:rPr>
        <w:t xml:space="preserve">Qualifying Bidders’ </w:t>
      </w:r>
      <w:r w:rsidRPr="00286EA6">
        <w:rPr>
          <w:rFonts w:ascii="Verdana" w:hAnsi="Verdana"/>
          <w:sz w:val="20"/>
        </w:rPr>
        <w:t xml:space="preserve">Tender Revenue Stream </w:t>
      </w:r>
      <w:r>
        <w:rPr>
          <w:rFonts w:ascii="Verdana" w:hAnsi="Verdana"/>
          <w:sz w:val="20"/>
        </w:rPr>
        <w:t xml:space="preserve">bids </w:t>
      </w:r>
      <w:r w:rsidRPr="00286EA6">
        <w:rPr>
          <w:rFonts w:ascii="Verdana" w:hAnsi="Verdana"/>
          <w:sz w:val="20"/>
        </w:rPr>
        <w:t xml:space="preserve">combined with an assessment of </w:t>
      </w:r>
      <w:r>
        <w:rPr>
          <w:rFonts w:ascii="Verdana" w:hAnsi="Verdana"/>
          <w:sz w:val="20"/>
        </w:rPr>
        <w:t>the quality</w:t>
      </w:r>
      <w:r w:rsidR="008F36F5">
        <w:rPr>
          <w:rFonts w:ascii="Verdana" w:hAnsi="Verdana"/>
          <w:sz w:val="20"/>
        </w:rPr>
        <w:t xml:space="preserve"> </w:t>
      </w:r>
      <w:r>
        <w:rPr>
          <w:rFonts w:ascii="Verdana" w:hAnsi="Verdana"/>
          <w:sz w:val="20"/>
        </w:rPr>
        <w:t>of the</w:t>
      </w:r>
      <w:r w:rsidR="008F36F5">
        <w:rPr>
          <w:rFonts w:ascii="Verdana" w:hAnsi="Verdana"/>
          <w:sz w:val="20"/>
        </w:rPr>
        <w:t xml:space="preserve"> underlying assumptions</w:t>
      </w:r>
      <w:r>
        <w:rPr>
          <w:rFonts w:ascii="Verdana" w:hAnsi="Verdana"/>
          <w:sz w:val="20"/>
        </w:rPr>
        <w:t xml:space="preserve">. </w:t>
      </w:r>
      <w:r w:rsidRPr="00286EA6">
        <w:rPr>
          <w:rFonts w:ascii="Verdana" w:hAnsi="Verdana"/>
          <w:sz w:val="20"/>
        </w:rPr>
        <w:t xml:space="preserve"> </w:t>
      </w:r>
    </w:p>
    <w:p w:rsidR="005C335D" w:rsidRPr="005C335D" w:rsidRDefault="005C335D" w:rsidP="005C335D">
      <w:pPr>
        <w:pStyle w:val="BodyText"/>
      </w:pPr>
    </w:p>
    <w:p w:rsidR="00286EA6" w:rsidRDefault="008F36F5" w:rsidP="00286EA6">
      <w:pPr>
        <w:pStyle w:val="Heading3"/>
        <w:rPr>
          <w:rFonts w:ascii="Verdana" w:hAnsi="Verdana"/>
          <w:sz w:val="20"/>
        </w:rPr>
      </w:pPr>
      <w:r>
        <w:rPr>
          <w:rFonts w:ascii="Verdana" w:hAnsi="Verdana"/>
          <w:sz w:val="20"/>
        </w:rPr>
        <w:t xml:space="preserve">This process is illustrated in the following diagram and </w:t>
      </w:r>
      <w:r w:rsidR="00286EA6" w:rsidRPr="001E4F3D">
        <w:rPr>
          <w:rFonts w:ascii="Verdana" w:hAnsi="Verdana"/>
          <w:sz w:val="20"/>
        </w:rPr>
        <w:t xml:space="preserve">described in </w:t>
      </w:r>
      <w:r>
        <w:rPr>
          <w:rFonts w:ascii="Verdana" w:hAnsi="Verdana"/>
          <w:sz w:val="20"/>
        </w:rPr>
        <w:t xml:space="preserve">further </w:t>
      </w:r>
      <w:r w:rsidR="00286EA6" w:rsidRPr="001E4F3D">
        <w:rPr>
          <w:rFonts w:ascii="Verdana" w:hAnsi="Verdana"/>
          <w:sz w:val="20"/>
        </w:rPr>
        <w:t xml:space="preserve">detail below.  </w:t>
      </w:r>
      <w:r w:rsidR="00286EA6">
        <w:rPr>
          <w:rFonts w:ascii="Verdana" w:hAnsi="Verdana"/>
          <w:sz w:val="20"/>
        </w:rPr>
        <w:t xml:space="preserve">Appendix </w:t>
      </w:r>
      <w:r w:rsidR="00B45DFD">
        <w:rPr>
          <w:rFonts w:ascii="Verdana" w:hAnsi="Verdana"/>
          <w:sz w:val="20"/>
        </w:rPr>
        <w:t>2</w:t>
      </w:r>
      <w:r w:rsidR="00286EA6">
        <w:rPr>
          <w:rFonts w:ascii="Verdana" w:hAnsi="Verdana"/>
          <w:sz w:val="20"/>
        </w:rPr>
        <w:t xml:space="preserve"> contains the </w:t>
      </w:r>
      <w:r w:rsidR="00286EA6" w:rsidRPr="001E4F3D">
        <w:rPr>
          <w:rFonts w:ascii="Verdana" w:hAnsi="Verdana"/>
          <w:sz w:val="20"/>
        </w:rPr>
        <w:t xml:space="preserve">detailed requirements Qualifying Bidders </w:t>
      </w:r>
      <w:r w:rsidR="00286EA6">
        <w:rPr>
          <w:rFonts w:ascii="Verdana" w:hAnsi="Verdana"/>
          <w:sz w:val="20"/>
        </w:rPr>
        <w:t xml:space="preserve">need to </w:t>
      </w:r>
      <w:r>
        <w:rPr>
          <w:rFonts w:ascii="Verdana" w:hAnsi="Verdana"/>
          <w:sz w:val="20"/>
        </w:rPr>
        <w:t>satisfy in respect of each of these stages</w:t>
      </w:r>
      <w:r w:rsidR="00286EA6" w:rsidRPr="001E4F3D">
        <w:rPr>
          <w:rFonts w:ascii="Verdana" w:hAnsi="Verdana"/>
          <w:sz w:val="20"/>
        </w:rPr>
        <w:t>.</w:t>
      </w:r>
    </w:p>
    <w:p w:rsidR="001A0D45" w:rsidRPr="001A0D45" w:rsidRDefault="00320A8C" w:rsidP="001A0D45">
      <w:pPr>
        <w:pStyle w:val="BodyText"/>
      </w:pPr>
      <w:r>
        <w:rPr>
          <w:noProof/>
          <w:lang w:eastAsia="en-GB"/>
        </w:rPr>
        <w:pict>
          <v:group id="_x0000_s1026" style="position:absolute;left:0;text-align:left;margin-left:70.4pt;margin-top:1.5pt;width:388pt;height:399pt;z-index:251654144" coordorigin="2430,120" coordsize="8535,9375">
            <v:rect id="_x0000_s1027" style="position:absolute;left:2430;top:6645;width:8535;height:2850" strokecolor="#c0504d" strokeweight="2.5pt">
              <v:shadow color="#868686"/>
              <v:textbox style="mso-next-textbox:#_x0000_s1027">
                <w:txbxContent>
                  <w:p w:rsidR="004F436C" w:rsidRDefault="004F436C"/>
                  <w:p w:rsidR="004F436C" w:rsidRDefault="004F436C"/>
                  <w:p w:rsidR="004F436C" w:rsidRDefault="004F436C"/>
                  <w:p w:rsidR="004F436C" w:rsidRDefault="004F436C"/>
                  <w:p w:rsidR="004F436C" w:rsidRDefault="004F436C"/>
                  <w:p w:rsidR="004F436C" w:rsidRDefault="004F436C"/>
                  <w:p w:rsidR="004F436C" w:rsidRPr="00821E0C" w:rsidRDefault="004F436C" w:rsidP="00821E0C">
                    <w:pPr>
                      <w:jc w:val="center"/>
                      <w:rPr>
                        <w:rFonts w:ascii="Verdana" w:hAnsi="Verdana"/>
                        <w:b/>
                        <w:sz w:val="20"/>
                      </w:rPr>
                    </w:pPr>
                    <w:r w:rsidRPr="00821E0C">
                      <w:rPr>
                        <w:rFonts w:ascii="Verdana" w:hAnsi="Verdana"/>
                        <w:b/>
                        <w:sz w:val="20"/>
                      </w:rPr>
                      <w:t>Evaluated on Scored and Ranked Basis</w:t>
                    </w:r>
                  </w:p>
                  <w:p w:rsidR="004F436C" w:rsidRPr="00821E0C" w:rsidRDefault="004F436C" w:rsidP="00821E0C">
                    <w:pPr>
                      <w:jc w:val="center"/>
                      <w:rPr>
                        <w:rFonts w:ascii="Verdana" w:hAnsi="Verdana"/>
                        <w:b/>
                        <w:sz w:val="20"/>
                      </w:rPr>
                    </w:pPr>
                    <w:r w:rsidRPr="00821E0C">
                      <w:rPr>
                        <w:rFonts w:ascii="Verdana" w:hAnsi="Verdana"/>
                        <w:b/>
                        <w:sz w:val="20"/>
                      </w:rPr>
                      <w:t>Combined Score will Determine Preferred Bidder</w:t>
                    </w:r>
                  </w:p>
                </w:txbxContent>
              </v:textbox>
            </v:rect>
            <v:shape id="_x0000_s1028" type="#_x0000_t202" style="position:absolute;left:2670;top:2263;width:8100;height:1247" strokecolor="#9bbb59" strokeweight="5pt">
              <v:stroke linestyle="thickThin"/>
              <v:shadow color="#868686"/>
              <v:textbox style="mso-next-textbox:#_x0000_s1028">
                <w:txbxContent>
                  <w:p w:rsidR="004F436C" w:rsidRPr="00982303" w:rsidRDefault="004F436C" w:rsidP="00594815">
                    <w:pPr>
                      <w:numPr>
                        <w:ilvl w:val="0"/>
                        <w:numId w:val="19"/>
                      </w:numPr>
                      <w:jc w:val="left"/>
                      <w:rPr>
                        <w:rFonts w:ascii="Verdana" w:hAnsi="Verdana"/>
                        <w:b/>
                        <w:sz w:val="20"/>
                      </w:rPr>
                    </w:pPr>
                    <w:r w:rsidRPr="00982303">
                      <w:rPr>
                        <w:rFonts w:ascii="Verdana" w:hAnsi="Verdana"/>
                        <w:b/>
                        <w:sz w:val="20"/>
                      </w:rPr>
                      <w:t xml:space="preserve">Non-Financial </w:t>
                    </w:r>
                    <w:r>
                      <w:rPr>
                        <w:rFonts w:ascii="Verdana" w:hAnsi="Verdana"/>
                        <w:b/>
                        <w:sz w:val="20"/>
                      </w:rPr>
                      <w:t>Deliverability</w:t>
                    </w:r>
                  </w:p>
                  <w:p w:rsidR="004F436C" w:rsidRDefault="004F436C" w:rsidP="00594815">
                    <w:pPr>
                      <w:numPr>
                        <w:ilvl w:val="0"/>
                        <w:numId w:val="19"/>
                      </w:numPr>
                      <w:jc w:val="left"/>
                      <w:rPr>
                        <w:rFonts w:ascii="Verdana" w:hAnsi="Verdana"/>
                        <w:b/>
                        <w:sz w:val="20"/>
                      </w:rPr>
                    </w:pPr>
                    <w:r w:rsidRPr="00982303">
                      <w:rPr>
                        <w:rFonts w:ascii="Verdana" w:hAnsi="Verdana"/>
                        <w:b/>
                        <w:sz w:val="20"/>
                      </w:rPr>
                      <w:t>Evaluated on a Scored Basis</w:t>
                    </w:r>
                  </w:p>
                  <w:p w:rsidR="004F436C" w:rsidRPr="00982303" w:rsidRDefault="004F436C" w:rsidP="00594815">
                    <w:pPr>
                      <w:numPr>
                        <w:ilvl w:val="0"/>
                        <w:numId w:val="19"/>
                      </w:numPr>
                      <w:jc w:val="left"/>
                      <w:rPr>
                        <w:rFonts w:ascii="Verdana" w:hAnsi="Verdana"/>
                        <w:b/>
                        <w:sz w:val="20"/>
                      </w:rPr>
                    </w:pPr>
                    <w:r>
                      <w:rPr>
                        <w:rFonts w:ascii="Verdana" w:hAnsi="Verdana"/>
                        <w:b/>
                        <w:sz w:val="20"/>
                      </w:rPr>
                      <w:t>Minimum Threshold Applied</w:t>
                    </w:r>
                  </w:p>
                  <w:p w:rsidR="004F436C" w:rsidRPr="00982303" w:rsidRDefault="004F436C" w:rsidP="00594815">
                    <w:pPr>
                      <w:jc w:val="left"/>
                      <w:rPr>
                        <w:b/>
                      </w:rPr>
                    </w:pPr>
                  </w:p>
                  <w:p w:rsidR="004F436C" w:rsidRDefault="004F436C" w:rsidP="00594815">
                    <w:pPr>
                      <w:jc w:val="left"/>
                    </w:pPr>
                  </w:p>
                </w:txbxContent>
              </v:textbox>
            </v:shape>
            <v:shape id="_x0000_s1029" type="#_x0000_t202" style="position:absolute;left:2670;top:120;width:8100;height:1198" strokecolor="#9bbb59" strokeweight="5pt">
              <v:stroke linestyle="thickThin"/>
              <v:shadow color="#868686"/>
              <v:textbox style="mso-next-textbox:#_x0000_s1029">
                <w:txbxContent>
                  <w:p w:rsidR="004F436C" w:rsidRDefault="004F436C" w:rsidP="00594815">
                    <w:pPr>
                      <w:jc w:val="left"/>
                      <w:rPr>
                        <w:rFonts w:ascii="Verdana" w:hAnsi="Verdana"/>
                        <w:sz w:val="20"/>
                      </w:rPr>
                    </w:pPr>
                  </w:p>
                  <w:p w:rsidR="004F436C" w:rsidRPr="00982303" w:rsidRDefault="004F436C" w:rsidP="00594815">
                    <w:pPr>
                      <w:numPr>
                        <w:ilvl w:val="0"/>
                        <w:numId w:val="18"/>
                      </w:numPr>
                      <w:jc w:val="left"/>
                      <w:rPr>
                        <w:rFonts w:ascii="Verdana" w:hAnsi="Verdana"/>
                        <w:b/>
                        <w:sz w:val="20"/>
                      </w:rPr>
                    </w:pPr>
                    <w:r w:rsidRPr="00982303">
                      <w:rPr>
                        <w:rFonts w:ascii="Verdana" w:hAnsi="Verdana"/>
                        <w:b/>
                        <w:sz w:val="20"/>
                      </w:rPr>
                      <w:t xml:space="preserve">Compliance </w:t>
                    </w:r>
                    <w:r>
                      <w:rPr>
                        <w:rFonts w:ascii="Verdana" w:hAnsi="Verdana"/>
                        <w:b/>
                        <w:sz w:val="20"/>
                      </w:rPr>
                      <w:t>Check</w:t>
                    </w:r>
                  </w:p>
                  <w:p w:rsidR="004F436C" w:rsidRPr="00982303" w:rsidRDefault="004F436C" w:rsidP="00594815">
                    <w:pPr>
                      <w:numPr>
                        <w:ilvl w:val="0"/>
                        <w:numId w:val="18"/>
                      </w:numPr>
                      <w:jc w:val="left"/>
                      <w:rPr>
                        <w:rFonts w:ascii="Verdana" w:hAnsi="Verdana"/>
                        <w:b/>
                        <w:sz w:val="20"/>
                      </w:rPr>
                    </w:pPr>
                    <w:r>
                      <w:rPr>
                        <w:rFonts w:ascii="Verdana" w:hAnsi="Verdana"/>
                        <w:b/>
                        <w:sz w:val="20"/>
                      </w:rPr>
                      <w:t>Pass/Fail Test</w:t>
                    </w:r>
                  </w:p>
                </w:txbxContent>
              </v:textbox>
            </v:shape>
            <v:shape id="_x0000_s1030" type="#_x0000_t202" style="position:absolute;left:2670;top:4515;width:8100;height:1170" strokecolor="#9bbb59" strokeweight="5pt">
              <v:stroke linestyle="thickThin"/>
              <v:shadow color="#868686"/>
              <v:textbox style="mso-next-textbox:#_x0000_s1030">
                <w:txbxContent>
                  <w:p w:rsidR="004F436C" w:rsidRPr="00982303" w:rsidRDefault="004F436C" w:rsidP="00594815">
                    <w:pPr>
                      <w:numPr>
                        <w:ilvl w:val="0"/>
                        <w:numId w:val="20"/>
                      </w:numPr>
                      <w:jc w:val="left"/>
                      <w:rPr>
                        <w:rFonts w:ascii="Verdana" w:hAnsi="Verdana"/>
                        <w:b/>
                        <w:sz w:val="20"/>
                      </w:rPr>
                    </w:pPr>
                    <w:r w:rsidRPr="00982303">
                      <w:rPr>
                        <w:rFonts w:ascii="Verdana" w:hAnsi="Verdana"/>
                        <w:b/>
                        <w:sz w:val="20"/>
                      </w:rPr>
                      <w:t xml:space="preserve">Financial </w:t>
                    </w:r>
                    <w:r>
                      <w:rPr>
                        <w:rFonts w:ascii="Verdana" w:hAnsi="Verdana"/>
                        <w:b/>
                        <w:sz w:val="20"/>
                      </w:rPr>
                      <w:t>Deliverability</w:t>
                    </w:r>
                  </w:p>
                  <w:p w:rsidR="004F436C" w:rsidRDefault="004F436C" w:rsidP="00594815">
                    <w:pPr>
                      <w:numPr>
                        <w:ilvl w:val="0"/>
                        <w:numId w:val="20"/>
                      </w:numPr>
                      <w:jc w:val="left"/>
                      <w:rPr>
                        <w:rFonts w:ascii="Verdana" w:hAnsi="Verdana"/>
                        <w:b/>
                        <w:sz w:val="20"/>
                      </w:rPr>
                    </w:pPr>
                    <w:r w:rsidRPr="00982303">
                      <w:rPr>
                        <w:rFonts w:ascii="Verdana" w:hAnsi="Verdana"/>
                        <w:b/>
                        <w:sz w:val="20"/>
                      </w:rPr>
                      <w:t>Evaluated on Scored Basis</w:t>
                    </w:r>
                  </w:p>
                  <w:p w:rsidR="004F436C" w:rsidRPr="00982303" w:rsidRDefault="004F436C" w:rsidP="00594815">
                    <w:pPr>
                      <w:numPr>
                        <w:ilvl w:val="0"/>
                        <w:numId w:val="20"/>
                      </w:numPr>
                      <w:jc w:val="left"/>
                      <w:rPr>
                        <w:rFonts w:ascii="Verdana" w:hAnsi="Verdana"/>
                        <w:b/>
                        <w:sz w:val="20"/>
                      </w:rPr>
                    </w:pPr>
                    <w:r>
                      <w:rPr>
                        <w:rFonts w:ascii="Verdana" w:hAnsi="Verdana"/>
                        <w:b/>
                        <w:sz w:val="20"/>
                      </w:rPr>
                      <w:t>Minimum Threshold Applied</w:t>
                    </w:r>
                  </w:p>
                  <w:p w:rsidR="004F436C" w:rsidRPr="00982303" w:rsidRDefault="004F436C" w:rsidP="00594815">
                    <w:pPr>
                      <w:ind w:left="360"/>
                      <w:jc w:val="left"/>
                      <w:rPr>
                        <w:rFonts w:ascii="Verdana" w:hAnsi="Verdana"/>
                        <w:b/>
                        <w:sz w:val="20"/>
                      </w:rPr>
                    </w:pPr>
                  </w:p>
                </w:txbxContent>
              </v:textbox>
            </v:shape>
            <v:shape id="_x0000_s1031" type="#_x0000_t202" style="position:absolute;left:2670;top:6855;width:3705;height:1605" strokecolor="#9bbb59" strokeweight="5pt">
              <v:stroke linestyle="thickThin"/>
              <v:shadow color="#868686"/>
              <v:textbox style="mso-next-textbox:#_x0000_s1031">
                <w:txbxContent>
                  <w:p w:rsidR="004F436C" w:rsidRDefault="004F436C" w:rsidP="00594815">
                    <w:pPr>
                      <w:numPr>
                        <w:ilvl w:val="0"/>
                        <w:numId w:val="17"/>
                      </w:numPr>
                      <w:tabs>
                        <w:tab w:val="clear" w:pos="709"/>
                        <w:tab w:val="clear" w:pos="1559"/>
                        <w:tab w:val="clear" w:pos="2268"/>
                        <w:tab w:val="left" w:pos="142"/>
                        <w:tab w:val="left" w:pos="426"/>
                      </w:tabs>
                      <w:ind w:hanging="578"/>
                      <w:jc w:val="left"/>
                      <w:rPr>
                        <w:rFonts w:ascii="Verdana" w:hAnsi="Verdana"/>
                        <w:b/>
                        <w:sz w:val="20"/>
                      </w:rPr>
                    </w:pPr>
                    <w:r w:rsidRPr="00982303">
                      <w:rPr>
                        <w:rFonts w:ascii="Verdana" w:hAnsi="Verdana"/>
                        <w:b/>
                        <w:sz w:val="20"/>
                      </w:rPr>
                      <w:t>Tender Revenue Stream</w:t>
                    </w:r>
                  </w:p>
                  <w:p w:rsidR="004F436C" w:rsidRPr="0009635A" w:rsidRDefault="004F436C" w:rsidP="00594815">
                    <w:pPr>
                      <w:numPr>
                        <w:ilvl w:val="0"/>
                        <w:numId w:val="17"/>
                      </w:numPr>
                      <w:tabs>
                        <w:tab w:val="clear" w:pos="709"/>
                        <w:tab w:val="clear" w:pos="1559"/>
                        <w:tab w:val="clear" w:pos="2268"/>
                        <w:tab w:val="left" w:pos="142"/>
                        <w:tab w:val="left" w:pos="426"/>
                      </w:tabs>
                      <w:ind w:hanging="578"/>
                      <w:jc w:val="left"/>
                      <w:rPr>
                        <w:rFonts w:ascii="Verdana" w:hAnsi="Verdana"/>
                        <w:b/>
                        <w:sz w:val="20"/>
                      </w:rPr>
                    </w:pPr>
                    <w:r w:rsidRPr="0009635A">
                      <w:rPr>
                        <w:rFonts w:ascii="Verdana" w:hAnsi="Verdana"/>
                        <w:b/>
                        <w:sz w:val="20"/>
                      </w:rPr>
                      <w:t>60% Weighting</w:t>
                    </w:r>
                  </w:p>
                  <w:p w:rsidR="004F436C" w:rsidRDefault="004F436C" w:rsidP="00594815">
                    <w:pPr>
                      <w:jc w:val="left"/>
                    </w:pPr>
                  </w:p>
                </w:txbxContent>
              </v:textbox>
            </v:shape>
            <v:shape id="_x0000_s1032" type="#_x0000_t202" style="position:absolute;left:7065;top:6855;width:3705;height:1605" strokecolor="#9bbb59" strokeweight="5pt">
              <v:stroke linestyle="thickThin"/>
              <v:shadow color="#868686"/>
              <v:textbox style="mso-next-textbox:#_x0000_s1032">
                <w:txbxContent>
                  <w:p w:rsidR="004F436C" w:rsidRDefault="004F436C" w:rsidP="00794CF7">
                    <w:pPr>
                      <w:numPr>
                        <w:ilvl w:val="0"/>
                        <w:numId w:val="16"/>
                      </w:numPr>
                      <w:tabs>
                        <w:tab w:val="clear" w:pos="709"/>
                        <w:tab w:val="left" w:pos="284"/>
                      </w:tabs>
                      <w:ind w:left="284" w:hanging="284"/>
                      <w:jc w:val="left"/>
                      <w:rPr>
                        <w:rFonts w:ascii="Verdana" w:hAnsi="Verdana"/>
                        <w:b/>
                        <w:sz w:val="20"/>
                      </w:rPr>
                    </w:pPr>
                    <w:r w:rsidRPr="00982303">
                      <w:rPr>
                        <w:rFonts w:ascii="Verdana" w:hAnsi="Verdana"/>
                        <w:b/>
                        <w:sz w:val="20"/>
                      </w:rPr>
                      <w:t>Quality of Underlying Assumption</w:t>
                    </w:r>
                  </w:p>
                  <w:p w:rsidR="004F436C" w:rsidRDefault="004F436C" w:rsidP="00794CF7">
                    <w:pPr>
                      <w:numPr>
                        <w:ilvl w:val="0"/>
                        <w:numId w:val="16"/>
                      </w:numPr>
                      <w:tabs>
                        <w:tab w:val="clear" w:pos="709"/>
                        <w:tab w:val="left" w:pos="284"/>
                      </w:tabs>
                      <w:ind w:left="284" w:hanging="284"/>
                      <w:jc w:val="left"/>
                      <w:rPr>
                        <w:rFonts w:ascii="Verdana" w:hAnsi="Verdana"/>
                        <w:b/>
                        <w:sz w:val="20"/>
                      </w:rPr>
                    </w:pPr>
                    <w:r w:rsidRPr="00D70665">
                      <w:rPr>
                        <w:rFonts w:ascii="Verdana" w:hAnsi="Verdana"/>
                        <w:b/>
                        <w:sz w:val="20"/>
                      </w:rPr>
                      <w:t>Threshold Requirement</w:t>
                    </w:r>
                  </w:p>
                  <w:p w:rsidR="004F436C" w:rsidRPr="00D70665" w:rsidRDefault="004F436C" w:rsidP="00794CF7">
                    <w:pPr>
                      <w:numPr>
                        <w:ilvl w:val="0"/>
                        <w:numId w:val="16"/>
                      </w:numPr>
                      <w:tabs>
                        <w:tab w:val="clear" w:pos="709"/>
                        <w:tab w:val="left" w:pos="284"/>
                      </w:tabs>
                      <w:ind w:left="284" w:hanging="284"/>
                      <w:jc w:val="left"/>
                      <w:rPr>
                        <w:rFonts w:ascii="Verdana" w:hAnsi="Verdana"/>
                        <w:b/>
                        <w:sz w:val="20"/>
                      </w:rPr>
                    </w:pPr>
                    <w:r w:rsidRPr="00D70665">
                      <w:rPr>
                        <w:rFonts w:ascii="Verdana" w:hAnsi="Verdana"/>
                        <w:b/>
                        <w:sz w:val="20"/>
                      </w:rPr>
                      <w:t>40% Weighting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6450;top:5910;width:540;height:570" strokecolor="#f79646" strokeweight="5pt">
              <v:stroke linestyle="thickThin"/>
              <v:shadow color="#868686"/>
            </v:shape>
            <v:shape id="_x0000_s1034" type="#_x0000_t67" style="position:absolute;left:6450;top:3735;width:540;height:570" strokecolor="#f79646" strokeweight="5pt">
              <v:stroke linestyle="thickThin"/>
              <v:shadow color="#868686"/>
            </v:shape>
            <v:shape id="_x0000_s1035" type="#_x0000_t67" style="position:absolute;left:6450;top:1500;width:540;height:570" strokecolor="#f79646" strokeweight="5pt">
              <v:stroke linestyle="thickThin"/>
              <v:shadow color="#868686"/>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6" type="#_x0000_t69" style="position:absolute;left:6450;top:7440;width:540;height:360" strokecolor="#f79646" strokeweight="5pt">
              <v:stroke linestyle="thickThin"/>
              <v:shadow color="#868686"/>
            </v:shape>
          </v:group>
        </w:pict>
      </w:r>
    </w:p>
    <w:p w:rsidR="00CA062F" w:rsidRDefault="00CA062F" w:rsidP="00CA062F">
      <w:pPr>
        <w:pStyle w:val="BodyText"/>
        <w:rPr>
          <w:rFonts w:ascii="Verdana" w:hAnsi="Verdana"/>
          <w:sz w:val="20"/>
        </w:rPr>
      </w:pPr>
    </w:p>
    <w:p w:rsidR="00CA062F" w:rsidRDefault="00CA062F" w:rsidP="00CA062F">
      <w:pPr>
        <w:pStyle w:val="BodyText"/>
        <w:rPr>
          <w:rFonts w:ascii="Verdana" w:hAnsi="Verdana"/>
          <w:sz w:val="20"/>
        </w:rPr>
      </w:pPr>
    </w:p>
    <w:p w:rsidR="00784C3F" w:rsidRDefault="00784C3F" w:rsidP="00CA062F">
      <w:pPr>
        <w:pStyle w:val="BodyText"/>
        <w:rPr>
          <w:rFonts w:ascii="Verdana" w:hAnsi="Verdana"/>
          <w:sz w:val="20"/>
        </w:rPr>
      </w:pPr>
    </w:p>
    <w:p w:rsidR="00662AF9" w:rsidRDefault="00662AF9" w:rsidP="00CA062F">
      <w:pPr>
        <w:pStyle w:val="BodyText"/>
        <w:rPr>
          <w:rFonts w:ascii="Verdana" w:hAnsi="Verdana"/>
          <w:sz w:val="20"/>
        </w:rPr>
      </w:pPr>
    </w:p>
    <w:p w:rsidR="00662AF9" w:rsidRDefault="00662AF9" w:rsidP="00CA062F">
      <w:pPr>
        <w:pStyle w:val="BodyText"/>
        <w:rPr>
          <w:rFonts w:ascii="Verdana" w:hAnsi="Verdana"/>
          <w:sz w:val="20"/>
        </w:rPr>
      </w:pPr>
    </w:p>
    <w:p w:rsidR="00CA062F" w:rsidRDefault="00CA062F" w:rsidP="00CA062F">
      <w:pPr>
        <w:pStyle w:val="BodyText"/>
        <w:rPr>
          <w:rFonts w:ascii="Verdana" w:hAnsi="Verdana"/>
          <w:sz w:val="20"/>
        </w:rPr>
      </w:pPr>
    </w:p>
    <w:p w:rsidR="00CA062F" w:rsidRDefault="00CA062F" w:rsidP="00CA062F">
      <w:pPr>
        <w:pStyle w:val="BodyText"/>
        <w:rPr>
          <w:rFonts w:ascii="Verdana" w:hAnsi="Verdana"/>
          <w:sz w:val="20"/>
        </w:rPr>
      </w:pPr>
    </w:p>
    <w:p w:rsidR="00662AF9" w:rsidRDefault="00662AF9" w:rsidP="00CA062F">
      <w:pPr>
        <w:pStyle w:val="BodyText"/>
        <w:rPr>
          <w:rFonts w:ascii="Verdana" w:hAnsi="Verdana"/>
          <w:sz w:val="20"/>
        </w:rPr>
      </w:pPr>
    </w:p>
    <w:p w:rsidR="00CA062F" w:rsidRPr="00CA062F" w:rsidRDefault="00CA062F" w:rsidP="00CA062F">
      <w:pPr>
        <w:pStyle w:val="BodyText"/>
        <w:rPr>
          <w:rFonts w:ascii="Verdana" w:hAnsi="Verdana"/>
          <w:sz w:val="20"/>
        </w:rPr>
      </w:pPr>
    </w:p>
    <w:p w:rsidR="00CA062F" w:rsidRDefault="00CA062F" w:rsidP="00CA062F">
      <w:pPr>
        <w:pStyle w:val="BodyText"/>
        <w:rPr>
          <w:rFonts w:ascii="Verdana" w:hAnsi="Verdana"/>
          <w:sz w:val="20"/>
        </w:rPr>
      </w:pPr>
    </w:p>
    <w:p w:rsidR="0045760E" w:rsidRDefault="0045760E" w:rsidP="00CA062F">
      <w:pPr>
        <w:pStyle w:val="BodyText"/>
        <w:rPr>
          <w:rFonts w:ascii="Verdana" w:hAnsi="Verdana"/>
          <w:sz w:val="20"/>
        </w:rPr>
      </w:pPr>
    </w:p>
    <w:p w:rsidR="00CA062F" w:rsidRDefault="00CA062F" w:rsidP="00CA062F">
      <w:pPr>
        <w:pStyle w:val="BodyText"/>
        <w:rPr>
          <w:rFonts w:ascii="Verdana" w:hAnsi="Verdana"/>
          <w:sz w:val="20"/>
        </w:rPr>
      </w:pPr>
      <w:r>
        <w:rPr>
          <w:rFonts w:ascii="Verdana" w:hAnsi="Verdana"/>
          <w:sz w:val="20"/>
        </w:rPr>
        <w:t xml:space="preserve">                                                                        </w:t>
      </w:r>
    </w:p>
    <w:p w:rsidR="00CA062F" w:rsidRPr="00CA062F" w:rsidRDefault="00CA062F" w:rsidP="00CA062F">
      <w:pPr>
        <w:pStyle w:val="BodyText"/>
        <w:rPr>
          <w:rFonts w:ascii="Verdana" w:hAnsi="Verdana"/>
          <w:sz w:val="20"/>
        </w:rPr>
      </w:pPr>
    </w:p>
    <w:p w:rsidR="0045760E" w:rsidRPr="0045760E" w:rsidRDefault="0045760E" w:rsidP="0045760E">
      <w:pPr>
        <w:pStyle w:val="Heading3"/>
        <w:numPr>
          <w:ilvl w:val="0"/>
          <w:numId w:val="0"/>
        </w:numPr>
        <w:ind w:left="1570"/>
        <w:rPr>
          <w:rFonts w:ascii="Verdana" w:hAnsi="Verdana"/>
          <w:sz w:val="20"/>
        </w:rPr>
      </w:pPr>
    </w:p>
    <w:p w:rsidR="0045760E" w:rsidRDefault="0045760E" w:rsidP="0045760E">
      <w:pPr>
        <w:pStyle w:val="Heading3"/>
        <w:numPr>
          <w:ilvl w:val="0"/>
          <w:numId w:val="0"/>
        </w:numPr>
        <w:ind w:left="1570"/>
        <w:rPr>
          <w:rFonts w:ascii="Verdana" w:hAnsi="Verdana"/>
          <w:sz w:val="20"/>
        </w:rPr>
      </w:pPr>
    </w:p>
    <w:p w:rsidR="0045760E" w:rsidRDefault="0045760E" w:rsidP="0045760E">
      <w:pPr>
        <w:pStyle w:val="Heading3"/>
        <w:numPr>
          <w:ilvl w:val="0"/>
          <w:numId w:val="0"/>
        </w:numPr>
        <w:ind w:left="1570"/>
        <w:rPr>
          <w:rFonts w:ascii="Verdana" w:hAnsi="Verdana"/>
          <w:sz w:val="20"/>
        </w:rPr>
      </w:pPr>
    </w:p>
    <w:p w:rsidR="0045760E" w:rsidRDefault="0045760E" w:rsidP="0045760E">
      <w:pPr>
        <w:pStyle w:val="Heading3"/>
        <w:numPr>
          <w:ilvl w:val="0"/>
          <w:numId w:val="0"/>
        </w:numPr>
        <w:ind w:left="1570"/>
        <w:rPr>
          <w:rFonts w:ascii="Verdana" w:hAnsi="Verdana"/>
          <w:sz w:val="20"/>
        </w:rPr>
      </w:pPr>
    </w:p>
    <w:p w:rsidR="00B97509" w:rsidRPr="00B97509" w:rsidRDefault="00B97509" w:rsidP="00B97509">
      <w:pPr>
        <w:pStyle w:val="BodyText"/>
      </w:pPr>
    </w:p>
    <w:p w:rsidR="00CA062F" w:rsidRPr="00CA062F" w:rsidRDefault="00CA062F" w:rsidP="00CA062F">
      <w:pPr>
        <w:pStyle w:val="Heading3"/>
        <w:rPr>
          <w:rFonts w:ascii="Verdana" w:hAnsi="Verdana"/>
          <w:sz w:val="20"/>
        </w:rPr>
      </w:pPr>
      <w:r w:rsidRPr="00CA062F">
        <w:rPr>
          <w:rFonts w:ascii="Verdana" w:hAnsi="Verdana"/>
          <w:sz w:val="20"/>
        </w:rPr>
        <w:lastRenderedPageBreak/>
        <w:t xml:space="preserve">Ofgem will conduct its evaluation in order to best achieve </w:t>
      </w:r>
      <w:r w:rsidR="00376141">
        <w:rPr>
          <w:rFonts w:ascii="Verdana" w:hAnsi="Verdana"/>
          <w:sz w:val="20"/>
        </w:rPr>
        <w:t xml:space="preserve">its </w:t>
      </w:r>
      <w:r w:rsidRPr="00CA062F">
        <w:rPr>
          <w:rFonts w:ascii="Verdana" w:hAnsi="Verdana"/>
          <w:sz w:val="20"/>
        </w:rPr>
        <w:t xml:space="preserve">stated policy objectives </w:t>
      </w:r>
      <w:r w:rsidR="00376141">
        <w:rPr>
          <w:rFonts w:ascii="Verdana" w:hAnsi="Verdana"/>
          <w:sz w:val="20"/>
        </w:rPr>
        <w:t xml:space="preserve">for </w:t>
      </w:r>
      <w:r w:rsidRPr="00CA062F">
        <w:rPr>
          <w:rFonts w:ascii="Verdana" w:hAnsi="Verdana"/>
          <w:sz w:val="20"/>
        </w:rPr>
        <w:t xml:space="preserve">the offshore </w:t>
      </w:r>
      <w:r w:rsidR="00376141">
        <w:rPr>
          <w:rFonts w:ascii="Verdana" w:hAnsi="Verdana"/>
          <w:sz w:val="20"/>
        </w:rPr>
        <w:t xml:space="preserve">transmission </w:t>
      </w:r>
      <w:r w:rsidRPr="00CA062F">
        <w:rPr>
          <w:rFonts w:ascii="Verdana" w:hAnsi="Verdana"/>
          <w:sz w:val="20"/>
        </w:rPr>
        <w:t>regime, being:</w:t>
      </w:r>
    </w:p>
    <w:p w:rsidR="00CA062F" w:rsidRPr="00CA062F" w:rsidRDefault="00376141" w:rsidP="00376141">
      <w:pPr>
        <w:pStyle w:val="Heading4"/>
        <w:tabs>
          <w:tab w:val="clear" w:pos="2694"/>
          <w:tab w:val="num" w:pos="2268"/>
        </w:tabs>
        <w:ind w:left="2268" w:hanging="708"/>
        <w:rPr>
          <w:rFonts w:ascii="Verdana" w:hAnsi="Verdana"/>
          <w:sz w:val="20"/>
        </w:rPr>
      </w:pPr>
      <w:r>
        <w:rPr>
          <w:rFonts w:ascii="Verdana" w:hAnsi="Verdana"/>
          <w:sz w:val="20"/>
        </w:rPr>
        <w:t xml:space="preserve">The delivery of fit for purpose transmission infrastructure to connect offshore generation; </w:t>
      </w:r>
    </w:p>
    <w:p w:rsidR="00CA062F" w:rsidRPr="00CA062F" w:rsidRDefault="00376141" w:rsidP="00376141">
      <w:pPr>
        <w:pStyle w:val="Heading4"/>
        <w:tabs>
          <w:tab w:val="clear" w:pos="2694"/>
          <w:tab w:val="num" w:pos="2268"/>
        </w:tabs>
        <w:ind w:left="2268" w:hanging="708"/>
        <w:rPr>
          <w:rFonts w:ascii="Verdana" w:hAnsi="Verdana"/>
          <w:sz w:val="20"/>
        </w:rPr>
      </w:pPr>
      <w:r>
        <w:rPr>
          <w:rFonts w:ascii="Verdana" w:hAnsi="Verdana"/>
          <w:sz w:val="20"/>
        </w:rPr>
        <w:t>Provision of certainty and best value to consumers through the competitive process; and</w:t>
      </w:r>
    </w:p>
    <w:p w:rsidR="00CA062F" w:rsidRPr="00270D4E" w:rsidRDefault="00376141" w:rsidP="008F36F5">
      <w:pPr>
        <w:pStyle w:val="Heading4"/>
        <w:ind w:hanging="1134"/>
        <w:rPr>
          <w:rFonts w:ascii="Verdana" w:hAnsi="Verdana"/>
          <w:sz w:val="20"/>
        </w:rPr>
      </w:pPr>
      <w:proofErr w:type="gramStart"/>
      <w:r>
        <w:rPr>
          <w:rFonts w:ascii="Verdana" w:hAnsi="Verdana"/>
          <w:sz w:val="20"/>
        </w:rPr>
        <w:t>Attracting new entrants to the sector.</w:t>
      </w:r>
      <w:proofErr w:type="gramEnd"/>
    </w:p>
    <w:p w:rsidR="008A2CAE" w:rsidRDefault="003B5FB7" w:rsidP="003B5FB7">
      <w:pPr>
        <w:pStyle w:val="Heading2"/>
        <w:rPr>
          <w:rFonts w:ascii="Verdana" w:hAnsi="Verdana"/>
          <w:sz w:val="20"/>
        </w:rPr>
      </w:pPr>
      <w:r w:rsidRPr="003B5FB7">
        <w:rPr>
          <w:rFonts w:ascii="Verdana" w:hAnsi="Verdana"/>
          <w:sz w:val="20"/>
        </w:rPr>
        <w:t>Comp</w:t>
      </w:r>
      <w:r w:rsidR="008A2CAE">
        <w:rPr>
          <w:rFonts w:ascii="Verdana" w:hAnsi="Verdana"/>
          <w:sz w:val="20"/>
        </w:rPr>
        <w:t>leteness Check</w:t>
      </w:r>
    </w:p>
    <w:p w:rsidR="008A2CAE" w:rsidRDefault="008A2CAE" w:rsidP="008A2CAE">
      <w:pPr>
        <w:pStyle w:val="Heading3"/>
        <w:rPr>
          <w:rFonts w:ascii="Verdana" w:hAnsi="Verdana"/>
          <w:sz w:val="20"/>
        </w:rPr>
      </w:pPr>
      <w:r>
        <w:rPr>
          <w:rFonts w:ascii="Verdana" w:hAnsi="Verdana"/>
          <w:sz w:val="20"/>
        </w:rPr>
        <w:t>Prior to the formal evaluation process and f</w:t>
      </w:r>
      <w:r w:rsidRPr="00057EFA">
        <w:rPr>
          <w:rFonts w:ascii="Verdana" w:hAnsi="Verdana"/>
          <w:sz w:val="20"/>
        </w:rPr>
        <w:t xml:space="preserve">ollowing receipt of the </w:t>
      </w:r>
      <w:r w:rsidR="00821E0C">
        <w:rPr>
          <w:rFonts w:ascii="Verdana" w:hAnsi="Verdana"/>
          <w:sz w:val="20"/>
        </w:rPr>
        <w:t xml:space="preserve">ITT </w:t>
      </w:r>
      <w:r w:rsidRPr="00057EFA">
        <w:rPr>
          <w:rFonts w:ascii="Verdana" w:hAnsi="Verdana"/>
          <w:sz w:val="20"/>
        </w:rPr>
        <w:t>Submissions, Ofgem will undertake a completeness check</w:t>
      </w:r>
      <w:r>
        <w:rPr>
          <w:rFonts w:ascii="Verdana" w:hAnsi="Verdana"/>
          <w:sz w:val="20"/>
        </w:rPr>
        <w:t xml:space="preserve"> of the information received</w:t>
      </w:r>
      <w:r w:rsidRPr="00057EFA">
        <w:rPr>
          <w:rFonts w:ascii="Verdana" w:hAnsi="Verdana"/>
          <w:sz w:val="20"/>
        </w:rPr>
        <w:t>.  If this check identifies any omissions in the information requested, the Qualifying Bidder will be notified and given 48 hours to rectify the omission.</w:t>
      </w:r>
    </w:p>
    <w:p w:rsidR="00D74666" w:rsidRDefault="00D74666" w:rsidP="008A2CAE">
      <w:pPr>
        <w:pStyle w:val="Heading3"/>
        <w:rPr>
          <w:rFonts w:ascii="Verdana" w:hAnsi="Verdana"/>
          <w:sz w:val="20"/>
        </w:rPr>
      </w:pPr>
      <w:r w:rsidRPr="007740F0">
        <w:rPr>
          <w:rFonts w:ascii="Verdana" w:hAnsi="Verdana"/>
          <w:sz w:val="20"/>
        </w:rPr>
        <w:t>In this event, evaluation of the Submission will only commence following receipt of the requested omitted information.</w:t>
      </w:r>
    </w:p>
    <w:p w:rsidR="008A2CAE" w:rsidRPr="007740F0" w:rsidRDefault="008A2CAE" w:rsidP="008A2CAE">
      <w:pPr>
        <w:pStyle w:val="Heading3"/>
        <w:rPr>
          <w:rFonts w:ascii="Verdana" w:hAnsi="Verdana"/>
          <w:sz w:val="20"/>
        </w:rPr>
      </w:pPr>
      <w:r w:rsidRPr="007740F0">
        <w:rPr>
          <w:rFonts w:ascii="Verdana" w:hAnsi="Verdana"/>
          <w:sz w:val="20"/>
        </w:rPr>
        <w:t xml:space="preserve">Ofgem reserves the right to disqualify a Qualifying Bidder’s Submission if any omitted information requested is not provided within the required time.  </w:t>
      </w:r>
    </w:p>
    <w:p w:rsidR="003B5FB7" w:rsidRPr="003B5FB7" w:rsidRDefault="008A2CAE" w:rsidP="003B5FB7">
      <w:pPr>
        <w:pStyle w:val="Heading2"/>
        <w:rPr>
          <w:rFonts w:ascii="Verdana" w:hAnsi="Verdana"/>
          <w:b w:val="0"/>
          <w:sz w:val="20"/>
        </w:rPr>
      </w:pPr>
      <w:r>
        <w:rPr>
          <w:rFonts w:ascii="Verdana" w:hAnsi="Verdana"/>
          <w:sz w:val="20"/>
        </w:rPr>
        <w:t>Comp</w:t>
      </w:r>
      <w:r w:rsidR="003B5FB7" w:rsidRPr="003B5FB7">
        <w:rPr>
          <w:rFonts w:ascii="Verdana" w:hAnsi="Verdana"/>
          <w:sz w:val="20"/>
        </w:rPr>
        <w:t>liance</w:t>
      </w:r>
      <w:r w:rsidR="006610C6">
        <w:rPr>
          <w:rFonts w:ascii="Verdana" w:hAnsi="Verdana"/>
          <w:sz w:val="20"/>
        </w:rPr>
        <w:t xml:space="preserve"> </w:t>
      </w:r>
      <w:r>
        <w:rPr>
          <w:rFonts w:ascii="Verdana" w:hAnsi="Verdana"/>
          <w:sz w:val="20"/>
        </w:rPr>
        <w:t>Check</w:t>
      </w:r>
    </w:p>
    <w:p w:rsidR="008A2CAE" w:rsidRPr="008A2CAE" w:rsidRDefault="00E11FA1" w:rsidP="008A2CAE">
      <w:pPr>
        <w:pStyle w:val="Heading3"/>
        <w:rPr>
          <w:rFonts w:ascii="Verdana" w:hAnsi="Verdana"/>
          <w:sz w:val="20"/>
        </w:rPr>
      </w:pPr>
      <w:r w:rsidRPr="008A2CAE">
        <w:rPr>
          <w:rFonts w:ascii="Verdana" w:hAnsi="Verdana"/>
          <w:sz w:val="20"/>
        </w:rPr>
        <w:t xml:space="preserve">Following </w:t>
      </w:r>
      <w:r w:rsidR="009D5C7D" w:rsidRPr="008A2CAE">
        <w:rPr>
          <w:rFonts w:ascii="Verdana" w:hAnsi="Verdana"/>
          <w:sz w:val="20"/>
        </w:rPr>
        <w:t xml:space="preserve">this initial completeness check, </w:t>
      </w:r>
      <w:r w:rsidRPr="008A2CAE">
        <w:rPr>
          <w:rFonts w:ascii="Verdana" w:hAnsi="Verdana"/>
          <w:sz w:val="20"/>
        </w:rPr>
        <w:t xml:space="preserve">Ofgem will </w:t>
      </w:r>
      <w:r w:rsidR="009D5C7D" w:rsidRPr="008A2CAE">
        <w:rPr>
          <w:rFonts w:ascii="Verdana" w:hAnsi="Verdana"/>
          <w:sz w:val="20"/>
        </w:rPr>
        <w:t xml:space="preserve">assess whether </w:t>
      </w:r>
      <w:r w:rsidR="009D124E" w:rsidRPr="008A2CAE">
        <w:rPr>
          <w:rFonts w:ascii="Verdana" w:hAnsi="Verdana"/>
          <w:sz w:val="20"/>
        </w:rPr>
        <w:t xml:space="preserve">ITT </w:t>
      </w:r>
      <w:r w:rsidR="009D5C7D" w:rsidRPr="008A2CAE">
        <w:rPr>
          <w:rFonts w:ascii="Verdana" w:hAnsi="Verdana"/>
          <w:sz w:val="20"/>
        </w:rPr>
        <w:t>Su</w:t>
      </w:r>
      <w:r w:rsidRPr="008A2CAE">
        <w:rPr>
          <w:rFonts w:ascii="Verdana" w:hAnsi="Verdana"/>
          <w:sz w:val="20"/>
        </w:rPr>
        <w:t xml:space="preserve">bmissions received are compliant.  </w:t>
      </w:r>
      <w:r w:rsidR="008A2CAE" w:rsidRPr="008A2CAE">
        <w:rPr>
          <w:rFonts w:ascii="Verdana" w:hAnsi="Verdana"/>
          <w:sz w:val="20"/>
        </w:rPr>
        <w:t xml:space="preserve">In order to demonstrate compliance, Qualifying Bidders will be required to return a signed copy of the Compliance Declaration provided in Appendix </w:t>
      </w:r>
      <w:r w:rsidR="00B45DFD">
        <w:rPr>
          <w:rFonts w:ascii="Verdana" w:hAnsi="Verdana"/>
          <w:sz w:val="20"/>
        </w:rPr>
        <w:t>2</w:t>
      </w:r>
      <w:r w:rsidR="008A2CAE" w:rsidRPr="008A2CAE">
        <w:rPr>
          <w:rFonts w:ascii="Verdana" w:hAnsi="Verdana"/>
          <w:sz w:val="20"/>
        </w:rPr>
        <w:t>.</w:t>
      </w:r>
      <w:r w:rsidR="008A2CAE">
        <w:rPr>
          <w:rFonts w:ascii="Verdana" w:hAnsi="Verdana"/>
          <w:sz w:val="20"/>
        </w:rPr>
        <w:t xml:space="preserve">  </w:t>
      </w:r>
    </w:p>
    <w:p w:rsidR="009D124E" w:rsidRDefault="009D124E" w:rsidP="00F856F6">
      <w:pPr>
        <w:pStyle w:val="Heading3"/>
        <w:rPr>
          <w:rFonts w:ascii="Verdana" w:hAnsi="Verdana"/>
          <w:sz w:val="20"/>
        </w:rPr>
      </w:pPr>
      <w:r>
        <w:rPr>
          <w:rFonts w:ascii="Verdana" w:hAnsi="Verdana"/>
          <w:sz w:val="20"/>
        </w:rPr>
        <w:t xml:space="preserve">In addition to this Compliance Declaration, a compliant ITT Submission must also include the return of a signed copy of the </w:t>
      </w:r>
      <w:r w:rsidR="00376141">
        <w:rPr>
          <w:rFonts w:ascii="Verdana" w:hAnsi="Verdana"/>
          <w:sz w:val="20"/>
        </w:rPr>
        <w:t>Qualifying Bidder</w:t>
      </w:r>
      <w:r>
        <w:rPr>
          <w:rFonts w:ascii="Verdana" w:hAnsi="Verdana"/>
          <w:sz w:val="20"/>
        </w:rPr>
        <w:t xml:space="preserve"> </w:t>
      </w:r>
      <w:r w:rsidR="00197607">
        <w:rPr>
          <w:rFonts w:ascii="Verdana" w:hAnsi="Verdana"/>
          <w:sz w:val="20"/>
        </w:rPr>
        <w:t xml:space="preserve">ITT </w:t>
      </w:r>
      <w:r>
        <w:rPr>
          <w:rFonts w:ascii="Verdana" w:hAnsi="Verdana"/>
          <w:sz w:val="20"/>
        </w:rPr>
        <w:t xml:space="preserve">Certificate provided in Appendix </w:t>
      </w:r>
      <w:r w:rsidR="00B45DFD">
        <w:rPr>
          <w:rFonts w:ascii="Verdana" w:hAnsi="Verdana"/>
          <w:sz w:val="20"/>
        </w:rPr>
        <w:t>3</w:t>
      </w:r>
      <w:r>
        <w:rPr>
          <w:rFonts w:ascii="Verdana" w:hAnsi="Verdana"/>
          <w:sz w:val="20"/>
        </w:rPr>
        <w:t>.</w:t>
      </w:r>
    </w:p>
    <w:p w:rsidR="007740F0" w:rsidRPr="00F856F6" w:rsidRDefault="001E4F3D" w:rsidP="00F856F6">
      <w:pPr>
        <w:pStyle w:val="Heading3"/>
        <w:rPr>
          <w:rFonts w:ascii="Verdana" w:hAnsi="Verdana"/>
          <w:sz w:val="20"/>
        </w:rPr>
      </w:pPr>
      <w:r>
        <w:rPr>
          <w:rFonts w:ascii="Verdana" w:hAnsi="Verdana"/>
          <w:sz w:val="20"/>
        </w:rPr>
        <w:t xml:space="preserve">This is a </w:t>
      </w:r>
      <w:r w:rsidRPr="00376141">
        <w:rPr>
          <w:rFonts w:ascii="Verdana" w:hAnsi="Verdana"/>
          <w:sz w:val="20"/>
        </w:rPr>
        <w:t>Pass/Fail</w:t>
      </w:r>
      <w:r>
        <w:rPr>
          <w:rFonts w:ascii="Verdana" w:hAnsi="Verdana"/>
          <w:sz w:val="20"/>
        </w:rPr>
        <w:t xml:space="preserve"> requirement.  </w:t>
      </w:r>
      <w:r w:rsidR="00F856F6" w:rsidRPr="00F856F6">
        <w:rPr>
          <w:rFonts w:ascii="Verdana" w:hAnsi="Verdana"/>
          <w:sz w:val="20"/>
        </w:rPr>
        <w:t xml:space="preserve">Submissions will not be </w:t>
      </w:r>
      <w:r w:rsidR="00B42C9B">
        <w:rPr>
          <w:rFonts w:ascii="Verdana" w:hAnsi="Verdana"/>
          <w:sz w:val="20"/>
        </w:rPr>
        <w:t xml:space="preserve">considered </w:t>
      </w:r>
      <w:r w:rsidR="00F856F6" w:rsidRPr="00F856F6">
        <w:rPr>
          <w:rFonts w:ascii="Verdana" w:hAnsi="Verdana"/>
          <w:sz w:val="20"/>
        </w:rPr>
        <w:t xml:space="preserve">further if compliance has not been demonstrated to </w:t>
      </w:r>
      <w:proofErr w:type="spellStart"/>
      <w:r w:rsidR="00F856F6" w:rsidRPr="00F856F6">
        <w:rPr>
          <w:rFonts w:ascii="Verdana" w:hAnsi="Verdana"/>
          <w:sz w:val="20"/>
        </w:rPr>
        <w:t>Ofgem’s</w:t>
      </w:r>
      <w:proofErr w:type="spellEnd"/>
      <w:r w:rsidR="00F856F6" w:rsidRPr="00F856F6">
        <w:rPr>
          <w:rFonts w:ascii="Verdana" w:hAnsi="Verdana"/>
          <w:sz w:val="20"/>
        </w:rPr>
        <w:t xml:space="preserve"> satisfaction.</w:t>
      </w:r>
    </w:p>
    <w:p w:rsidR="003B5FB7" w:rsidRPr="003B5FB7" w:rsidRDefault="008A2CAE" w:rsidP="003B5FB7">
      <w:pPr>
        <w:pStyle w:val="Heading2"/>
        <w:rPr>
          <w:rFonts w:ascii="Verdana" w:hAnsi="Verdana"/>
          <w:sz w:val="20"/>
        </w:rPr>
      </w:pPr>
      <w:r>
        <w:rPr>
          <w:rFonts w:ascii="Verdana" w:hAnsi="Verdana"/>
          <w:sz w:val="20"/>
        </w:rPr>
        <w:t xml:space="preserve">Non-Financial </w:t>
      </w:r>
      <w:r w:rsidR="001E4F3D">
        <w:rPr>
          <w:rFonts w:ascii="Verdana" w:hAnsi="Verdana"/>
          <w:sz w:val="20"/>
        </w:rPr>
        <w:t>Deliverability</w:t>
      </w:r>
    </w:p>
    <w:p w:rsidR="00F856F6" w:rsidRPr="001E4F3D" w:rsidRDefault="004C0DD0" w:rsidP="003B1FE7">
      <w:pPr>
        <w:pStyle w:val="Heading3"/>
        <w:rPr>
          <w:rFonts w:ascii="Verdana" w:hAnsi="Verdana"/>
          <w:sz w:val="20"/>
        </w:rPr>
      </w:pPr>
      <w:r>
        <w:rPr>
          <w:rFonts w:ascii="Verdana" w:hAnsi="Verdana"/>
          <w:sz w:val="20"/>
        </w:rPr>
        <w:t xml:space="preserve">ITT </w:t>
      </w:r>
      <w:r w:rsidR="003C5189" w:rsidRPr="00711AC6">
        <w:rPr>
          <w:rFonts w:ascii="Verdana" w:hAnsi="Verdana"/>
          <w:sz w:val="20"/>
        </w:rPr>
        <w:t xml:space="preserve">Submissions assessed as being complaint will then be evaluated </w:t>
      </w:r>
      <w:r w:rsidR="001E4F3D">
        <w:rPr>
          <w:rFonts w:ascii="Verdana" w:hAnsi="Verdana"/>
          <w:sz w:val="20"/>
        </w:rPr>
        <w:t xml:space="preserve">in </w:t>
      </w:r>
      <w:r w:rsidR="001E4F3D" w:rsidRPr="001E4F3D">
        <w:rPr>
          <w:rFonts w:ascii="Verdana" w:hAnsi="Verdana"/>
          <w:sz w:val="20"/>
        </w:rPr>
        <w:t xml:space="preserve">terms of the deliverability of </w:t>
      </w:r>
      <w:r w:rsidR="00376141">
        <w:rPr>
          <w:rFonts w:ascii="Verdana" w:hAnsi="Verdana"/>
          <w:sz w:val="20"/>
        </w:rPr>
        <w:t xml:space="preserve">a number of </w:t>
      </w:r>
      <w:r w:rsidR="001E4F3D" w:rsidRPr="001E4F3D">
        <w:rPr>
          <w:rFonts w:ascii="Verdana" w:hAnsi="Verdana"/>
          <w:sz w:val="20"/>
        </w:rPr>
        <w:t xml:space="preserve">non-financial issues.  </w:t>
      </w:r>
      <w:r w:rsidR="003B1FE7" w:rsidRPr="001E4F3D">
        <w:rPr>
          <w:rFonts w:ascii="Verdana" w:hAnsi="Verdana"/>
          <w:sz w:val="20"/>
        </w:rPr>
        <w:t xml:space="preserve">This </w:t>
      </w:r>
      <w:r>
        <w:rPr>
          <w:rFonts w:ascii="Verdana" w:hAnsi="Verdana"/>
          <w:sz w:val="20"/>
        </w:rPr>
        <w:t>evaluation</w:t>
      </w:r>
      <w:r w:rsidR="003B1FE7" w:rsidRPr="001E4F3D">
        <w:rPr>
          <w:rFonts w:ascii="Verdana" w:hAnsi="Verdana"/>
          <w:sz w:val="20"/>
        </w:rPr>
        <w:t xml:space="preserve"> will demonstrate to Ofgem </w:t>
      </w:r>
      <w:r w:rsidR="001E4F3D" w:rsidRPr="001E4F3D">
        <w:rPr>
          <w:rFonts w:ascii="Verdana" w:hAnsi="Verdana"/>
          <w:sz w:val="20"/>
        </w:rPr>
        <w:t>the robustness of the Q</w:t>
      </w:r>
      <w:r w:rsidR="003B1FE7" w:rsidRPr="001E4F3D">
        <w:rPr>
          <w:rFonts w:ascii="Verdana" w:hAnsi="Verdana"/>
          <w:sz w:val="20"/>
        </w:rPr>
        <w:t>ualifying Bidder</w:t>
      </w:r>
      <w:r w:rsidR="001E4F3D" w:rsidRPr="001E4F3D">
        <w:rPr>
          <w:rFonts w:ascii="Verdana" w:hAnsi="Verdana"/>
          <w:sz w:val="20"/>
        </w:rPr>
        <w:t>’s</w:t>
      </w:r>
      <w:r w:rsidR="003B1FE7" w:rsidRPr="001E4F3D">
        <w:rPr>
          <w:rFonts w:ascii="Verdana" w:hAnsi="Verdana"/>
          <w:sz w:val="20"/>
        </w:rPr>
        <w:t xml:space="preserve"> </w:t>
      </w:r>
      <w:r w:rsidR="001E4F3D" w:rsidRPr="001E4F3D">
        <w:rPr>
          <w:rFonts w:ascii="Verdana" w:hAnsi="Verdana"/>
          <w:sz w:val="20"/>
        </w:rPr>
        <w:t>ability</w:t>
      </w:r>
      <w:r w:rsidR="003B1FE7" w:rsidRPr="001E4F3D">
        <w:rPr>
          <w:rFonts w:ascii="Verdana" w:hAnsi="Verdana"/>
          <w:sz w:val="20"/>
        </w:rPr>
        <w:t xml:space="preserve"> to deliver on its </w:t>
      </w:r>
      <w:r>
        <w:rPr>
          <w:rFonts w:ascii="Verdana" w:hAnsi="Verdana"/>
          <w:sz w:val="20"/>
        </w:rPr>
        <w:t xml:space="preserve">operational and management obligations as </w:t>
      </w:r>
      <w:proofErr w:type="gramStart"/>
      <w:r>
        <w:rPr>
          <w:rFonts w:ascii="Verdana" w:hAnsi="Verdana"/>
          <w:sz w:val="20"/>
        </w:rPr>
        <w:t>a</w:t>
      </w:r>
      <w:proofErr w:type="gramEnd"/>
      <w:r>
        <w:rPr>
          <w:rFonts w:ascii="Verdana" w:hAnsi="Verdana"/>
          <w:sz w:val="20"/>
        </w:rPr>
        <w:t xml:space="preserve"> OFTO licensee over the duration of the licence period.  </w:t>
      </w:r>
      <w:r w:rsidR="004555B8">
        <w:rPr>
          <w:rFonts w:ascii="Verdana" w:hAnsi="Verdana"/>
          <w:sz w:val="20"/>
        </w:rPr>
        <w:t xml:space="preserve">  </w:t>
      </w:r>
      <w:r w:rsidR="000E5B0C">
        <w:rPr>
          <w:rFonts w:ascii="Verdana" w:hAnsi="Verdana"/>
          <w:sz w:val="20"/>
        </w:rPr>
        <w:t xml:space="preserve"> </w:t>
      </w:r>
    </w:p>
    <w:p w:rsidR="001E4F3D" w:rsidRPr="001E4F3D" w:rsidRDefault="00631D6E" w:rsidP="001E4F3D">
      <w:pPr>
        <w:pStyle w:val="Heading3"/>
        <w:rPr>
          <w:rFonts w:ascii="Verdana" w:hAnsi="Verdana"/>
          <w:sz w:val="20"/>
        </w:rPr>
      </w:pPr>
      <w:r>
        <w:rPr>
          <w:rFonts w:ascii="Verdana" w:hAnsi="Verdana"/>
          <w:sz w:val="20"/>
        </w:rPr>
        <w:t>E</w:t>
      </w:r>
      <w:r w:rsidR="001E4F3D" w:rsidRPr="001E4F3D">
        <w:rPr>
          <w:rFonts w:ascii="Verdana" w:hAnsi="Verdana"/>
          <w:sz w:val="20"/>
        </w:rPr>
        <w:t>valuation of non-financial deliverability will assess proposals submitted by the Qualifying Bidder against</w:t>
      </w:r>
      <w:r w:rsidR="001E6127">
        <w:rPr>
          <w:rFonts w:ascii="Verdana" w:hAnsi="Verdana"/>
          <w:sz w:val="20"/>
        </w:rPr>
        <w:t xml:space="preserve"> the following</w:t>
      </w:r>
      <w:r w:rsidR="004555B8">
        <w:rPr>
          <w:rFonts w:ascii="Verdana" w:hAnsi="Verdana"/>
          <w:sz w:val="20"/>
        </w:rPr>
        <w:t xml:space="preserve"> </w:t>
      </w:r>
      <w:r w:rsidR="00D74666">
        <w:rPr>
          <w:rFonts w:ascii="Verdana" w:hAnsi="Verdana"/>
          <w:sz w:val="20"/>
        </w:rPr>
        <w:t>minimum thresholds</w:t>
      </w:r>
      <w:r w:rsidR="001E4F3D" w:rsidRPr="001E4F3D">
        <w:rPr>
          <w:rFonts w:ascii="Verdana" w:hAnsi="Verdana"/>
          <w:sz w:val="20"/>
        </w:rPr>
        <w:t>:</w:t>
      </w:r>
    </w:p>
    <w:p w:rsidR="00376141" w:rsidRPr="0058199C" w:rsidRDefault="00376141" w:rsidP="00376141">
      <w:pPr>
        <w:pStyle w:val="Heading4"/>
        <w:numPr>
          <w:ilvl w:val="0"/>
          <w:numId w:val="0"/>
        </w:numPr>
        <w:ind w:left="2694" w:hanging="1134"/>
        <w:rPr>
          <w:rFonts w:ascii="Verdana" w:hAnsi="Verdana"/>
          <w:sz w:val="20"/>
          <w:u w:val="single"/>
        </w:rPr>
      </w:pPr>
      <w:r w:rsidRPr="0058199C">
        <w:rPr>
          <w:rFonts w:ascii="Verdana" w:hAnsi="Verdana"/>
          <w:sz w:val="20"/>
          <w:u w:val="single"/>
        </w:rPr>
        <w:t xml:space="preserve">Section 1: </w:t>
      </w:r>
      <w:r w:rsidR="001E4F3D" w:rsidRPr="0058199C">
        <w:rPr>
          <w:rFonts w:ascii="Verdana" w:hAnsi="Verdana"/>
          <w:sz w:val="20"/>
          <w:u w:val="single"/>
        </w:rPr>
        <w:t>Sh</w:t>
      </w:r>
      <w:r w:rsidR="0058199C">
        <w:rPr>
          <w:rFonts w:ascii="Verdana" w:hAnsi="Verdana"/>
          <w:sz w:val="20"/>
          <w:u w:val="single"/>
        </w:rPr>
        <w:t>areholding/</w:t>
      </w:r>
      <w:r w:rsidR="002C14E9">
        <w:rPr>
          <w:rFonts w:ascii="Verdana" w:hAnsi="Verdana"/>
          <w:sz w:val="20"/>
          <w:u w:val="single"/>
        </w:rPr>
        <w:t>c</w:t>
      </w:r>
      <w:r w:rsidR="0058199C">
        <w:rPr>
          <w:rFonts w:ascii="Verdana" w:hAnsi="Verdana"/>
          <w:sz w:val="20"/>
          <w:u w:val="single"/>
        </w:rPr>
        <w:t xml:space="preserve">onsortium </w:t>
      </w:r>
      <w:r w:rsidR="002C14E9">
        <w:rPr>
          <w:rFonts w:ascii="Verdana" w:hAnsi="Verdana"/>
          <w:sz w:val="20"/>
          <w:u w:val="single"/>
        </w:rPr>
        <w:t>structure</w:t>
      </w:r>
    </w:p>
    <w:p w:rsidR="0058199C" w:rsidRPr="00ED0392" w:rsidRDefault="00ED0392" w:rsidP="00ED0392">
      <w:pPr>
        <w:pStyle w:val="BodyText"/>
        <w:ind w:left="1559"/>
        <w:rPr>
          <w:rFonts w:ascii="Verdana" w:hAnsi="Verdana"/>
          <w:sz w:val="20"/>
        </w:rPr>
      </w:pPr>
      <w:r w:rsidRPr="00ED0392">
        <w:rPr>
          <w:rFonts w:ascii="Verdana" w:hAnsi="Verdana"/>
          <w:sz w:val="20"/>
        </w:rPr>
        <w:t xml:space="preserve">Qualifying Bidders </w:t>
      </w:r>
      <w:r>
        <w:rPr>
          <w:rFonts w:ascii="Verdana" w:hAnsi="Verdana"/>
          <w:sz w:val="20"/>
        </w:rPr>
        <w:t xml:space="preserve">must demonstrate to </w:t>
      </w:r>
      <w:proofErr w:type="spellStart"/>
      <w:r>
        <w:rPr>
          <w:rFonts w:ascii="Verdana" w:hAnsi="Verdana"/>
          <w:sz w:val="20"/>
        </w:rPr>
        <w:t>Ofgem’s</w:t>
      </w:r>
      <w:proofErr w:type="spellEnd"/>
      <w:r>
        <w:rPr>
          <w:rFonts w:ascii="Verdana" w:hAnsi="Verdana"/>
          <w:sz w:val="20"/>
        </w:rPr>
        <w:t xml:space="preserve"> satisfaction that they have in place, or will have in place by the time of the expected transfer date for the relevant Qualifying Project</w:t>
      </w:r>
      <w:r w:rsidR="00B633EC">
        <w:rPr>
          <w:rFonts w:ascii="Verdana" w:hAnsi="Verdana"/>
          <w:sz w:val="20"/>
        </w:rPr>
        <w:t xml:space="preserve"> (as provided in the Qualifying Project Assumptions)</w:t>
      </w:r>
      <w:r>
        <w:rPr>
          <w:rFonts w:ascii="Verdana" w:hAnsi="Verdana"/>
          <w:sz w:val="20"/>
        </w:rPr>
        <w:t xml:space="preserve">, a robust and </w:t>
      </w:r>
      <w:r w:rsidR="005C335D">
        <w:rPr>
          <w:rFonts w:ascii="Verdana" w:hAnsi="Verdana"/>
          <w:sz w:val="20"/>
        </w:rPr>
        <w:t xml:space="preserve">coherent </w:t>
      </w:r>
      <w:r>
        <w:rPr>
          <w:rFonts w:ascii="Verdana" w:hAnsi="Verdana"/>
          <w:sz w:val="20"/>
        </w:rPr>
        <w:t xml:space="preserve">structure for the entity that would be granted the Offshore Electricity Transmission Licence.   </w:t>
      </w:r>
    </w:p>
    <w:p w:rsidR="00376141" w:rsidRPr="0058199C" w:rsidRDefault="00376141" w:rsidP="00376141">
      <w:pPr>
        <w:pStyle w:val="Heading4"/>
        <w:numPr>
          <w:ilvl w:val="0"/>
          <w:numId w:val="0"/>
        </w:numPr>
        <w:ind w:left="2694" w:hanging="1134"/>
        <w:rPr>
          <w:rFonts w:ascii="Verdana" w:hAnsi="Verdana"/>
          <w:sz w:val="20"/>
          <w:u w:val="single"/>
        </w:rPr>
      </w:pPr>
      <w:r w:rsidRPr="0058199C">
        <w:rPr>
          <w:rFonts w:ascii="Verdana" w:hAnsi="Verdana"/>
          <w:sz w:val="20"/>
          <w:u w:val="single"/>
        </w:rPr>
        <w:t xml:space="preserve">Section 2: </w:t>
      </w:r>
      <w:r w:rsidR="001E4F3D" w:rsidRPr="0058199C">
        <w:rPr>
          <w:rFonts w:ascii="Verdana" w:hAnsi="Verdana"/>
          <w:sz w:val="20"/>
          <w:u w:val="single"/>
        </w:rPr>
        <w:t>Takeover</w:t>
      </w:r>
      <w:r w:rsidR="000E5B0C" w:rsidRPr="0058199C">
        <w:rPr>
          <w:rFonts w:ascii="Verdana" w:hAnsi="Verdana"/>
          <w:sz w:val="20"/>
          <w:u w:val="single"/>
        </w:rPr>
        <w:t xml:space="preserve"> </w:t>
      </w:r>
      <w:r w:rsidR="002C14E9">
        <w:rPr>
          <w:rFonts w:ascii="Verdana" w:hAnsi="Verdana"/>
          <w:sz w:val="20"/>
          <w:u w:val="single"/>
        </w:rPr>
        <w:t>p</w:t>
      </w:r>
      <w:r w:rsidR="001E4F3D" w:rsidRPr="0058199C">
        <w:rPr>
          <w:rFonts w:ascii="Verdana" w:hAnsi="Verdana"/>
          <w:sz w:val="20"/>
          <w:u w:val="single"/>
        </w:rPr>
        <w:t>lan</w:t>
      </w:r>
    </w:p>
    <w:p w:rsidR="0058199C" w:rsidRPr="00ED0392" w:rsidRDefault="00ED0392" w:rsidP="00ED0392">
      <w:pPr>
        <w:pStyle w:val="BodyText"/>
        <w:ind w:left="1559"/>
        <w:rPr>
          <w:rFonts w:ascii="Verdana" w:hAnsi="Verdana"/>
          <w:sz w:val="20"/>
        </w:rPr>
      </w:pPr>
      <w:r>
        <w:rPr>
          <w:rFonts w:ascii="Verdana" w:hAnsi="Verdana"/>
          <w:sz w:val="20"/>
        </w:rPr>
        <w:lastRenderedPageBreak/>
        <w:t>Q</w:t>
      </w:r>
      <w:r w:rsidRPr="00ED0392">
        <w:rPr>
          <w:rFonts w:ascii="Verdana" w:hAnsi="Verdana"/>
          <w:sz w:val="20"/>
        </w:rPr>
        <w:t xml:space="preserve">ualifying Bidders </w:t>
      </w:r>
      <w:r>
        <w:rPr>
          <w:rFonts w:ascii="Verdana" w:hAnsi="Verdana"/>
          <w:sz w:val="20"/>
        </w:rPr>
        <w:t xml:space="preserve">must demonstrate to </w:t>
      </w:r>
      <w:proofErr w:type="spellStart"/>
      <w:r>
        <w:rPr>
          <w:rFonts w:ascii="Verdana" w:hAnsi="Verdana"/>
          <w:sz w:val="20"/>
        </w:rPr>
        <w:t>Ofgem’s</w:t>
      </w:r>
      <w:proofErr w:type="spellEnd"/>
      <w:r>
        <w:rPr>
          <w:rFonts w:ascii="Verdana" w:hAnsi="Verdana"/>
          <w:sz w:val="20"/>
        </w:rPr>
        <w:t xml:space="preserve"> satisfaction that they have in place robust and </w:t>
      </w:r>
      <w:r w:rsidR="005C335D">
        <w:rPr>
          <w:rFonts w:ascii="Verdana" w:hAnsi="Verdana"/>
          <w:sz w:val="20"/>
        </w:rPr>
        <w:t xml:space="preserve">coherent </w:t>
      </w:r>
      <w:r>
        <w:rPr>
          <w:rFonts w:ascii="Verdana" w:hAnsi="Verdana"/>
          <w:sz w:val="20"/>
        </w:rPr>
        <w:t>proposals for the takeover of the transmission assets from the relevant Developer by the expected transfer date for the relevant Qualifying Project.</w:t>
      </w:r>
    </w:p>
    <w:p w:rsidR="00376141" w:rsidRDefault="00376141" w:rsidP="00376141">
      <w:pPr>
        <w:pStyle w:val="Heading4"/>
        <w:numPr>
          <w:ilvl w:val="0"/>
          <w:numId w:val="0"/>
        </w:numPr>
        <w:ind w:left="2694" w:hanging="1134"/>
        <w:rPr>
          <w:rFonts w:ascii="Verdana" w:hAnsi="Verdana"/>
          <w:sz w:val="20"/>
        </w:rPr>
      </w:pPr>
      <w:r w:rsidRPr="0058199C">
        <w:rPr>
          <w:rFonts w:ascii="Verdana" w:hAnsi="Verdana"/>
          <w:sz w:val="20"/>
          <w:u w:val="single"/>
        </w:rPr>
        <w:t xml:space="preserve">Section 3: </w:t>
      </w:r>
      <w:r w:rsidR="000E5B0C" w:rsidRPr="0058199C">
        <w:rPr>
          <w:rFonts w:ascii="Verdana" w:hAnsi="Verdana"/>
          <w:sz w:val="20"/>
          <w:u w:val="single"/>
        </w:rPr>
        <w:t xml:space="preserve">Ongoing </w:t>
      </w:r>
      <w:r w:rsidR="002C14E9">
        <w:rPr>
          <w:rFonts w:ascii="Verdana" w:hAnsi="Verdana"/>
          <w:sz w:val="20"/>
          <w:u w:val="single"/>
        </w:rPr>
        <w:t>o</w:t>
      </w:r>
      <w:r w:rsidR="000E5B0C" w:rsidRPr="0058199C">
        <w:rPr>
          <w:rFonts w:ascii="Verdana" w:hAnsi="Verdana"/>
          <w:sz w:val="20"/>
          <w:u w:val="single"/>
        </w:rPr>
        <w:t>peration</w:t>
      </w:r>
    </w:p>
    <w:p w:rsidR="0058199C" w:rsidRPr="00ED0392" w:rsidRDefault="00ED0392" w:rsidP="00ED0392">
      <w:pPr>
        <w:pStyle w:val="BodyText"/>
        <w:ind w:left="1559"/>
        <w:rPr>
          <w:rFonts w:ascii="Verdana" w:hAnsi="Verdana"/>
          <w:sz w:val="20"/>
        </w:rPr>
      </w:pPr>
      <w:r>
        <w:rPr>
          <w:rFonts w:ascii="Verdana" w:hAnsi="Verdana"/>
          <w:sz w:val="20"/>
        </w:rPr>
        <w:t>Q</w:t>
      </w:r>
      <w:r w:rsidRPr="00ED0392">
        <w:rPr>
          <w:rFonts w:ascii="Verdana" w:hAnsi="Verdana"/>
          <w:sz w:val="20"/>
        </w:rPr>
        <w:t xml:space="preserve">ualifying Bidders must demonstrate to </w:t>
      </w:r>
      <w:proofErr w:type="spellStart"/>
      <w:r w:rsidRPr="00ED0392">
        <w:rPr>
          <w:rFonts w:ascii="Verdana" w:hAnsi="Verdana"/>
          <w:sz w:val="20"/>
        </w:rPr>
        <w:t>Ofgem’s</w:t>
      </w:r>
      <w:proofErr w:type="spellEnd"/>
      <w:r w:rsidRPr="00ED0392">
        <w:rPr>
          <w:rFonts w:ascii="Verdana" w:hAnsi="Verdana"/>
          <w:sz w:val="20"/>
        </w:rPr>
        <w:t xml:space="preserve"> satisfaction that they have in place </w:t>
      </w:r>
      <w:r w:rsidR="004C0DD0">
        <w:rPr>
          <w:rFonts w:ascii="Verdana" w:hAnsi="Verdana"/>
          <w:sz w:val="20"/>
        </w:rPr>
        <w:t>robust and coherent operational plans for the relevant Qualifying Project.</w:t>
      </w:r>
    </w:p>
    <w:p w:rsidR="001E4F3D" w:rsidRPr="0058199C" w:rsidRDefault="00376141" w:rsidP="00376141">
      <w:pPr>
        <w:pStyle w:val="Heading4"/>
        <w:numPr>
          <w:ilvl w:val="0"/>
          <w:numId w:val="0"/>
        </w:numPr>
        <w:ind w:left="2694" w:hanging="1134"/>
        <w:rPr>
          <w:rFonts w:ascii="Verdana" w:hAnsi="Verdana"/>
          <w:sz w:val="20"/>
          <w:u w:val="single"/>
        </w:rPr>
      </w:pPr>
      <w:r w:rsidRPr="0058199C">
        <w:rPr>
          <w:rFonts w:ascii="Verdana" w:hAnsi="Verdana"/>
          <w:sz w:val="20"/>
          <w:u w:val="single"/>
        </w:rPr>
        <w:t xml:space="preserve">Section 4: </w:t>
      </w:r>
      <w:r w:rsidR="004555B8" w:rsidRPr="0058199C">
        <w:rPr>
          <w:rFonts w:ascii="Verdana" w:hAnsi="Verdana"/>
          <w:sz w:val="20"/>
          <w:u w:val="single"/>
        </w:rPr>
        <w:t>Decommissioning</w:t>
      </w:r>
      <w:r w:rsidR="00CD22B3" w:rsidRPr="0058199C">
        <w:rPr>
          <w:rFonts w:ascii="Verdana" w:hAnsi="Verdana"/>
          <w:sz w:val="20"/>
          <w:u w:val="single"/>
        </w:rPr>
        <w:t xml:space="preserve"> </w:t>
      </w:r>
      <w:r w:rsidR="002C14E9">
        <w:rPr>
          <w:rFonts w:ascii="Verdana" w:hAnsi="Verdana"/>
          <w:sz w:val="20"/>
          <w:u w:val="single"/>
        </w:rPr>
        <w:t>p</w:t>
      </w:r>
      <w:r w:rsidR="002C14E9" w:rsidRPr="0058199C">
        <w:rPr>
          <w:rFonts w:ascii="Verdana" w:hAnsi="Verdana"/>
          <w:sz w:val="20"/>
          <w:u w:val="single"/>
        </w:rPr>
        <w:t>lan</w:t>
      </w:r>
    </w:p>
    <w:p w:rsidR="0058199C" w:rsidRPr="00ED0392" w:rsidRDefault="007E3C98" w:rsidP="00ED0392">
      <w:pPr>
        <w:pStyle w:val="BodyText"/>
        <w:ind w:left="1559"/>
        <w:rPr>
          <w:rFonts w:ascii="Verdana" w:hAnsi="Verdana"/>
          <w:sz w:val="20"/>
        </w:rPr>
      </w:pPr>
      <w:r w:rsidRPr="00ED0392">
        <w:rPr>
          <w:rFonts w:ascii="Verdana" w:hAnsi="Verdana"/>
          <w:sz w:val="20"/>
        </w:rPr>
        <w:t xml:space="preserve">Qualifying Bidders must demonstrate to </w:t>
      </w:r>
      <w:proofErr w:type="spellStart"/>
      <w:r w:rsidRPr="00ED0392">
        <w:rPr>
          <w:rFonts w:ascii="Verdana" w:hAnsi="Verdana"/>
          <w:sz w:val="20"/>
        </w:rPr>
        <w:t>Ofgem’s</w:t>
      </w:r>
      <w:proofErr w:type="spellEnd"/>
      <w:r w:rsidRPr="00ED0392">
        <w:rPr>
          <w:rFonts w:ascii="Verdana" w:hAnsi="Verdana"/>
          <w:sz w:val="20"/>
        </w:rPr>
        <w:t xml:space="preserve"> satisfaction that they have </w:t>
      </w:r>
      <w:r>
        <w:rPr>
          <w:rFonts w:ascii="Verdana" w:hAnsi="Verdana"/>
          <w:sz w:val="20"/>
        </w:rPr>
        <w:t xml:space="preserve">a thorough understanding of the decommissioning requirements for the relevant Qualifying Project, and that these are reflected </w:t>
      </w:r>
      <w:r w:rsidRPr="00ED0392">
        <w:rPr>
          <w:rFonts w:ascii="Verdana" w:hAnsi="Verdana"/>
          <w:sz w:val="20"/>
        </w:rPr>
        <w:t>in a pragmatic and deliverable d</w:t>
      </w:r>
      <w:r>
        <w:rPr>
          <w:rFonts w:ascii="Verdana" w:hAnsi="Verdana"/>
          <w:sz w:val="20"/>
        </w:rPr>
        <w:t>ecommissioning programme</w:t>
      </w:r>
      <w:r w:rsidRPr="00ED0392">
        <w:rPr>
          <w:rFonts w:ascii="Verdana" w:hAnsi="Verdana"/>
          <w:sz w:val="20"/>
        </w:rPr>
        <w:t xml:space="preserve">.  </w:t>
      </w:r>
      <w:r w:rsidR="00ED0392" w:rsidRPr="00ED0392">
        <w:rPr>
          <w:rFonts w:ascii="Verdana" w:hAnsi="Verdana"/>
          <w:sz w:val="20"/>
        </w:rPr>
        <w:t>As appropriate, this</w:t>
      </w:r>
      <w:r w:rsidR="00ED0392">
        <w:rPr>
          <w:rFonts w:ascii="Verdana" w:hAnsi="Verdana"/>
          <w:sz w:val="20"/>
        </w:rPr>
        <w:t xml:space="preserve"> must take into account any </w:t>
      </w:r>
      <w:r>
        <w:rPr>
          <w:rFonts w:ascii="Verdana" w:hAnsi="Verdana"/>
          <w:sz w:val="20"/>
        </w:rPr>
        <w:t>decommissioning</w:t>
      </w:r>
      <w:r w:rsidR="00ED0392">
        <w:rPr>
          <w:rFonts w:ascii="Verdana" w:hAnsi="Verdana"/>
          <w:sz w:val="20"/>
        </w:rPr>
        <w:t xml:space="preserve"> plans already identified by the relevant Developer.</w:t>
      </w:r>
      <w:r w:rsidR="00ED0392" w:rsidRPr="00ED0392">
        <w:rPr>
          <w:rFonts w:ascii="Verdana" w:hAnsi="Verdana"/>
          <w:sz w:val="20"/>
        </w:rPr>
        <w:t xml:space="preserve"> Th</w:t>
      </w:r>
      <w:r w:rsidR="004C0DD0">
        <w:rPr>
          <w:rFonts w:ascii="Verdana" w:hAnsi="Verdana"/>
          <w:sz w:val="20"/>
        </w:rPr>
        <w:t xml:space="preserve">is programme </w:t>
      </w:r>
      <w:r w:rsidR="00ED0392" w:rsidRPr="00ED0392">
        <w:rPr>
          <w:rFonts w:ascii="Verdana" w:hAnsi="Verdana"/>
          <w:sz w:val="20"/>
        </w:rPr>
        <w:t>must be consistent with the financing assumptions identified for decommissioning</w:t>
      </w:r>
      <w:r w:rsidR="004C0DD0">
        <w:rPr>
          <w:rFonts w:ascii="Verdana" w:hAnsi="Verdana"/>
          <w:sz w:val="20"/>
        </w:rPr>
        <w:t xml:space="preserve"> by the Qualifying Bidder</w:t>
      </w:r>
      <w:r w:rsidR="00ED0392" w:rsidRPr="00ED0392">
        <w:rPr>
          <w:rFonts w:ascii="Verdana" w:hAnsi="Verdana"/>
          <w:sz w:val="20"/>
        </w:rPr>
        <w:t>.</w:t>
      </w:r>
    </w:p>
    <w:p w:rsidR="00907194" w:rsidRDefault="00907194" w:rsidP="00907194">
      <w:pPr>
        <w:pStyle w:val="Heading3"/>
        <w:rPr>
          <w:rFonts w:ascii="Verdana" w:hAnsi="Verdana"/>
          <w:sz w:val="20"/>
        </w:rPr>
      </w:pPr>
      <w:r w:rsidRPr="00EC322C">
        <w:rPr>
          <w:rFonts w:ascii="Verdana" w:hAnsi="Verdana"/>
          <w:sz w:val="20"/>
        </w:rPr>
        <w:t>In respond</w:t>
      </w:r>
      <w:r w:rsidR="004C0DD0">
        <w:rPr>
          <w:rFonts w:ascii="Verdana" w:hAnsi="Verdana"/>
          <w:sz w:val="20"/>
        </w:rPr>
        <w:t>ing to the</w:t>
      </w:r>
      <w:r w:rsidRPr="00EC322C">
        <w:rPr>
          <w:rFonts w:ascii="Verdana" w:hAnsi="Verdana"/>
          <w:sz w:val="20"/>
        </w:rPr>
        <w:t xml:space="preserve"> requirements</w:t>
      </w:r>
      <w:r w:rsidR="004C0DD0">
        <w:rPr>
          <w:rFonts w:ascii="Verdana" w:hAnsi="Verdana"/>
          <w:sz w:val="20"/>
        </w:rPr>
        <w:t xml:space="preserve"> set out in Appendix </w:t>
      </w:r>
      <w:r w:rsidR="00B45DFD">
        <w:rPr>
          <w:rFonts w:ascii="Verdana" w:hAnsi="Verdana"/>
          <w:sz w:val="20"/>
        </w:rPr>
        <w:t>2</w:t>
      </w:r>
      <w:r w:rsidRPr="00EC322C">
        <w:rPr>
          <w:rFonts w:ascii="Verdana" w:hAnsi="Verdana"/>
          <w:sz w:val="20"/>
        </w:rPr>
        <w:t xml:space="preserve">, Qualifying Bidders should take into consideration any proposals made by </w:t>
      </w:r>
      <w:r w:rsidR="00197607">
        <w:rPr>
          <w:rFonts w:ascii="Verdana" w:hAnsi="Verdana"/>
          <w:sz w:val="20"/>
        </w:rPr>
        <w:t xml:space="preserve">the relevant Developer </w:t>
      </w:r>
      <w:r w:rsidRPr="00EC322C">
        <w:rPr>
          <w:rFonts w:ascii="Verdana" w:hAnsi="Verdana"/>
          <w:sz w:val="20"/>
        </w:rPr>
        <w:t xml:space="preserve">in the Final </w:t>
      </w:r>
      <w:r w:rsidR="0076561E">
        <w:rPr>
          <w:rFonts w:ascii="Verdana" w:hAnsi="Verdana"/>
          <w:sz w:val="20"/>
        </w:rPr>
        <w:t xml:space="preserve">Project </w:t>
      </w:r>
      <w:r w:rsidRPr="00EC322C">
        <w:rPr>
          <w:rFonts w:ascii="Verdana" w:hAnsi="Verdana"/>
          <w:sz w:val="20"/>
        </w:rPr>
        <w:t>SPA or other documents placed in the data room (such as proposed transition arrangements) which may have an impact on the</w:t>
      </w:r>
      <w:r w:rsidR="004C0DD0">
        <w:rPr>
          <w:rFonts w:ascii="Verdana" w:hAnsi="Verdana"/>
          <w:sz w:val="20"/>
        </w:rPr>
        <w:t>ir</w:t>
      </w:r>
      <w:r w:rsidRPr="00EC322C">
        <w:rPr>
          <w:rFonts w:ascii="Verdana" w:hAnsi="Verdana"/>
          <w:sz w:val="20"/>
        </w:rPr>
        <w:t xml:space="preserve"> </w:t>
      </w:r>
      <w:r w:rsidR="004C0DD0">
        <w:rPr>
          <w:rFonts w:ascii="Verdana" w:hAnsi="Verdana"/>
          <w:sz w:val="20"/>
        </w:rPr>
        <w:t xml:space="preserve">proposed </w:t>
      </w:r>
      <w:r w:rsidRPr="00EC322C">
        <w:rPr>
          <w:rFonts w:ascii="Verdana" w:hAnsi="Verdana"/>
          <w:sz w:val="20"/>
        </w:rPr>
        <w:t>takeover and operational plan.</w:t>
      </w:r>
    </w:p>
    <w:p w:rsidR="004C0DD0" w:rsidRDefault="004C0DD0" w:rsidP="004C0DD0">
      <w:pPr>
        <w:pStyle w:val="Heading3"/>
        <w:rPr>
          <w:rFonts w:ascii="Verdana" w:hAnsi="Verdana"/>
          <w:sz w:val="20"/>
        </w:rPr>
      </w:pPr>
      <w:r w:rsidRPr="00907194">
        <w:rPr>
          <w:rFonts w:ascii="Verdana" w:hAnsi="Verdana"/>
          <w:sz w:val="20"/>
        </w:rPr>
        <w:t xml:space="preserve">Evaluation of non-financial issues will be </w:t>
      </w:r>
      <w:r>
        <w:rPr>
          <w:rFonts w:ascii="Verdana" w:hAnsi="Verdana"/>
          <w:sz w:val="20"/>
        </w:rPr>
        <w:t xml:space="preserve">assessed on a scored basis, with Qualifying Bidders required to meet </w:t>
      </w:r>
      <w:r w:rsidR="00631D6E">
        <w:rPr>
          <w:rFonts w:ascii="Verdana" w:hAnsi="Verdana"/>
          <w:sz w:val="20"/>
        </w:rPr>
        <w:t xml:space="preserve">each of </w:t>
      </w:r>
      <w:r>
        <w:rPr>
          <w:rFonts w:ascii="Verdana" w:hAnsi="Verdana"/>
          <w:sz w:val="20"/>
        </w:rPr>
        <w:t>the minimum thresholds identified above.  Scores will be allocated on the overall robustness</w:t>
      </w:r>
      <w:r w:rsidR="005C335D">
        <w:rPr>
          <w:rFonts w:ascii="Verdana" w:hAnsi="Verdana"/>
          <w:sz w:val="20"/>
        </w:rPr>
        <w:t xml:space="preserve"> and</w:t>
      </w:r>
      <w:r>
        <w:rPr>
          <w:rFonts w:ascii="Verdana" w:hAnsi="Verdana"/>
          <w:sz w:val="20"/>
        </w:rPr>
        <w:t xml:space="preserve"> coheren</w:t>
      </w:r>
      <w:r w:rsidR="005C335D">
        <w:rPr>
          <w:rFonts w:ascii="Verdana" w:hAnsi="Verdana"/>
          <w:sz w:val="20"/>
        </w:rPr>
        <w:t>ce</w:t>
      </w:r>
      <w:r>
        <w:rPr>
          <w:rFonts w:ascii="Verdana" w:hAnsi="Verdana"/>
          <w:sz w:val="20"/>
        </w:rPr>
        <w:t xml:space="preserve"> of the Qualifying Bidder’s detailed arrangements.</w:t>
      </w:r>
    </w:p>
    <w:p w:rsidR="004C0DD0" w:rsidRDefault="004C0DD0" w:rsidP="004C0DD0">
      <w:pPr>
        <w:pStyle w:val="Heading3"/>
        <w:rPr>
          <w:rFonts w:ascii="Verdana" w:hAnsi="Verdana"/>
          <w:sz w:val="20"/>
        </w:rPr>
      </w:pPr>
      <w:r w:rsidRPr="00907194">
        <w:rPr>
          <w:rFonts w:ascii="Verdana" w:hAnsi="Verdana"/>
          <w:sz w:val="20"/>
        </w:rPr>
        <w:t xml:space="preserve">Appendix </w:t>
      </w:r>
      <w:r w:rsidR="00B45DFD">
        <w:rPr>
          <w:rFonts w:ascii="Verdana" w:hAnsi="Verdana"/>
          <w:sz w:val="20"/>
        </w:rPr>
        <w:t>2</w:t>
      </w:r>
      <w:r w:rsidR="00197607">
        <w:rPr>
          <w:rFonts w:ascii="Verdana" w:hAnsi="Verdana"/>
          <w:sz w:val="20"/>
        </w:rPr>
        <w:t xml:space="preserve"> </w:t>
      </w:r>
      <w:r w:rsidRPr="00907194">
        <w:rPr>
          <w:rFonts w:ascii="Verdana" w:hAnsi="Verdana"/>
          <w:sz w:val="20"/>
        </w:rPr>
        <w:t xml:space="preserve">sets out the </w:t>
      </w:r>
      <w:r>
        <w:rPr>
          <w:rFonts w:ascii="Verdana" w:hAnsi="Verdana"/>
          <w:sz w:val="20"/>
        </w:rPr>
        <w:t xml:space="preserve">information Qualifying Bidders are required </w:t>
      </w:r>
      <w:r w:rsidRPr="00907194">
        <w:rPr>
          <w:rFonts w:ascii="Verdana" w:hAnsi="Verdana"/>
          <w:sz w:val="20"/>
        </w:rPr>
        <w:t xml:space="preserve">in respect of each </w:t>
      </w:r>
      <w:r w:rsidR="00277C2D">
        <w:rPr>
          <w:rFonts w:ascii="Verdana" w:hAnsi="Verdana"/>
          <w:sz w:val="20"/>
        </w:rPr>
        <w:t xml:space="preserve">of </w:t>
      </w:r>
      <w:r w:rsidRPr="00907194">
        <w:rPr>
          <w:rFonts w:ascii="Verdana" w:hAnsi="Verdana"/>
          <w:sz w:val="20"/>
        </w:rPr>
        <w:t xml:space="preserve">these sections within </w:t>
      </w:r>
      <w:r>
        <w:rPr>
          <w:rFonts w:ascii="Verdana" w:hAnsi="Verdana"/>
          <w:sz w:val="20"/>
        </w:rPr>
        <w:t xml:space="preserve">the overall non-financial </w:t>
      </w:r>
      <w:r w:rsidR="00197607">
        <w:rPr>
          <w:rFonts w:ascii="Verdana" w:hAnsi="Verdana"/>
          <w:sz w:val="20"/>
        </w:rPr>
        <w:t>deliverability</w:t>
      </w:r>
      <w:r>
        <w:rPr>
          <w:rFonts w:ascii="Verdana" w:hAnsi="Verdana"/>
          <w:sz w:val="20"/>
        </w:rPr>
        <w:t>.</w:t>
      </w:r>
    </w:p>
    <w:p w:rsidR="002A4B22" w:rsidRPr="00270D4E" w:rsidRDefault="002A4B22" w:rsidP="002A4B22">
      <w:pPr>
        <w:pStyle w:val="Heading3"/>
        <w:rPr>
          <w:rFonts w:ascii="Verdana" w:hAnsi="Verdana"/>
          <w:sz w:val="20"/>
        </w:rPr>
      </w:pPr>
      <w:r w:rsidRPr="00907194">
        <w:rPr>
          <w:rFonts w:ascii="Verdana" w:hAnsi="Verdana"/>
          <w:sz w:val="20"/>
        </w:rPr>
        <w:t xml:space="preserve">Qualifying Bidders that do not demonstrate to </w:t>
      </w:r>
      <w:proofErr w:type="spellStart"/>
      <w:r w:rsidRPr="00907194">
        <w:rPr>
          <w:rFonts w:ascii="Verdana" w:hAnsi="Verdana"/>
          <w:sz w:val="20"/>
        </w:rPr>
        <w:t>Ofgem’s</w:t>
      </w:r>
      <w:proofErr w:type="spellEnd"/>
      <w:r w:rsidRPr="00907194">
        <w:rPr>
          <w:rFonts w:ascii="Verdana" w:hAnsi="Verdana"/>
          <w:sz w:val="20"/>
        </w:rPr>
        <w:t xml:space="preserve"> satisfaction that they meet </w:t>
      </w:r>
      <w:r w:rsidR="00277C2D">
        <w:rPr>
          <w:rFonts w:ascii="Verdana" w:hAnsi="Verdana"/>
          <w:sz w:val="20"/>
        </w:rPr>
        <w:t xml:space="preserve">each of </w:t>
      </w:r>
      <w:r w:rsidRPr="00907194">
        <w:rPr>
          <w:rFonts w:ascii="Verdana" w:hAnsi="Verdana"/>
          <w:sz w:val="20"/>
        </w:rPr>
        <w:t>th</w:t>
      </w:r>
      <w:r>
        <w:rPr>
          <w:rFonts w:ascii="Verdana" w:hAnsi="Verdana"/>
          <w:sz w:val="20"/>
        </w:rPr>
        <w:t xml:space="preserve">ese </w:t>
      </w:r>
      <w:r w:rsidRPr="00907194">
        <w:rPr>
          <w:rFonts w:ascii="Verdana" w:hAnsi="Verdana"/>
          <w:sz w:val="20"/>
        </w:rPr>
        <w:t>minimum threshold</w:t>
      </w:r>
      <w:r>
        <w:rPr>
          <w:rFonts w:ascii="Verdana" w:hAnsi="Verdana"/>
          <w:sz w:val="20"/>
        </w:rPr>
        <w:t>s</w:t>
      </w:r>
      <w:r w:rsidRPr="00907194">
        <w:rPr>
          <w:rFonts w:ascii="Verdana" w:hAnsi="Verdana"/>
          <w:sz w:val="20"/>
        </w:rPr>
        <w:t xml:space="preserve"> w</w:t>
      </w:r>
      <w:r>
        <w:rPr>
          <w:rFonts w:ascii="Verdana" w:hAnsi="Verdana"/>
          <w:sz w:val="20"/>
        </w:rPr>
        <w:t>ill not be considered further.</w:t>
      </w:r>
    </w:p>
    <w:p w:rsidR="00F856F6" w:rsidRPr="00662AF9" w:rsidRDefault="003B1FE7" w:rsidP="00DE4ADB">
      <w:pPr>
        <w:pStyle w:val="Heading2"/>
        <w:rPr>
          <w:rFonts w:ascii="Verdana" w:hAnsi="Verdana"/>
          <w:sz w:val="20"/>
        </w:rPr>
      </w:pPr>
      <w:r w:rsidRPr="00662AF9">
        <w:rPr>
          <w:rFonts w:ascii="Verdana" w:hAnsi="Verdana"/>
          <w:sz w:val="20"/>
        </w:rPr>
        <w:t>Financial</w:t>
      </w:r>
      <w:r w:rsidR="001E4F3D" w:rsidRPr="00662AF9">
        <w:rPr>
          <w:rFonts w:ascii="Verdana" w:hAnsi="Verdana"/>
          <w:sz w:val="20"/>
        </w:rPr>
        <w:t xml:space="preserve"> </w:t>
      </w:r>
      <w:r w:rsidRPr="00662AF9">
        <w:rPr>
          <w:rFonts w:ascii="Verdana" w:hAnsi="Verdana"/>
          <w:sz w:val="20"/>
        </w:rPr>
        <w:t>Deliverability</w:t>
      </w:r>
    </w:p>
    <w:p w:rsidR="0058199C" w:rsidRDefault="0058199C" w:rsidP="00794CF7">
      <w:pPr>
        <w:pStyle w:val="Heading3"/>
        <w:numPr>
          <w:ilvl w:val="2"/>
          <w:numId w:val="10"/>
        </w:numPr>
        <w:tabs>
          <w:tab w:val="clear" w:pos="2268"/>
          <w:tab w:val="clear" w:pos="2977"/>
          <w:tab w:val="clear" w:pos="3686"/>
          <w:tab w:val="clear" w:pos="4394"/>
          <w:tab w:val="clear" w:pos="8789"/>
        </w:tabs>
        <w:rPr>
          <w:rFonts w:ascii="Verdana" w:eastAsia="Times New Roman" w:hAnsi="Verdana"/>
          <w:sz w:val="20"/>
        </w:rPr>
      </w:pPr>
      <w:r>
        <w:rPr>
          <w:rFonts w:ascii="Verdana" w:eastAsia="Times New Roman" w:hAnsi="Verdana"/>
          <w:sz w:val="20"/>
        </w:rPr>
        <w:t xml:space="preserve">Submissions that meet the threshold requirements in terms of non-financial </w:t>
      </w:r>
      <w:r w:rsidR="004C0DD0">
        <w:rPr>
          <w:rFonts w:ascii="Verdana" w:eastAsia="Times New Roman" w:hAnsi="Verdana"/>
          <w:sz w:val="20"/>
        </w:rPr>
        <w:t xml:space="preserve">deliverability </w:t>
      </w:r>
      <w:r>
        <w:rPr>
          <w:rFonts w:ascii="Verdana" w:eastAsia="Times New Roman" w:hAnsi="Verdana"/>
          <w:sz w:val="20"/>
        </w:rPr>
        <w:t xml:space="preserve">will then be evaluated </w:t>
      </w:r>
      <w:r w:rsidR="00434EC0">
        <w:rPr>
          <w:rFonts w:ascii="Verdana" w:eastAsia="Times New Roman" w:hAnsi="Verdana"/>
          <w:sz w:val="20"/>
        </w:rPr>
        <w:t>i</w:t>
      </w:r>
      <w:r>
        <w:rPr>
          <w:rFonts w:ascii="Verdana" w:eastAsia="Times New Roman" w:hAnsi="Verdana"/>
          <w:sz w:val="20"/>
        </w:rPr>
        <w:t>n terms of the deliverability of the</w:t>
      </w:r>
      <w:r w:rsidR="004C0DD0">
        <w:rPr>
          <w:rFonts w:ascii="Verdana" w:eastAsia="Times New Roman" w:hAnsi="Verdana"/>
          <w:sz w:val="20"/>
        </w:rPr>
        <w:t>ir</w:t>
      </w:r>
      <w:r>
        <w:rPr>
          <w:rFonts w:ascii="Verdana" w:eastAsia="Times New Roman" w:hAnsi="Verdana"/>
          <w:sz w:val="20"/>
        </w:rPr>
        <w:t xml:space="preserve"> financial proposals.  </w:t>
      </w:r>
    </w:p>
    <w:p w:rsidR="00631D6E" w:rsidRPr="001E4F3D" w:rsidRDefault="00631D6E" w:rsidP="00631D6E">
      <w:pPr>
        <w:pStyle w:val="Heading3"/>
        <w:rPr>
          <w:rFonts w:ascii="Verdana" w:hAnsi="Verdana"/>
          <w:sz w:val="20"/>
        </w:rPr>
      </w:pPr>
      <w:r>
        <w:rPr>
          <w:rFonts w:ascii="Verdana" w:hAnsi="Verdana"/>
          <w:sz w:val="20"/>
        </w:rPr>
        <w:t>E</w:t>
      </w:r>
      <w:r w:rsidRPr="001E4F3D">
        <w:rPr>
          <w:rFonts w:ascii="Verdana" w:hAnsi="Verdana"/>
          <w:sz w:val="20"/>
        </w:rPr>
        <w:t xml:space="preserve">valuation of financial deliverability </w:t>
      </w:r>
      <w:r w:rsidR="00434EC0">
        <w:rPr>
          <w:rFonts w:ascii="Verdana" w:hAnsi="Verdana"/>
          <w:sz w:val="20"/>
        </w:rPr>
        <w:t>(</w:t>
      </w:r>
      <w:r w:rsidR="00B45DFD">
        <w:rPr>
          <w:rFonts w:ascii="Verdana" w:hAnsi="Verdana"/>
          <w:sz w:val="20"/>
        </w:rPr>
        <w:t xml:space="preserve">Appendix 2, </w:t>
      </w:r>
      <w:r w:rsidR="00434EC0">
        <w:rPr>
          <w:rFonts w:ascii="Verdana" w:hAnsi="Verdana"/>
          <w:sz w:val="20"/>
        </w:rPr>
        <w:t xml:space="preserve">Section 5) </w:t>
      </w:r>
      <w:r w:rsidRPr="001E4F3D">
        <w:rPr>
          <w:rFonts w:ascii="Verdana" w:hAnsi="Verdana"/>
          <w:sz w:val="20"/>
        </w:rPr>
        <w:t>will assess proposals submitted by the Qualifying Bidder against</w:t>
      </w:r>
      <w:r>
        <w:rPr>
          <w:rFonts w:ascii="Verdana" w:hAnsi="Verdana"/>
          <w:sz w:val="20"/>
        </w:rPr>
        <w:t xml:space="preserve"> the following </w:t>
      </w:r>
      <w:r w:rsidR="00D74666">
        <w:rPr>
          <w:rFonts w:ascii="Verdana" w:hAnsi="Verdana"/>
          <w:sz w:val="20"/>
        </w:rPr>
        <w:t>minimum thresholds</w:t>
      </w:r>
      <w:r w:rsidRPr="001E4F3D">
        <w:rPr>
          <w:rFonts w:ascii="Verdana" w:hAnsi="Verdana"/>
          <w:sz w:val="20"/>
        </w:rPr>
        <w:t>:</w:t>
      </w:r>
    </w:p>
    <w:p w:rsidR="0058199C" w:rsidRPr="0058199C" w:rsidRDefault="0058199C" w:rsidP="0058199C">
      <w:pPr>
        <w:pStyle w:val="Heading4"/>
        <w:numPr>
          <w:ilvl w:val="0"/>
          <w:numId w:val="0"/>
        </w:numPr>
        <w:tabs>
          <w:tab w:val="left" w:pos="720"/>
        </w:tabs>
        <w:ind w:left="2694" w:hanging="1134"/>
        <w:rPr>
          <w:rFonts w:ascii="Verdana" w:eastAsia="Times New Roman" w:hAnsi="Verdana"/>
          <w:sz w:val="20"/>
          <w:u w:val="single"/>
        </w:rPr>
      </w:pPr>
      <w:r w:rsidRPr="0058199C">
        <w:rPr>
          <w:rFonts w:ascii="Verdana" w:eastAsia="Times New Roman" w:hAnsi="Verdana"/>
          <w:sz w:val="20"/>
          <w:u w:val="single"/>
        </w:rPr>
        <w:t xml:space="preserve">Extent </w:t>
      </w:r>
      <w:r>
        <w:rPr>
          <w:rFonts w:ascii="Verdana" w:eastAsia="Times New Roman" w:hAnsi="Verdana"/>
          <w:sz w:val="20"/>
          <w:u w:val="single"/>
        </w:rPr>
        <w:t xml:space="preserve">to which </w:t>
      </w:r>
      <w:r w:rsidR="002C14E9">
        <w:rPr>
          <w:rFonts w:ascii="Verdana" w:eastAsia="Times New Roman" w:hAnsi="Verdana"/>
          <w:sz w:val="20"/>
          <w:u w:val="single"/>
        </w:rPr>
        <w:t>f</w:t>
      </w:r>
      <w:r>
        <w:rPr>
          <w:rFonts w:ascii="Verdana" w:eastAsia="Times New Roman" w:hAnsi="Verdana"/>
          <w:sz w:val="20"/>
          <w:u w:val="single"/>
        </w:rPr>
        <w:t xml:space="preserve">inancing is </w:t>
      </w:r>
      <w:r w:rsidR="002C14E9">
        <w:rPr>
          <w:rFonts w:ascii="Verdana" w:eastAsia="Times New Roman" w:hAnsi="Verdana"/>
          <w:sz w:val="20"/>
          <w:u w:val="single"/>
        </w:rPr>
        <w:t>c</w:t>
      </w:r>
      <w:r>
        <w:rPr>
          <w:rFonts w:ascii="Verdana" w:eastAsia="Times New Roman" w:hAnsi="Verdana"/>
          <w:sz w:val="20"/>
          <w:u w:val="single"/>
        </w:rPr>
        <w:t>ommitted</w:t>
      </w:r>
    </w:p>
    <w:p w:rsidR="0058199C" w:rsidRPr="0058199C" w:rsidRDefault="0058199C" w:rsidP="0058199C">
      <w:pPr>
        <w:pStyle w:val="BodyText"/>
        <w:tabs>
          <w:tab w:val="clear" w:pos="1559"/>
          <w:tab w:val="left" w:pos="1560"/>
        </w:tabs>
        <w:ind w:left="1560"/>
        <w:rPr>
          <w:rFonts w:ascii="Verdana" w:eastAsia="Calibri" w:hAnsi="Verdana"/>
          <w:sz w:val="20"/>
        </w:rPr>
      </w:pPr>
      <w:r w:rsidRPr="0058199C">
        <w:rPr>
          <w:rFonts w:ascii="Verdana" w:hAnsi="Verdana"/>
          <w:sz w:val="20"/>
        </w:rPr>
        <w:t xml:space="preserve">Qualifying Bidders must </w:t>
      </w:r>
      <w:r w:rsidR="00197607">
        <w:rPr>
          <w:rFonts w:ascii="Verdana" w:hAnsi="Verdana"/>
          <w:sz w:val="20"/>
        </w:rPr>
        <w:t xml:space="preserve">provide </w:t>
      </w:r>
      <w:r w:rsidRPr="000B702A">
        <w:rPr>
          <w:rFonts w:ascii="Verdana" w:hAnsi="Verdana"/>
          <w:bCs/>
          <w:sz w:val="20"/>
        </w:rPr>
        <w:t>all the</w:t>
      </w:r>
      <w:r w:rsidRPr="0058199C">
        <w:rPr>
          <w:rFonts w:ascii="Verdana" w:hAnsi="Verdana"/>
          <w:sz w:val="20"/>
        </w:rPr>
        <w:t xml:space="preserve"> </w:t>
      </w:r>
      <w:r w:rsidR="00197607">
        <w:rPr>
          <w:rFonts w:ascii="Verdana" w:hAnsi="Verdana"/>
          <w:sz w:val="20"/>
        </w:rPr>
        <w:t xml:space="preserve">information requested in the relevant parts of Appendix </w:t>
      </w:r>
      <w:r w:rsidR="00B45DFD">
        <w:rPr>
          <w:rFonts w:ascii="Verdana" w:hAnsi="Verdana"/>
          <w:sz w:val="20"/>
        </w:rPr>
        <w:t>2</w:t>
      </w:r>
      <w:r w:rsidR="000B702A">
        <w:rPr>
          <w:rFonts w:ascii="Verdana" w:hAnsi="Verdana"/>
          <w:sz w:val="20"/>
        </w:rPr>
        <w:t xml:space="preserve">, </w:t>
      </w:r>
      <w:r w:rsidRPr="0058199C">
        <w:rPr>
          <w:rFonts w:ascii="Verdana" w:hAnsi="Verdana"/>
          <w:sz w:val="20"/>
        </w:rPr>
        <w:t xml:space="preserve">and </w:t>
      </w:r>
      <w:r w:rsidR="00197607">
        <w:rPr>
          <w:rFonts w:ascii="Verdana" w:hAnsi="Verdana"/>
          <w:sz w:val="20"/>
        </w:rPr>
        <w:t xml:space="preserve">are required to demonstrate to Ofgem that </w:t>
      </w:r>
      <w:r w:rsidR="000B702A">
        <w:rPr>
          <w:rFonts w:ascii="Verdana" w:hAnsi="Verdana"/>
          <w:sz w:val="20"/>
        </w:rPr>
        <w:t>the</w:t>
      </w:r>
      <w:r w:rsidR="00197607">
        <w:rPr>
          <w:rFonts w:ascii="Verdana" w:hAnsi="Verdana"/>
          <w:sz w:val="20"/>
        </w:rPr>
        <w:t>se</w:t>
      </w:r>
      <w:r w:rsidR="000B702A">
        <w:rPr>
          <w:rFonts w:ascii="Verdana" w:hAnsi="Verdana"/>
          <w:sz w:val="20"/>
        </w:rPr>
        <w:t xml:space="preserve"> f</w:t>
      </w:r>
      <w:r w:rsidRPr="0058199C">
        <w:rPr>
          <w:rFonts w:ascii="Verdana" w:hAnsi="Verdana"/>
          <w:sz w:val="20"/>
        </w:rPr>
        <w:t>inancing proposals are deliverable in the timeframe by the expected transfer date for the relevant Qualifying Project.</w:t>
      </w:r>
    </w:p>
    <w:p w:rsidR="0058199C" w:rsidRPr="0058199C" w:rsidRDefault="0058199C" w:rsidP="0058199C">
      <w:pPr>
        <w:pStyle w:val="Heading4"/>
        <w:numPr>
          <w:ilvl w:val="0"/>
          <w:numId w:val="0"/>
        </w:numPr>
        <w:tabs>
          <w:tab w:val="clear" w:pos="2268"/>
          <w:tab w:val="left" w:pos="720"/>
          <w:tab w:val="left" w:pos="1560"/>
        </w:tabs>
        <w:rPr>
          <w:rFonts w:ascii="Verdana" w:eastAsia="Times New Roman" w:hAnsi="Verdana"/>
          <w:sz w:val="20"/>
          <w:u w:val="single"/>
        </w:rPr>
      </w:pPr>
      <w:r>
        <w:rPr>
          <w:rFonts w:ascii="Verdana" w:eastAsia="Times New Roman" w:hAnsi="Verdana"/>
          <w:sz w:val="20"/>
        </w:rPr>
        <w:tab/>
      </w:r>
      <w:r>
        <w:rPr>
          <w:rFonts w:ascii="Verdana" w:eastAsia="Times New Roman" w:hAnsi="Verdana"/>
          <w:sz w:val="20"/>
        </w:rPr>
        <w:tab/>
      </w:r>
      <w:r>
        <w:rPr>
          <w:rFonts w:ascii="Verdana" w:eastAsia="Times New Roman" w:hAnsi="Verdana"/>
          <w:sz w:val="20"/>
          <w:u w:val="single"/>
        </w:rPr>
        <w:t xml:space="preserve">Approach to </w:t>
      </w:r>
      <w:r w:rsidR="00821E0C">
        <w:rPr>
          <w:rFonts w:ascii="Verdana" w:eastAsia="Times New Roman" w:hAnsi="Verdana"/>
          <w:sz w:val="20"/>
          <w:u w:val="single"/>
        </w:rPr>
        <w:t>D</w:t>
      </w:r>
      <w:r>
        <w:rPr>
          <w:rFonts w:ascii="Verdana" w:eastAsia="Times New Roman" w:hAnsi="Verdana"/>
          <w:sz w:val="20"/>
          <w:u w:val="single"/>
        </w:rPr>
        <w:t xml:space="preserve">ue </w:t>
      </w:r>
      <w:r w:rsidR="00821E0C">
        <w:rPr>
          <w:rFonts w:ascii="Verdana" w:eastAsia="Times New Roman" w:hAnsi="Verdana"/>
          <w:sz w:val="20"/>
          <w:u w:val="single"/>
        </w:rPr>
        <w:t>D</w:t>
      </w:r>
      <w:r>
        <w:rPr>
          <w:rFonts w:ascii="Verdana" w:eastAsia="Times New Roman" w:hAnsi="Verdana"/>
          <w:sz w:val="20"/>
          <w:u w:val="single"/>
        </w:rPr>
        <w:t>iligence</w:t>
      </w:r>
    </w:p>
    <w:p w:rsidR="0058199C" w:rsidRPr="0058199C" w:rsidRDefault="0058199C" w:rsidP="0058199C">
      <w:pPr>
        <w:pStyle w:val="Heading3"/>
        <w:numPr>
          <w:ilvl w:val="0"/>
          <w:numId w:val="0"/>
        </w:numPr>
        <w:tabs>
          <w:tab w:val="left" w:pos="720"/>
        </w:tabs>
        <w:ind w:left="1560" w:hanging="840"/>
        <w:rPr>
          <w:rFonts w:ascii="Verdana" w:eastAsia="Times New Roman" w:hAnsi="Verdana"/>
          <w:sz w:val="20"/>
        </w:rPr>
      </w:pPr>
      <w:r>
        <w:rPr>
          <w:rFonts w:ascii="Verdana" w:eastAsia="Times New Roman" w:hAnsi="Verdana"/>
          <w:sz w:val="20"/>
        </w:rPr>
        <w:lastRenderedPageBreak/>
        <w:tab/>
      </w:r>
      <w:r w:rsidRPr="0058199C">
        <w:rPr>
          <w:rFonts w:ascii="Verdana" w:eastAsia="Times New Roman" w:hAnsi="Verdana"/>
          <w:sz w:val="20"/>
        </w:rPr>
        <w:t>Qualifying Bidder</w:t>
      </w:r>
      <w:r w:rsidR="000B702A">
        <w:rPr>
          <w:rFonts w:ascii="Verdana" w:eastAsia="Times New Roman" w:hAnsi="Verdana"/>
          <w:sz w:val="20"/>
        </w:rPr>
        <w:t>s</w:t>
      </w:r>
      <w:r w:rsidRPr="0058199C">
        <w:rPr>
          <w:rFonts w:ascii="Verdana" w:eastAsia="Times New Roman" w:hAnsi="Verdana"/>
          <w:sz w:val="20"/>
        </w:rPr>
        <w:t xml:space="preserve"> must demonstrate to </w:t>
      </w:r>
      <w:proofErr w:type="spellStart"/>
      <w:r w:rsidRPr="0058199C">
        <w:rPr>
          <w:rFonts w:ascii="Verdana" w:eastAsia="Times New Roman" w:hAnsi="Verdana"/>
          <w:sz w:val="20"/>
        </w:rPr>
        <w:t>Ofgem</w:t>
      </w:r>
      <w:r w:rsidR="000B702A">
        <w:rPr>
          <w:rFonts w:ascii="Verdana" w:eastAsia="Times New Roman" w:hAnsi="Verdana"/>
          <w:sz w:val="20"/>
        </w:rPr>
        <w:t>’s</w:t>
      </w:r>
      <w:proofErr w:type="spellEnd"/>
      <w:r w:rsidR="000B702A">
        <w:rPr>
          <w:rFonts w:ascii="Verdana" w:eastAsia="Times New Roman" w:hAnsi="Verdana"/>
          <w:sz w:val="20"/>
        </w:rPr>
        <w:t xml:space="preserve"> satisfaction </w:t>
      </w:r>
      <w:r w:rsidRPr="0058199C">
        <w:rPr>
          <w:rFonts w:ascii="Verdana" w:eastAsia="Times New Roman" w:hAnsi="Verdana"/>
          <w:sz w:val="20"/>
        </w:rPr>
        <w:t xml:space="preserve">that </w:t>
      </w:r>
      <w:r w:rsidR="000B702A">
        <w:rPr>
          <w:rFonts w:ascii="Verdana" w:eastAsia="Times New Roman" w:hAnsi="Verdana"/>
          <w:sz w:val="20"/>
        </w:rPr>
        <w:t xml:space="preserve">they have </w:t>
      </w:r>
      <w:r w:rsidRPr="0058199C">
        <w:rPr>
          <w:rFonts w:ascii="Verdana" w:eastAsia="Times New Roman" w:hAnsi="Verdana"/>
          <w:sz w:val="20"/>
        </w:rPr>
        <w:t xml:space="preserve">a fully developed due diligence plan </w:t>
      </w:r>
      <w:r w:rsidR="00030777">
        <w:rPr>
          <w:rFonts w:ascii="Verdana" w:eastAsia="Times New Roman" w:hAnsi="Verdana"/>
          <w:sz w:val="20"/>
        </w:rPr>
        <w:t xml:space="preserve">in place </w:t>
      </w:r>
      <w:r w:rsidR="000B702A">
        <w:rPr>
          <w:rFonts w:ascii="Verdana" w:eastAsia="Times New Roman" w:hAnsi="Verdana"/>
          <w:sz w:val="20"/>
        </w:rPr>
        <w:t>for the relevant Qualifying Project</w:t>
      </w:r>
      <w:r w:rsidR="00030777">
        <w:rPr>
          <w:rFonts w:ascii="Verdana" w:eastAsia="Times New Roman" w:hAnsi="Verdana"/>
          <w:sz w:val="20"/>
        </w:rPr>
        <w:t>,</w:t>
      </w:r>
      <w:r w:rsidR="000B702A">
        <w:rPr>
          <w:rFonts w:ascii="Verdana" w:eastAsia="Times New Roman" w:hAnsi="Verdana"/>
          <w:sz w:val="20"/>
        </w:rPr>
        <w:t xml:space="preserve"> </w:t>
      </w:r>
      <w:r w:rsidRPr="0058199C">
        <w:rPr>
          <w:rFonts w:ascii="Verdana" w:eastAsia="Times New Roman" w:hAnsi="Verdana"/>
          <w:sz w:val="20"/>
        </w:rPr>
        <w:t xml:space="preserve">which </w:t>
      </w:r>
      <w:r w:rsidR="00030777">
        <w:rPr>
          <w:rFonts w:ascii="Verdana" w:eastAsia="Times New Roman" w:hAnsi="Verdana"/>
          <w:sz w:val="20"/>
        </w:rPr>
        <w:t xml:space="preserve">also </w:t>
      </w:r>
      <w:r w:rsidRPr="0058199C">
        <w:rPr>
          <w:rFonts w:ascii="Verdana" w:eastAsia="Times New Roman" w:hAnsi="Verdana"/>
          <w:sz w:val="20"/>
        </w:rPr>
        <w:t>set</w:t>
      </w:r>
      <w:r w:rsidR="000B702A">
        <w:rPr>
          <w:rFonts w:ascii="Verdana" w:eastAsia="Times New Roman" w:hAnsi="Verdana"/>
          <w:sz w:val="20"/>
        </w:rPr>
        <w:t>s</w:t>
      </w:r>
      <w:r w:rsidRPr="0058199C">
        <w:rPr>
          <w:rFonts w:ascii="Verdana" w:eastAsia="Times New Roman" w:hAnsi="Verdana"/>
          <w:sz w:val="20"/>
        </w:rPr>
        <w:t xml:space="preserve"> out any remaining confirmatory due diligence required on appointment of Preferred Bidder.</w:t>
      </w:r>
    </w:p>
    <w:p w:rsidR="005C335D" w:rsidRDefault="005C335D" w:rsidP="0058199C">
      <w:pPr>
        <w:pStyle w:val="Heading4"/>
        <w:numPr>
          <w:ilvl w:val="0"/>
          <w:numId w:val="0"/>
        </w:numPr>
        <w:tabs>
          <w:tab w:val="left" w:pos="720"/>
        </w:tabs>
        <w:ind w:firstLine="1560"/>
        <w:rPr>
          <w:rFonts w:ascii="Verdana" w:eastAsia="Times New Roman" w:hAnsi="Verdana"/>
          <w:sz w:val="20"/>
          <w:u w:val="single"/>
        </w:rPr>
      </w:pPr>
      <w:r>
        <w:rPr>
          <w:rFonts w:ascii="Verdana" w:eastAsia="Times New Roman" w:hAnsi="Verdana"/>
          <w:sz w:val="20"/>
          <w:u w:val="single"/>
        </w:rPr>
        <w:t xml:space="preserve">Approach to </w:t>
      </w:r>
      <w:r w:rsidR="002C14E9">
        <w:rPr>
          <w:rFonts w:ascii="Verdana" w:eastAsia="Times New Roman" w:hAnsi="Verdana"/>
          <w:sz w:val="20"/>
          <w:u w:val="single"/>
        </w:rPr>
        <w:t>c</w:t>
      </w:r>
      <w:r>
        <w:rPr>
          <w:rFonts w:ascii="Verdana" w:eastAsia="Times New Roman" w:hAnsi="Verdana"/>
          <w:sz w:val="20"/>
          <w:u w:val="single"/>
        </w:rPr>
        <w:t xml:space="preserve">omply with </w:t>
      </w:r>
      <w:r w:rsidR="002C14E9">
        <w:rPr>
          <w:rFonts w:ascii="Verdana" w:eastAsia="Times New Roman" w:hAnsi="Verdana"/>
          <w:sz w:val="20"/>
          <w:u w:val="single"/>
        </w:rPr>
        <w:t>s</w:t>
      </w:r>
      <w:r>
        <w:rPr>
          <w:rFonts w:ascii="Verdana" w:eastAsia="Times New Roman" w:hAnsi="Verdana"/>
          <w:sz w:val="20"/>
          <w:u w:val="single"/>
        </w:rPr>
        <w:t xml:space="preserve">tandard </w:t>
      </w:r>
      <w:r w:rsidR="002C14E9">
        <w:rPr>
          <w:rFonts w:ascii="Verdana" w:eastAsia="Times New Roman" w:hAnsi="Verdana"/>
          <w:sz w:val="20"/>
          <w:u w:val="single"/>
        </w:rPr>
        <w:t>l</w:t>
      </w:r>
      <w:r>
        <w:rPr>
          <w:rFonts w:ascii="Verdana" w:eastAsia="Times New Roman" w:hAnsi="Verdana"/>
          <w:sz w:val="20"/>
          <w:u w:val="single"/>
        </w:rPr>
        <w:t xml:space="preserve">icence </w:t>
      </w:r>
      <w:r w:rsidR="002C14E9">
        <w:rPr>
          <w:rFonts w:ascii="Verdana" w:eastAsia="Times New Roman" w:hAnsi="Verdana"/>
          <w:sz w:val="20"/>
          <w:u w:val="single"/>
        </w:rPr>
        <w:t>c</w:t>
      </w:r>
      <w:r>
        <w:rPr>
          <w:rFonts w:ascii="Verdana" w:eastAsia="Times New Roman" w:hAnsi="Verdana"/>
          <w:sz w:val="20"/>
          <w:u w:val="single"/>
        </w:rPr>
        <w:t>ondition</w:t>
      </w:r>
      <w:r w:rsidR="002C14E9">
        <w:rPr>
          <w:rFonts w:ascii="Verdana" w:eastAsia="Times New Roman" w:hAnsi="Verdana"/>
          <w:sz w:val="20"/>
          <w:u w:val="single"/>
        </w:rPr>
        <w:t>s</w:t>
      </w:r>
      <w:r>
        <w:rPr>
          <w:rFonts w:ascii="Verdana" w:eastAsia="Times New Roman" w:hAnsi="Verdana"/>
          <w:sz w:val="20"/>
          <w:u w:val="single"/>
        </w:rPr>
        <w:t xml:space="preserve"> E10 &amp; E11</w:t>
      </w:r>
    </w:p>
    <w:p w:rsidR="005C335D" w:rsidRPr="005C335D" w:rsidRDefault="005C335D" w:rsidP="005C335D">
      <w:pPr>
        <w:pStyle w:val="BodyText"/>
        <w:ind w:left="1560" w:hanging="1560"/>
        <w:rPr>
          <w:rFonts w:ascii="Verdana" w:hAnsi="Verdana"/>
          <w:sz w:val="20"/>
        </w:rPr>
      </w:pPr>
      <w:r>
        <w:tab/>
      </w:r>
      <w:r>
        <w:tab/>
      </w:r>
      <w:r w:rsidR="008F62A8">
        <w:rPr>
          <w:rFonts w:ascii="Verdana" w:hAnsi="Verdana"/>
          <w:sz w:val="20"/>
        </w:rPr>
        <w:t xml:space="preserve">Qualifying Bidders must demonstrate that they have robust and coherent </w:t>
      </w:r>
      <w:r w:rsidR="007E3C98">
        <w:rPr>
          <w:rFonts w:ascii="Verdana" w:hAnsi="Verdana"/>
          <w:sz w:val="20"/>
        </w:rPr>
        <w:t>arrangements</w:t>
      </w:r>
      <w:r w:rsidR="008F62A8">
        <w:rPr>
          <w:rFonts w:ascii="Verdana" w:hAnsi="Verdana"/>
          <w:sz w:val="20"/>
        </w:rPr>
        <w:t xml:space="preserve"> in place to </w:t>
      </w:r>
      <w:r w:rsidRPr="005C335D">
        <w:rPr>
          <w:rFonts w:ascii="Verdana" w:hAnsi="Verdana"/>
          <w:sz w:val="20"/>
        </w:rPr>
        <w:t xml:space="preserve">address licence condition E11 on credit rating and the associated ring fencing provisions in E10. </w:t>
      </w:r>
    </w:p>
    <w:p w:rsidR="0058199C" w:rsidRPr="0058199C" w:rsidRDefault="00821E0C" w:rsidP="0058199C">
      <w:pPr>
        <w:pStyle w:val="Heading4"/>
        <w:numPr>
          <w:ilvl w:val="0"/>
          <w:numId w:val="0"/>
        </w:numPr>
        <w:tabs>
          <w:tab w:val="left" w:pos="720"/>
        </w:tabs>
        <w:ind w:firstLine="1560"/>
        <w:rPr>
          <w:rFonts w:ascii="Verdana" w:eastAsia="Times New Roman" w:hAnsi="Verdana"/>
          <w:sz w:val="20"/>
          <w:u w:val="single"/>
        </w:rPr>
      </w:pPr>
      <w:r>
        <w:rPr>
          <w:rFonts w:ascii="Verdana" w:eastAsia="Times New Roman" w:hAnsi="Verdana"/>
          <w:sz w:val="20"/>
          <w:u w:val="single"/>
        </w:rPr>
        <w:t xml:space="preserve">Approach to </w:t>
      </w:r>
      <w:r w:rsidR="002C14E9">
        <w:rPr>
          <w:rFonts w:ascii="Verdana" w:eastAsia="Times New Roman" w:hAnsi="Verdana"/>
          <w:sz w:val="20"/>
          <w:u w:val="single"/>
        </w:rPr>
        <w:t>f</w:t>
      </w:r>
      <w:r w:rsidR="0058199C" w:rsidRPr="0058199C">
        <w:rPr>
          <w:rFonts w:ascii="Verdana" w:eastAsia="Times New Roman" w:hAnsi="Verdana"/>
          <w:sz w:val="20"/>
          <w:u w:val="single"/>
        </w:rPr>
        <w:t xml:space="preserve">inancing </w:t>
      </w:r>
      <w:r w:rsidR="002C14E9">
        <w:rPr>
          <w:rFonts w:ascii="Verdana" w:eastAsia="Times New Roman" w:hAnsi="Verdana"/>
          <w:sz w:val="20"/>
          <w:u w:val="single"/>
        </w:rPr>
        <w:t>s</w:t>
      </w:r>
      <w:r w:rsidR="00030777">
        <w:rPr>
          <w:rFonts w:ascii="Verdana" w:eastAsia="Times New Roman" w:hAnsi="Verdana"/>
          <w:sz w:val="20"/>
          <w:u w:val="single"/>
        </w:rPr>
        <w:t xml:space="preserve">tandard </w:t>
      </w:r>
      <w:r w:rsidR="002C14E9">
        <w:rPr>
          <w:rFonts w:ascii="Verdana" w:eastAsia="Times New Roman" w:hAnsi="Verdana"/>
          <w:sz w:val="20"/>
          <w:u w:val="single"/>
        </w:rPr>
        <w:t>l</w:t>
      </w:r>
      <w:r w:rsidR="0058199C" w:rsidRPr="0058199C">
        <w:rPr>
          <w:rFonts w:ascii="Verdana" w:eastAsia="Times New Roman" w:hAnsi="Verdana"/>
          <w:sz w:val="20"/>
          <w:u w:val="single"/>
        </w:rPr>
        <w:t xml:space="preserve">icence </w:t>
      </w:r>
      <w:r w:rsidR="002C14E9">
        <w:rPr>
          <w:rFonts w:ascii="Verdana" w:eastAsia="Times New Roman" w:hAnsi="Verdana"/>
          <w:sz w:val="20"/>
          <w:u w:val="single"/>
        </w:rPr>
        <w:t>c</w:t>
      </w:r>
      <w:r w:rsidR="0058199C">
        <w:rPr>
          <w:rFonts w:ascii="Verdana" w:eastAsia="Times New Roman" w:hAnsi="Verdana"/>
          <w:sz w:val="20"/>
          <w:u w:val="single"/>
        </w:rPr>
        <w:t>ondition</w:t>
      </w:r>
      <w:r w:rsidR="0058199C" w:rsidRPr="0058199C">
        <w:rPr>
          <w:rFonts w:ascii="Verdana" w:eastAsia="Times New Roman" w:hAnsi="Verdana"/>
          <w:sz w:val="20"/>
          <w:u w:val="single"/>
        </w:rPr>
        <w:t xml:space="preserve"> E</w:t>
      </w:r>
      <w:r w:rsidR="00277C2D">
        <w:rPr>
          <w:rFonts w:ascii="Verdana" w:eastAsia="Times New Roman" w:hAnsi="Verdana"/>
          <w:sz w:val="20"/>
          <w:u w:val="single"/>
        </w:rPr>
        <w:t>17</w:t>
      </w:r>
    </w:p>
    <w:p w:rsidR="0058199C" w:rsidRPr="0058199C" w:rsidRDefault="0058199C" w:rsidP="0058199C">
      <w:pPr>
        <w:pStyle w:val="BodyText"/>
        <w:tabs>
          <w:tab w:val="clear" w:pos="1559"/>
          <w:tab w:val="left" w:pos="1560"/>
        </w:tabs>
        <w:ind w:left="1560"/>
        <w:rPr>
          <w:rFonts w:ascii="Verdana" w:eastAsia="Calibri" w:hAnsi="Verdana"/>
          <w:sz w:val="20"/>
        </w:rPr>
      </w:pPr>
      <w:r w:rsidRPr="0058199C">
        <w:rPr>
          <w:rFonts w:ascii="Verdana" w:hAnsi="Verdana"/>
          <w:sz w:val="20"/>
        </w:rPr>
        <w:t xml:space="preserve">Qualifying Bidders must demonstrate </w:t>
      </w:r>
      <w:r w:rsidR="000B702A">
        <w:rPr>
          <w:rFonts w:ascii="Verdana" w:hAnsi="Verdana"/>
          <w:sz w:val="20"/>
        </w:rPr>
        <w:t xml:space="preserve">that they have robust and </w:t>
      </w:r>
      <w:r w:rsidR="008F62A8">
        <w:rPr>
          <w:rFonts w:ascii="Verdana" w:hAnsi="Verdana"/>
          <w:sz w:val="20"/>
        </w:rPr>
        <w:t>coherent</w:t>
      </w:r>
      <w:r w:rsidR="000B702A">
        <w:rPr>
          <w:rFonts w:ascii="Verdana" w:hAnsi="Verdana"/>
          <w:sz w:val="20"/>
        </w:rPr>
        <w:t xml:space="preserve"> </w:t>
      </w:r>
      <w:r w:rsidRPr="0058199C">
        <w:rPr>
          <w:rFonts w:ascii="Verdana" w:hAnsi="Verdana"/>
          <w:sz w:val="20"/>
        </w:rPr>
        <w:t xml:space="preserve">arrangements in place to cater for any amendments which </w:t>
      </w:r>
      <w:r w:rsidR="000B702A">
        <w:rPr>
          <w:rFonts w:ascii="Verdana" w:hAnsi="Verdana"/>
          <w:sz w:val="20"/>
        </w:rPr>
        <w:t xml:space="preserve">may </w:t>
      </w:r>
      <w:r w:rsidRPr="0058199C">
        <w:rPr>
          <w:rFonts w:ascii="Verdana" w:hAnsi="Verdana"/>
          <w:sz w:val="20"/>
        </w:rPr>
        <w:t xml:space="preserve">arise as a result of </w:t>
      </w:r>
      <w:r w:rsidR="000B702A">
        <w:rPr>
          <w:rFonts w:ascii="Verdana" w:hAnsi="Verdana"/>
          <w:sz w:val="20"/>
        </w:rPr>
        <w:t>Standard L</w:t>
      </w:r>
      <w:r w:rsidRPr="0058199C">
        <w:rPr>
          <w:rFonts w:ascii="Verdana" w:hAnsi="Verdana"/>
          <w:sz w:val="20"/>
        </w:rPr>
        <w:t xml:space="preserve">icence </w:t>
      </w:r>
      <w:r w:rsidR="000B702A">
        <w:rPr>
          <w:rFonts w:ascii="Verdana" w:hAnsi="Verdana"/>
          <w:sz w:val="20"/>
        </w:rPr>
        <w:t>Co</w:t>
      </w:r>
      <w:r w:rsidRPr="0058199C">
        <w:rPr>
          <w:rFonts w:ascii="Verdana" w:hAnsi="Verdana"/>
          <w:sz w:val="20"/>
        </w:rPr>
        <w:t>ndition E</w:t>
      </w:r>
      <w:r w:rsidR="00277C2D">
        <w:rPr>
          <w:rFonts w:ascii="Verdana" w:hAnsi="Verdana"/>
          <w:sz w:val="20"/>
        </w:rPr>
        <w:t>17</w:t>
      </w:r>
      <w:r w:rsidR="000B702A">
        <w:rPr>
          <w:rFonts w:ascii="Verdana" w:hAnsi="Verdana"/>
          <w:sz w:val="20"/>
        </w:rPr>
        <w:t xml:space="preserve"> of the Offshore </w:t>
      </w:r>
      <w:r w:rsidR="00277C2D">
        <w:rPr>
          <w:rFonts w:ascii="Verdana" w:hAnsi="Verdana"/>
          <w:sz w:val="20"/>
        </w:rPr>
        <w:t xml:space="preserve">Electricity </w:t>
      </w:r>
      <w:r w:rsidR="000B702A">
        <w:rPr>
          <w:rFonts w:ascii="Verdana" w:hAnsi="Verdana"/>
          <w:sz w:val="20"/>
        </w:rPr>
        <w:t>Transmission Licence</w:t>
      </w:r>
      <w:r w:rsidRPr="0058199C">
        <w:rPr>
          <w:rFonts w:ascii="Verdana" w:hAnsi="Verdana"/>
          <w:sz w:val="20"/>
        </w:rPr>
        <w:t>, demonstrating how they intend to fund</w:t>
      </w:r>
      <w:r w:rsidR="000B702A">
        <w:rPr>
          <w:rFonts w:ascii="Verdana" w:hAnsi="Verdana"/>
          <w:sz w:val="20"/>
        </w:rPr>
        <w:t xml:space="preserve"> any</w:t>
      </w:r>
      <w:r w:rsidRPr="0058199C">
        <w:rPr>
          <w:rFonts w:ascii="Verdana" w:hAnsi="Verdana"/>
          <w:sz w:val="20"/>
        </w:rPr>
        <w:t xml:space="preserve"> incremental cap</w:t>
      </w:r>
      <w:r w:rsidR="002C14E9">
        <w:rPr>
          <w:rFonts w:ascii="Verdana" w:hAnsi="Verdana"/>
          <w:sz w:val="20"/>
        </w:rPr>
        <w:t xml:space="preserve">ital </w:t>
      </w:r>
      <w:r w:rsidRPr="0058199C">
        <w:rPr>
          <w:rFonts w:ascii="Verdana" w:hAnsi="Verdana"/>
          <w:sz w:val="20"/>
        </w:rPr>
        <w:t>ex</w:t>
      </w:r>
      <w:r w:rsidR="002C14E9">
        <w:rPr>
          <w:rFonts w:ascii="Verdana" w:hAnsi="Verdana"/>
          <w:sz w:val="20"/>
        </w:rPr>
        <w:t>penditure</w:t>
      </w:r>
      <w:r w:rsidRPr="0058199C">
        <w:rPr>
          <w:rFonts w:ascii="Verdana" w:hAnsi="Verdana"/>
          <w:sz w:val="20"/>
        </w:rPr>
        <w:t xml:space="preserve"> and ensure best value of any financing </w:t>
      </w:r>
      <w:r w:rsidR="002C14E9">
        <w:rPr>
          <w:rFonts w:ascii="Verdana" w:hAnsi="Verdana"/>
          <w:sz w:val="20"/>
        </w:rPr>
        <w:t xml:space="preserve">and investment </w:t>
      </w:r>
      <w:r w:rsidRPr="0058199C">
        <w:rPr>
          <w:rFonts w:ascii="Verdana" w:hAnsi="Verdana"/>
          <w:sz w:val="20"/>
        </w:rPr>
        <w:t xml:space="preserve">proposals.  </w:t>
      </w:r>
    </w:p>
    <w:p w:rsidR="0058199C" w:rsidRPr="0058199C" w:rsidRDefault="0058199C" w:rsidP="0058199C">
      <w:pPr>
        <w:pStyle w:val="Heading4"/>
        <w:numPr>
          <w:ilvl w:val="0"/>
          <w:numId w:val="0"/>
        </w:numPr>
        <w:tabs>
          <w:tab w:val="left" w:pos="720"/>
        </w:tabs>
        <w:ind w:firstLine="1560"/>
        <w:rPr>
          <w:rFonts w:ascii="Verdana" w:eastAsia="Times New Roman" w:hAnsi="Verdana"/>
          <w:sz w:val="20"/>
          <w:u w:val="single"/>
        </w:rPr>
      </w:pPr>
      <w:r w:rsidRPr="0058199C">
        <w:rPr>
          <w:rFonts w:ascii="Verdana" w:eastAsia="Times New Roman" w:hAnsi="Verdana"/>
          <w:sz w:val="20"/>
          <w:u w:val="single"/>
        </w:rPr>
        <w:t xml:space="preserve">Ability to </w:t>
      </w:r>
      <w:r w:rsidR="002C14E9">
        <w:rPr>
          <w:rFonts w:ascii="Verdana" w:eastAsia="Times New Roman" w:hAnsi="Verdana"/>
          <w:sz w:val="20"/>
          <w:u w:val="single"/>
        </w:rPr>
        <w:t>c</w:t>
      </w:r>
      <w:r w:rsidRPr="0058199C">
        <w:rPr>
          <w:rFonts w:ascii="Verdana" w:eastAsia="Times New Roman" w:hAnsi="Verdana"/>
          <w:sz w:val="20"/>
          <w:u w:val="single"/>
        </w:rPr>
        <w:t xml:space="preserve">omply with </w:t>
      </w:r>
      <w:r w:rsidR="002C14E9">
        <w:rPr>
          <w:rFonts w:ascii="Verdana" w:eastAsia="Times New Roman" w:hAnsi="Verdana"/>
          <w:sz w:val="20"/>
          <w:u w:val="single"/>
        </w:rPr>
        <w:t>s</w:t>
      </w:r>
      <w:r w:rsidR="00030777">
        <w:rPr>
          <w:rFonts w:ascii="Verdana" w:eastAsia="Times New Roman" w:hAnsi="Verdana"/>
          <w:sz w:val="20"/>
          <w:u w:val="single"/>
        </w:rPr>
        <w:t xml:space="preserve">tandard </w:t>
      </w:r>
      <w:r w:rsidR="002C14E9">
        <w:rPr>
          <w:rFonts w:ascii="Verdana" w:eastAsia="Times New Roman" w:hAnsi="Verdana"/>
          <w:sz w:val="20"/>
          <w:u w:val="single"/>
        </w:rPr>
        <w:t>l</w:t>
      </w:r>
      <w:r w:rsidRPr="0058199C">
        <w:rPr>
          <w:rFonts w:ascii="Verdana" w:eastAsia="Times New Roman" w:hAnsi="Verdana"/>
          <w:sz w:val="20"/>
          <w:u w:val="single"/>
        </w:rPr>
        <w:t xml:space="preserve">icence </w:t>
      </w:r>
      <w:r w:rsidR="002C14E9">
        <w:rPr>
          <w:rFonts w:ascii="Verdana" w:eastAsia="Times New Roman" w:hAnsi="Verdana"/>
          <w:sz w:val="20"/>
          <w:u w:val="single"/>
        </w:rPr>
        <w:t>c</w:t>
      </w:r>
      <w:r w:rsidRPr="0058199C">
        <w:rPr>
          <w:rFonts w:ascii="Verdana" w:eastAsia="Times New Roman" w:hAnsi="Verdana"/>
          <w:sz w:val="20"/>
          <w:u w:val="single"/>
        </w:rPr>
        <w:t>ondition E7</w:t>
      </w:r>
    </w:p>
    <w:p w:rsidR="0058199C" w:rsidRDefault="0058199C" w:rsidP="0058199C">
      <w:pPr>
        <w:pStyle w:val="Heading4"/>
        <w:numPr>
          <w:ilvl w:val="0"/>
          <w:numId w:val="0"/>
        </w:numPr>
        <w:tabs>
          <w:tab w:val="clear" w:pos="2268"/>
          <w:tab w:val="left" w:pos="720"/>
          <w:tab w:val="left" w:pos="1560"/>
        </w:tabs>
        <w:ind w:left="1560" w:hanging="840"/>
        <w:rPr>
          <w:rFonts w:ascii="Verdana" w:eastAsia="Times New Roman" w:hAnsi="Verdana"/>
          <w:sz w:val="20"/>
        </w:rPr>
      </w:pPr>
      <w:r>
        <w:rPr>
          <w:rFonts w:ascii="Verdana" w:eastAsia="Times New Roman" w:hAnsi="Verdana"/>
          <w:sz w:val="20"/>
        </w:rPr>
        <w:tab/>
        <w:t xml:space="preserve">Qualifying Bidders must demonstrate that </w:t>
      </w:r>
      <w:r w:rsidR="000B702A">
        <w:rPr>
          <w:rFonts w:ascii="Verdana" w:eastAsia="Times New Roman" w:hAnsi="Verdana"/>
          <w:sz w:val="20"/>
        </w:rPr>
        <w:t xml:space="preserve">they </w:t>
      </w:r>
      <w:r w:rsidR="00030777">
        <w:rPr>
          <w:rFonts w:ascii="Verdana" w:eastAsia="Times New Roman" w:hAnsi="Verdana"/>
          <w:sz w:val="20"/>
        </w:rPr>
        <w:t xml:space="preserve">have </w:t>
      </w:r>
      <w:r>
        <w:rPr>
          <w:rFonts w:ascii="Verdana" w:eastAsia="Times New Roman" w:hAnsi="Verdana"/>
          <w:sz w:val="20"/>
        </w:rPr>
        <w:t xml:space="preserve">put in place the necessary arrangements to ensure </w:t>
      </w:r>
      <w:r w:rsidR="00030777">
        <w:rPr>
          <w:rFonts w:ascii="Verdana" w:eastAsia="Times New Roman" w:hAnsi="Verdana"/>
          <w:sz w:val="20"/>
        </w:rPr>
        <w:t xml:space="preserve">compliance </w:t>
      </w:r>
      <w:r>
        <w:rPr>
          <w:rFonts w:ascii="Verdana" w:eastAsia="Times New Roman" w:hAnsi="Verdana"/>
          <w:sz w:val="20"/>
        </w:rPr>
        <w:t xml:space="preserve">with </w:t>
      </w:r>
      <w:r w:rsidR="00427405">
        <w:rPr>
          <w:rFonts w:ascii="Verdana" w:eastAsia="Times New Roman" w:hAnsi="Verdana"/>
          <w:sz w:val="20"/>
        </w:rPr>
        <w:t>Standard Licence Condition E7</w:t>
      </w:r>
      <w:r w:rsidR="002C14E9">
        <w:rPr>
          <w:rFonts w:ascii="Verdana" w:eastAsia="Times New Roman" w:hAnsi="Verdana"/>
          <w:sz w:val="20"/>
        </w:rPr>
        <w:t xml:space="preserve"> financial ring-fencing,</w:t>
      </w:r>
      <w:r w:rsidR="00427405">
        <w:rPr>
          <w:rFonts w:ascii="Verdana" w:eastAsia="Times New Roman" w:hAnsi="Verdana"/>
          <w:sz w:val="20"/>
        </w:rPr>
        <w:t xml:space="preserve"> of the Offshore Electricity Transmission Licence</w:t>
      </w:r>
      <w:r>
        <w:rPr>
          <w:rFonts w:ascii="Verdana" w:eastAsia="Times New Roman" w:hAnsi="Verdana"/>
          <w:sz w:val="20"/>
        </w:rPr>
        <w:t>, and how it will comply.  </w:t>
      </w:r>
    </w:p>
    <w:p w:rsidR="00631D6E" w:rsidRDefault="00631D6E" w:rsidP="00794CF7">
      <w:pPr>
        <w:pStyle w:val="Heading3"/>
        <w:numPr>
          <w:ilvl w:val="2"/>
          <w:numId w:val="10"/>
        </w:numPr>
        <w:tabs>
          <w:tab w:val="clear" w:pos="2268"/>
          <w:tab w:val="clear" w:pos="2977"/>
          <w:tab w:val="clear" w:pos="3686"/>
          <w:tab w:val="clear" w:pos="4394"/>
          <w:tab w:val="clear" w:pos="8789"/>
        </w:tabs>
        <w:rPr>
          <w:rFonts w:ascii="Verdana" w:eastAsia="Times New Roman" w:hAnsi="Verdana"/>
          <w:sz w:val="20"/>
        </w:rPr>
      </w:pPr>
      <w:r>
        <w:rPr>
          <w:rFonts w:ascii="Verdana" w:eastAsia="Times New Roman" w:hAnsi="Verdana"/>
          <w:sz w:val="20"/>
        </w:rPr>
        <w:t xml:space="preserve">Evaluation of financial deliverability will be assessed on a scored basis, with Qualifying Bidders required to meet each minimum threshold identified above.  </w:t>
      </w:r>
    </w:p>
    <w:p w:rsidR="004C0DD0" w:rsidRDefault="004C0DD0" w:rsidP="00794CF7">
      <w:pPr>
        <w:pStyle w:val="Heading3"/>
        <w:numPr>
          <w:ilvl w:val="2"/>
          <w:numId w:val="10"/>
        </w:numPr>
        <w:tabs>
          <w:tab w:val="clear" w:pos="2268"/>
          <w:tab w:val="clear" w:pos="2977"/>
          <w:tab w:val="clear" w:pos="3686"/>
          <w:tab w:val="clear" w:pos="4394"/>
          <w:tab w:val="clear" w:pos="8789"/>
        </w:tabs>
        <w:rPr>
          <w:rFonts w:ascii="Verdana" w:eastAsia="Times New Roman" w:hAnsi="Verdana"/>
          <w:sz w:val="20"/>
        </w:rPr>
      </w:pPr>
      <w:r>
        <w:rPr>
          <w:rFonts w:ascii="Verdana" w:eastAsia="Times New Roman" w:hAnsi="Verdana"/>
          <w:sz w:val="20"/>
        </w:rPr>
        <w:t xml:space="preserve">Appendix </w:t>
      </w:r>
      <w:r w:rsidR="00B45DFD">
        <w:rPr>
          <w:rFonts w:ascii="Verdana" w:eastAsia="Times New Roman" w:hAnsi="Verdana"/>
          <w:sz w:val="20"/>
        </w:rPr>
        <w:t>2</w:t>
      </w:r>
      <w:r>
        <w:rPr>
          <w:rFonts w:ascii="Verdana" w:eastAsia="Times New Roman" w:hAnsi="Verdana"/>
          <w:sz w:val="20"/>
        </w:rPr>
        <w:t xml:space="preserve"> sets out the detailed requirements that each Qualifying Bidder needs to provide.</w:t>
      </w:r>
    </w:p>
    <w:p w:rsidR="0058199C" w:rsidRDefault="0058199C" w:rsidP="00794CF7">
      <w:pPr>
        <w:pStyle w:val="Heading3"/>
        <w:numPr>
          <w:ilvl w:val="2"/>
          <w:numId w:val="10"/>
        </w:numPr>
        <w:tabs>
          <w:tab w:val="clear" w:pos="2268"/>
          <w:tab w:val="clear" w:pos="2977"/>
          <w:tab w:val="clear" w:pos="3686"/>
          <w:tab w:val="clear" w:pos="4394"/>
          <w:tab w:val="clear" w:pos="8789"/>
        </w:tabs>
        <w:rPr>
          <w:rFonts w:ascii="Verdana" w:eastAsia="Times New Roman" w:hAnsi="Verdana"/>
          <w:sz w:val="20"/>
        </w:rPr>
      </w:pPr>
      <w:r>
        <w:rPr>
          <w:rFonts w:ascii="Verdana" w:eastAsia="Times New Roman" w:hAnsi="Verdana"/>
          <w:sz w:val="20"/>
        </w:rPr>
        <w:t xml:space="preserve">Qualifying Bidders that do not demonstrate to </w:t>
      </w:r>
      <w:proofErr w:type="spellStart"/>
      <w:r>
        <w:rPr>
          <w:rFonts w:ascii="Verdana" w:eastAsia="Times New Roman" w:hAnsi="Verdana"/>
          <w:sz w:val="20"/>
        </w:rPr>
        <w:t>Ofgem’s</w:t>
      </w:r>
      <w:proofErr w:type="spellEnd"/>
      <w:r>
        <w:rPr>
          <w:rFonts w:ascii="Verdana" w:eastAsia="Times New Roman" w:hAnsi="Verdana"/>
          <w:sz w:val="20"/>
        </w:rPr>
        <w:t xml:space="preserve"> satisfaction that they meet these minimum thresholds will not be considered further.  </w:t>
      </w:r>
    </w:p>
    <w:p w:rsidR="003C5189" w:rsidRPr="00F86E9C" w:rsidRDefault="00756C67" w:rsidP="00DE4ADB">
      <w:pPr>
        <w:pStyle w:val="Heading2"/>
        <w:rPr>
          <w:rFonts w:ascii="Verdana" w:hAnsi="Verdana"/>
          <w:sz w:val="20"/>
        </w:rPr>
      </w:pPr>
      <w:r>
        <w:rPr>
          <w:rFonts w:ascii="Verdana" w:hAnsi="Verdana"/>
          <w:sz w:val="20"/>
        </w:rPr>
        <w:t xml:space="preserve">The </w:t>
      </w:r>
      <w:r w:rsidR="003B5FB7" w:rsidRPr="003B5FB7">
        <w:rPr>
          <w:rFonts w:ascii="Verdana" w:hAnsi="Verdana"/>
          <w:sz w:val="20"/>
        </w:rPr>
        <w:t>Tender Revenue Stream</w:t>
      </w:r>
      <w:r w:rsidR="00ED4CF9">
        <w:rPr>
          <w:rFonts w:ascii="Verdana" w:hAnsi="Verdana"/>
          <w:sz w:val="20"/>
        </w:rPr>
        <w:t xml:space="preserve"> and </w:t>
      </w:r>
      <w:r w:rsidR="002A4B22">
        <w:rPr>
          <w:rFonts w:ascii="Verdana" w:hAnsi="Verdana"/>
          <w:sz w:val="20"/>
        </w:rPr>
        <w:t>the Quality of the Underlying Assumptions</w:t>
      </w:r>
    </w:p>
    <w:p w:rsidR="0083604C" w:rsidRDefault="00696BB0" w:rsidP="00DE4ADB">
      <w:pPr>
        <w:pStyle w:val="Heading3"/>
        <w:rPr>
          <w:rFonts w:ascii="Verdana" w:hAnsi="Verdana"/>
          <w:sz w:val="20"/>
        </w:rPr>
      </w:pPr>
      <w:r w:rsidRPr="002F7CDA">
        <w:rPr>
          <w:rFonts w:ascii="Verdana" w:hAnsi="Verdana"/>
          <w:sz w:val="20"/>
        </w:rPr>
        <w:t xml:space="preserve">Each Qualifying Bidder that meets the </w:t>
      </w:r>
      <w:r w:rsidR="0083604C">
        <w:rPr>
          <w:rFonts w:ascii="Verdana" w:hAnsi="Verdana"/>
          <w:sz w:val="20"/>
        </w:rPr>
        <w:t xml:space="preserve">threshold </w:t>
      </w:r>
      <w:r w:rsidRPr="002F7CDA">
        <w:rPr>
          <w:rFonts w:ascii="Verdana" w:hAnsi="Verdana"/>
          <w:sz w:val="20"/>
        </w:rPr>
        <w:t xml:space="preserve">requirements </w:t>
      </w:r>
      <w:r w:rsidR="002A4B22">
        <w:rPr>
          <w:rFonts w:ascii="Verdana" w:hAnsi="Verdana"/>
          <w:sz w:val="20"/>
        </w:rPr>
        <w:t xml:space="preserve">in respect of non-financial </w:t>
      </w:r>
      <w:r w:rsidR="00631D6E">
        <w:rPr>
          <w:rFonts w:ascii="Verdana" w:hAnsi="Verdana"/>
          <w:sz w:val="20"/>
        </w:rPr>
        <w:t xml:space="preserve">and </w:t>
      </w:r>
      <w:r w:rsidR="002A4B22">
        <w:rPr>
          <w:rFonts w:ascii="Verdana" w:hAnsi="Verdana"/>
          <w:sz w:val="20"/>
        </w:rPr>
        <w:t xml:space="preserve">financial deliverability </w:t>
      </w:r>
      <w:r w:rsidRPr="002F7CDA">
        <w:rPr>
          <w:rFonts w:ascii="Verdana" w:hAnsi="Verdana"/>
          <w:sz w:val="20"/>
        </w:rPr>
        <w:t>will be evaluated on the basis of the</w:t>
      </w:r>
      <w:r w:rsidR="002A4B22">
        <w:rPr>
          <w:rFonts w:ascii="Verdana" w:hAnsi="Verdana"/>
          <w:sz w:val="20"/>
        </w:rPr>
        <w:t>ir</w:t>
      </w:r>
      <w:r w:rsidRPr="002F7CDA">
        <w:rPr>
          <w:rFonts w:ascii="Verdana" w:hAnsi="Verdana"/>
          <w:sz w:val="20"/>
        </w:rPr>
        <w:t xml:space="preserve"> firm Tender Revenue Stream bid </w:t>
      </w:r>
      <w:r w:rsidR="002A4B22">
        <w:rPr>
          <w:rFonts w:ascii="Verdana" w:hAnsi="Verdana"/>
          <w:sz w:val="20"/>
        </w:rPr>
        <w:t>a</w:t>
      </w:r>
      <w:r w:rsidR="0083604C">
        <w:rPr>
          <w:rFonts w:ascii="Verdana" w:hAnsi="Verdana"/>
          <w:sz w:val="20"/>
        </w:rPr>
        <w:t xml:space="preserve">nd the </w:t>
      </w:r>
      <w:r w:rsidR="00ED4CF9">
        <w:rPr>
          <w:rFonts w:ascii="Verdana" w:hAnsi="Verdana"/>
          <w:sz w:val="20"/>
        </w:rPr>
        <w:t xml:space="preserve">robustness </w:t>
      </w:r>
      <w:r w:rsidR="0083604C">
        <w:rPr>
          <w:rFonts w:ascii="Verdana" w:hAnsi="Verdana"/>
          <w:sz w:val="20"/>
        </w:rPr>
        <w:t>of the underlying assumptions of this bid.</w:t>
      </w:r>
      <w:r w:rsidR="00ED570B">
        <w:rPr>
          <w:rFonts w:ascii="Verdana" w:hAnsi="Verdana"/>
          <w:sz w:val="20"/>
        </w:rPr>
        <w:t xml:space="preserve">   The scores for these sections will be combined </w:t>
      </w:r>
      <w:r w:rsidR="00D74666">
        <w:rPr>
          <w:rFonts w:ascii="Verdana" w:hAnsi="Verdana"/>
          <w:sz w:val="20"/>
        </w:rPr>
        <w:t xml:space="preserve">on a 60/40 weighted basis </w:t>
      </w:r>
      <w:r w:rsidR="00ED570B">
        <w:rPr>
          <w:rFonts w:ascii="Verdana" w:hAnsi="Verdana"/>
          <w:sz w:val="20"/>
        </w:rPr>
        <w:t>to determine an overall best value bid for the relevant Qualifying Project.</w:t>
      </w:r>
    </w:p>
    <w:p w:rsidR="002A4B22" w:rsidRPr="00ED570B" w:rsidRDefault="00ED570B" w:rsidP="00ED570B">
      <w:pPr>
        <w:pStyle w:val="Heading3"/>
        <w:numPr>
          <w:ilvl w:val="0"/>
          <w:numId w:val="0"/>
        </w:numPr>
        <w:ind w:left="1570"/>
        <w:rPr>
          <w:rFonts w:ascii="Verdana" w:hAnsi="Verdana"/>
          <w:sz w:val="20"/>
          <w:u w:val="single"/>
        </w:rPr>
      </w:pPr>
      <w:r w:rsidRPr="00ED570B">
        <w:rPr>
          <w:rFonts w:ascii="Verdana" w:hAnsi="Verdana"/>
          <w:sz w:val="20"/>
          <w:u w:val="single"/>
        </w:rPr>
        <w:t xml:space="preserve">Section </w:t>
      </w:r>
      <w:r w:rsidR="00434EC0">
        <w:rPr>
          <w:rFonts w:ascii="Verdana" w:hAnsi="Verdana"/>
          <w:sz w:val="20"/>
          <w:u w:val="single"/>
        </w:rPr>
        <w:t>6</w:t>
      </w:r>
      <w:r w:rsidRPr="00ED570B">
        <w:rPr>
          <w:rFonts w:ascii="Verdana" w:hAnsi="Verdana"/>
          <w:sz w:val="20"/>
          <w:u w:val="single"/>
        </w:rPr>
        <w:t xml:space="preserve">: </w:t>
      </w:r>
      <w:r w:rsidR="002A4B22" w:rsidRPr="00ED570B">
        <w:rPr>
          <w:rFonts w:ascii="Verdana" w:hAnsi="Verdana"/>
          <w:sz w:val="20"/>
          <w:u w:val="single"/>
        </w:rPr>
        <w:t>Tender Revenue Stream</w:t>
      </w:r>
    </w:p>
    <w:p w:rsidR="00ED570B" w:rsidRDefault="00ED570B" w:rsidP="00ED570B">
      <w:pPr>
        <w:pStyle w:val="Heading3"/>
        <w:numPr>
          <w:ilvl w:val="0"/>
          <w:numId w:val="0"/>
        </w:numPr>
        <w:ind w:left="1570" w:hanging="850"/>
        <w:rPr>
          <w:rFonts w:ascii="Verdana" w:hAnsi="Verdana"/>
          <w:sz w:val="20"/>
        </w:rPr>
      </w:pPr>
      <w:r>
        <w:rPr>
          <w:rFonts w:ascii="Verdana" w:hAnsi="Verdana"/>
          <w:sz w:val="20"/>
        </w:rPr>
        <w:tab/>
        <w:t xml:space="preserve">Qualifying Bidders must submit their Tender Revenue Stream </w:t>
      </w:r>
      <w:r w:rsidR="00277C2D">
        <w:rPr>
          <w:rFonts w:ascii="Verdana" w:hAnsi="Verdana"/>
          <w:sz w:val="20"/>
        </w:rPr>
        <w:t>b</w:t>
      </w:r>
      <w:r>
        <w:rPr>
          <w:rFonts w:ascii="Verdana" w:hAnsi="Verdana"/>
          <w:sz w:val="20"/>
        </w:rPr>
        <w:t>id for each Qualifying Project in</w:t>
      </w:r>
      <w:r w:rsidR="00D74666">
        <w:rPr>
          <w:rFonts w:ascii="Verdana" w:hAnsi="Verdana"/>
          <w:sz w:val="20"/>
        </w:rPr>
        <w:t xml:space="preserve"> </w:t>
      </w:r>
      <w:r>
        <w:rPr>
          <w:rFonts w:ascii="Verdana" w:hAnsi="Verdana"/>
          <w:sz w:val="20"/>
        </w:rPr>
        <w:t xml:space="preserve">accordance with the requirements set out in </w:t>
      </w:r>
      <w:r w:rsidR="00197607">
        <w:rPr>
          <w:rFonts w:ascii="Verdana" w:hAnsi="Verdana"/>
          <w:sz w:val="20"/>
        </w:rPr>
        <w:t>A</w:t>
      </w:r>
      <w:r>
        <w:rPr>
          <w:rFonts w:ascii="Verdana" w:hAnsi="Verdana"/>
          <w:sz w:val="20"/>
        </w:rPr>
        <w:t xml:space="preserve">ppendix </w:t>
      </w:r>
      <w:r w:rsidR="00B45DFD">
        <w:rPr>
          <w:rFonts w:ascii="Verdana" w:hAnsi="Verdana"/>
          <w:sz w:val="20"/>
        </w:rPr>
        <w:t>2</w:t>
      </w:r>
      <w:r>
        <w:rPr>
          <w:rFonts w:ascii="Verdana" w:hAnsi="Verdana"/>
          <w:sz w:val="20"/>
        </w:rPr>
        <w:t xml:space="preserve">.  </w:t>
      </w:r>
      <w:r w:rsidRPr="002A4B22">
        <w:rPr>
          <w:rFonts w:ascii="Verdana" w:hAnsi="Verdana"/>
          <w:sz w:val="20"/>
        </w:rPr>
        <w:t>Th</w:t>
      </w:r>
      <w:r>
        <w:rPr>
          <w:rFonts w:ascii="Verdana" w:hAnsi="Verdana"/>
          <w:sz w:val="20"/>
        </w:rPr>
        <w:t xml:space="preserve">is </w:t>
      </w:r>
      <w:r w:rsidRPr="002A4B22">
        <w:rPr>
          <w:rFonts w:ascii="Verdana" w:hAnsi="Verdana"/>
          <w:sz w:val="20"/>
        </w:rPr>
        <w:t xml:space="preserve">must be submitted with both the Qualifying Bidders’ own financial model and completed </w:t>
      </w:r>
      <w:proofErr w:type="spellStart"/>
      <w:r w:rsidRPr="002A4B22">
        <w:rPr>
          <w:rFonts w:ascii="Verdana" w:hAnsi="Verdana"/>
          <w:sz w:val="20"/>
        </w:rPr>
        <w:t>proforma</w:t>
      </w:r>
      <w:proofErr w:type="spellEnd"/>
      <w:r w:rsidRPr="002A4B22">
        <w:rPr>
          <w:rFonts w:ascii="Verdana" w:hAnsi="Verdana"/>
          <w:sz w:val="20"/>
        </w:rPr>
        <w:t xml:space="preserve"> input sheets for </w:t>
      </w:r>
      <w:proofErr w:type="spellStart"/>
      <w:r w:rsidRPr="002A4B22">
        <w:rPr>
          <w:rFonts w:ascii="Verdana" w:hAnsi="Verdana"/>
          <w:sz w:val="20"/>
        </w:rPr>
        <w:t>Ofge</w:t>
      </w:r>
      <w:r>
        <w:rPr>
          <w:rFonts w:ascii="Verdana" w:hAnsi="Verdana"/>
          <w:sz w:val="20"/>
        </w:rPr>
        <w:t>m’s</w:t>
      </w:r>
      <w:proofErr w:type="spellEnd"/>
      <w:r>
        <w:rPr>
          <w:rFonts w:ascii="Verdana" w:hAnsi="Verdana"/>
          <w:sz w:val="20"/>
        </w:rPr>
        <w:t xml:space="preserve"> </w:t>
      </w:r>
      <w:r w:rsidR="002C14E9">
        <w:rPr>
          <w:rFonts w:ascii="Verdana" w:hAnsi="Verdana"/>
          <w:sz w:val="20"/>
        </w:rPr>
        <w:t>evaluation purposes</w:t>
      </w:r>
      <w:r>
        <w:rPr>
          <w:rFonts w:ascii="Verdana" w:hAnsi="Verdana"/>
          <w:sz w:val="20"/>
        </w:rPr>
        <w:t>.  These will not be evaluated, but used to inform consideration of the assumptions underlying the Tender Revenue Stream bid.</w:t>
      </w:r>
    </w:p>
    <w:p w:rsidR="002A4B22" w:rsidRDefault="0083604C" w:rsidP="002A4B22">
      <w:pPr>
        <w:pStyle w:val="Heading3"/>
        <w:numPr>
          <w:ilvl w:val="0"/>
          <w:numId w:val="0"/>
        </w:numPr>
        <w:ind w:left="1570"/>
        <w:rPr>
          <w:rFonts w:ascii="Verdana" w:hAnsi="Verdana"/>
          <w:sz w:val="20"/>
        </w:rPr>
      </w:pPr>
      <w:r w:rsidRPr="002A4B22">
        <w:rPr>
          <w:rFonts w:ascii="Verdana" w:hAnsi="Verdana"/>
          <w:sz w:val="20"/>
        </w:rPr>
        <w:t xml:space="preserve">Ofgem will evaluate the Tender Revenue Stream bid of each Qualifying Bidder on a ranked </w:t>
      </w:r>
      <w:r w:rsidR="00ED4CF9" w:rsidRPr="002A4B22">
        <w:rPr>
          <w:rFonts w:ascii="Verdana" w:hAnsi="Verdana"/>
          <w:sz w:val="20"/>
        </w:rPr>
        <w:t xml:space="preserve">and scored </w:t>
      </w:r>
      <w:r w:rsidRPr="002A4B22">
        <w:rPr>
          <w:rFonts w:ascii="Verdana" w:hAnsi="Verdana"/>
          <w:sz w:val="20"/>
        </w:rPr>
        <w:t>basis.</w:t>
      </w:r>
      <w:r w:rsidR="00D84248" w:rsidRPr="002A4B22">
        <w:rPr>
          <w:rFonts w:ascii="Verdana" w:hAnsi="Verdana"/>
          <w:sz w:val="20"/>
        </w:rPr>
        <w:t xml:space="preserve">  </w:t>
      </w:r>
      <w:r w:rsidR="002A4B22">
        <w:rPr>
          <w:rFonts w:ascii="Verdana" w:hAnsi="Verdana"/>
          <w:sz w:val="20"/>
        </w:rPr>
        <w:t xml:space="preserve">Scores will be allocated across Qualifying Bidders for each Qualifying Project on the basis of </w:t>
      </w:r>
      <w:r w:rsidR="00277C2D">
        <w:rPr>
          <w:rFonts w:ascii="Verdana" w:hAnsi="Verdana"/>
          <w:sz w:val="20"/>
        </w:rPr>
        <w:t xml:space="preserve">the </w:t>
      </w:r>
      <w:r w:rsidR="002A4B22">
        <w:rPr>
          <w:rFonts w:ascii="Verdana" w:hAnsi="Verdana"/>
          <w:sz w:val="20"/>
        </w:rPr>
        <w:t xml:space="preserve">Tender </w:t>
      </w:r>
      <w:r w:rsidR="002A4B22">
        <w:rPr>
          <w:rFonts w:ascii="Verdana" w:hAnsi="Verdana"/>
          <w:sz w:val="20"/>
        </w:rPr>
        <w:lastRenderedPageBreak/>
        <w:t xml:space="preserve">Revenue Stream bids, with the lowest Tender Revenue Stream being awarded the highest available score.  </w:t>
      </w:r>
    </w:p>
    <w:p w:rsidR="00ED4CF9" w:rsidRPr="002A4B22" w:rsidRDefault="00277C2D" w:rsidP="00DE4ADB">
      <w:pPr>
        <w:pStyle w:val="Heading3"/>
        <w:rPr>
          <w:rFonts w:ascii="Verdana" w:hAnsi="Verdana"/>
          <w:sz w:val="20"/>
        </w:rPr>
      </w:pPr>
      <w:r>
        <w:rPr>
          <w:rFonts w:ascii="Verdana" w:hAnsi="Verdana"/>
          <w:sz w:val="20"/>
        </w:rPr>
        <w:t>S</w:t>
      </w:r>
      <w:r w:rsidR="00741E9E">
        <w:rPr>
          <w:rFonts w:ascii="Verdana" w:hAnsi="Verdana"/>
          <w:sz w:val="20"/>
        </w:rPr>
        <w:t xml:space="preserve">ection </w:t>
      </w:r>
      <w:r>
        <w:rPr>
          <w:rFonts w:ascii="Verdana" w:hAnsi="Verdana"/>
          <w:sz w:val="20"/>
        </w:rPr>
        <w:t xml:space="preserve">6 </w:t>
      </w:r>
      <w:r w:rsidR="00ED4CF9" w:rsidRPr="002A4B22">
        <w:rPr>
          <w:rFonts w:ascii="Verdana" w:hAnsi="Verdana"/>
          <w:sz w:val="20"/>
        </w:rPr>
        <w:t xml:space="preserve">will be </w:t>
      </w:r>
      <w:r w:rsidR="002A4B22">
        <w:rPr>
          <w:rFonts w:ascii="Verdana" w:hAnsi="Verdana"/>
          <w:sz w:val="20"/>
        </w:rPr>
        <w:t xml:space="preserve">assigned a </w:t>
      </w:r>
      <w:r w:rsidR="00ED4CF9" w:rsidRPr="002A4B22">
        <w:rPr>
          <w:rFonts w:ascii="Verdana" w:hAnsi="Verdana"/>
          <w:b/>
          <w:sz w:val="20"/>
        </w:rPr>
        <w:t>60%</w:t>
      </w:r>
      <w:r w:rsidR="00ED4CF9" w:rsidRPr="002A4B22">
        <w:rPr>
          <w:rFonts w:ascii="Verdana" w:hAnsi="Verdana"/>
          <w:sz w:val="20"/>
        </w:rPr>
        <w:t xml:space="preserve"> </w:t>
      </w:r>
      <w:r w:rsidR="002A4B22">
        <w:rPr>
          <w:rFonts w:ascii="Verdana" w:hAnsi="Verdana"/>
          <w:sz w:val="20"/>
        </w:rPr>
        <w:t>weighting for the overall score for this stage of the evaluation.</w:t>
      </w:r>
    </w:p>
    <w:p w:rsidR="002A4B22" w:rsidRPr="00ED570B" w:rsidRDefault="00ED570B" w:rsidP="00ED570B">
      <w:pPr>
        <w:pStyle w:val="Heading3"/>
        <w:numPr>
          <w:ilvl w:val="0"/>
          <w:numId w:val="0"/>
        </w:numPr>
        <w:ind w:left="1570"/>
        <w:rPr>
          <w:rFonts w:ascii="Verdana" w:hAnsi="Verdana"/>
          <w:sz w:val="20"/>
          <w:u w:val="single"/>
        </w:rPr>
      </w:pPr>
      <w:r w:rsidRPr="00ED570B">
        <w:rPr>
          <w:rFonts w:ascii="Verdana" w:hAnsi="Verdana"/>
          <w:sz w:val="20"/>
          <w:u w:val="single"/>
        </w:rPr>
        <w:t xml:space="preserve">Section </w:t>
      </w:r>
      <w:r w:rsidR="00434EC0">
        <w:rPr>
          <w:rFonts w:ascii="Verdana" w:hAnsi="Verdana"/>
          <w:sz w:val="20"/>
          <w:u w:val="single"/>
        </w:rPr>
        <w:t>7</w:t>
      </w:r>
      <w:r w:rsidRPr="00ED570B">
        <w:rPr>
          <w:rFonts w:ascii="Verdana" w:hAnsi="Verdana"/>
          <w:sz w:val="20"/>
          <w:u w:val="single"/>
        </w:rPr>
        <w:t xml:space="preserve">: </w:t>
      </w:r>
      <w:r w:rsidR="002A4B22" w:rsidRPr="00ED570B">
        <w:rPr>
          <w:rFonts w:ascii="Verdana" w:hAnsi="Verdana"/>
          <w:sz w:val="20"/>
          <w:u w:val="single"/>
        </w:rPr>
        <w:t>Quality of Underlying Assumptions</w:t>
      </w:r>
    </w:p>
    <w:p w:rsidR="00ED570B" w:rsidRDefault="00ED570B" w:rsidP="002A4B22">
      <w:pPr>
        <w:pStyle w:val="Heading3"/>
        <w:numPr>
          <w:ilvl w:val="0"/>
          <w:numId w:val="0"/>
        </w:numPr>
        <w:ind w:left="1570"/>
        <w:rPr>
          <w:rFonts w:ascii="Verdana" w:hAnsi="Verdana"/>
          <w:sz w:val="20"/>
        </w:rPr>
      </w:pPr>
      <w:r>
        <w:rPr>
          <w:rFonts w:ascii="Verdana" w:hAnsi="Verdana"/>
          <w:sz w:val="20"/>
        </w:rPr>
        <w:t>Qualifying Bidders must submit their assumptions underlying their Tender Revenue Stream bid.</w:t>
      </w:r>
    </w:p>
    <w:p w:rsidR="002A4B22" w:rsidRDefault="00D84248" w:rsidP="002A4B22">
      <w:pPr>
        <w:pStyle w:val="Heading3"/>
        <w:numPr>
          <w:ilvl w:val="0"/>
          <w:numId w:val="0"/>
        </w:numPr>
        <w:ind w:left="1570"/>
        <w:rPr>
          <w:rFonts w:ascii="Verdana" w:hAnsi="Verdana"/>
          <w:sz w:val="20"/>
        </w:rPr>
      </w:pPr>
      <w:r w:rsidRPr="0025390E">
        <w:rPr>
          <w:rFonts w:ascii="Verdana" w:hAnsi="Verdana"/>
          <w:sz w:val="20"/>
        </w:rPr>
        <w:t>Ofgem will evaluate the quality of the underlying assumptions of t</w:t>
      </w:r>
      <w:r w:rsidR="00EC322C">
        <w:rPr>
          <w:rFonts w:ascii="Verdana" w:hAnsi="Verdana"/>
          <w:sz w:val="20"/>
        </w:rPr>
        <w:t>h</w:t>
      </w:r>
      <w:r w:rsidR="002A4B22">
        <w:rPr>
          <w:rFonts w:ascii="Verdana" w:hAnsi="Verdana"/>
          <w:sz w:val="20"/>
        </w:rPr>
        <w:t xml:space="preserve">e Tender Revenue Stream on </w:t>
      </w:r>
      <w:r w:rsidR="00EC322C">
        <w:rPr>
          <w:rFonts w:ascii="Verdana" w:hAnsi="Verdana"/>
          <w:sz w:val="20"/>
        </w:rPr>
        <w:t xml:space="preserve">a scored basis.  </w:t>
      </w:r>
      <w:r w:rsidR="002A4B22">
        <w:rPr>
          <w:rFonts w:ascii="Verdana" w:hAnsi="Verdana"/>
          <w:sz w:val="20"/>
        </w:rPr>
        <w:t xml:space="preserve">Scores will be allocated on </w:t>
      </w:r>
      <w:r w:rsidR="002A4B22" w:rsidRPr="008A2CAE">
        <w:rPr>
          <w:rFonts w:ascii="Verdana" w:hAnsi="Verdana"/>
          <w:sz w:val="20"/>
        </w:rPr>
        <w:t xml:space="preserve">the basis of the robustness of the underlying assumptions for each cost component, </w:t>
      </w:r>
      <w:r w:rsidR="008A2CAE" w:rsidRPr="008A2CAE">
        <w:rPr>
          <w:rFonts w:ascii="Verdana" w:hAnsi="Verdana"/>
          <w:sz w:val="20"/>
        </w:rPr>
        <w:t xml:space="preserve">along with an assessment of the level of certainty provided by Qualifying Bidders in deriving the Tender Revenue Stream.  </w:t>
      </w:r>
    </w:p>
    <w:p w:rsidR="00CC513B" w:rsidRDefault="00CC513B" w:rsidP="00EB2CA8">
      <w:pPr>
        <w:pStyle w:val="BodyText"/>
        <w:ind w:left="1559"/>
        <w:rPr>
          <w:rFonts w:ascii="Verdana" w:hAnsi="Verdana"/>
          <w:sz w:val="20"/>
        </w:rPr>
      </w:pPr>
      <w:r>
        <w:rPr>
          <w:rFonts w:ascii="Verdana" w:hAnsi="Verdana"/>
          <w:sz w:val="20"/>
        </w:rPr>
        <w:t xml:space="preserve">This </w:t>
      </w:r>
      <w:r w:rsidR="00B45DFD">
        <w:rPr>
          <w:rFonts w:ascii="Verdana" w:hAnsi="Verdana"/>
          <w:sz w:val="20"/>
        </w:rPr>
        <w:t xml:space="preserve">Section 7 </w:t>
      </w:r>
      <w:r>
        <w:rPr>
          <w:rFonts w:ascii="Verdana" w:hAnsi="Verdana"/>
          <w:sz w:val="20"/>
        </w:rPr>
        <w:t xml:space="preserve">is also a threshold requirement.  Where Ofgem considers that </w:t>
      </w:r>
      <w:r w:rsidR="00733EA7">
        <w:rPr>
          <w:rFonts w:ascii="Verdana" w:hAnsi="Verdana"/>
          <w:sz w:val="20"/>
        </w:rPr>
        <w:t>there are significant outstanding issues that undermine the Tender Revenue Stream bid, then it reserves the right to not consider the Qualifying Bidders’ ITT Submission</w:t>
      </w:r>
      <w:r w:rsidR="00ED570B">
        <w:rPr>
          <w:rFonts w:ascii="Verdana" w:hAnsi="Verdana"/>
          <w:sz w:val="20"/>
        </w:rPr>
        <w:t xml:space="preserve"> further</w:t>
      </w:r>
      <w:r w:rsidR="00733EA7">
        <w:rPr>
          <w:rFonts w:ascii="Verdana" w:hAnsi="Verdana"/>
          <w:sz w:val="20"/>
        </w:rPr>
        <w:t xml:space="preserve">.   </w:t>
      </w:r>
    </w:p>
    <w:p w:rsidR="002A4B22" w:rsidRPr="002A4B22" w:rsidRDefault="00EB2CA8" w:rsidP="00EB2CA8">
      <w:pPr>
        <w:pStyle w:val="BodyText"/>
        <w:ind w:left="1559"/>
        <w:rPr>
          <w:rFonts w:ascii="Verdana" w:hAnsi="Verdana"/>
          <w:sz w:val="20"/>
        </w:rPr>
      </w:pPr>
      <w:r>
        <w:rPr>
          <w:rFonts w:ascii="Verdana" w:hAnsi="Verdana"/>
          <w:sz w:val="20"/>
        </w:rPr>
        <w:t xml:space="preserve">Qualifying Bidders are reminded that Ofgem set out in the QTT Document that it was minded to treat the Project IRR proposed by Qualifying Applicants in their QTT Submissions as a cap.  </w:t>
      </w:r>
      <w:r w:rsidR="00741E9E">
        <w:rPr>
          <w:rFonts w:ascii="Verdana" w:hAnsi="Verdana"/>
          <w:sz w:val="20"/>
        </w:rPr>
        <w:t xml:space="preserve">On the basis of this, </w:t>
      </w:r>
      <w:r>
        <w:rPr>
          <w:rFonts w:ascii="Verdana" w:hAnsi="Verdana"/>
          <w:sz w:val="20"/>
        </w:rPr>
        <w:t>Ofgem does n</w:t>
      </w:r>
      <w:r w:rsidR="00741E9E">
        <w:rPr>
          <w:rFonts w:ascii="Verdana" w:hAnsi="Verdana"/>
          <w:sz w:val="20"/>
        </w:rPr>
        <w:t xml:space="preserve">ot expect that Project IRRs submitted as part of Qualifying Bidders’ ITT Submissions </w:t>
      </w:r>
      <w:r w:rsidR="00733EA7">
        <w:rPr>
          <w:rFonts w:ascii="Verdana" w:hAnsi="Verdana"/>
          <w:sz w:val="20"/>
        </w:rPr>
        <w:t xml:space="preserve">will be </w:t>
      </w:r>
      <w:r w:rsidR="00741E9E">
        <w:rPr>
          <w:rFonts w:ascii="Verdana" w:hAnsi="Verdana"/>
          <w:sz w:val="20"/>
        </w:rPr>
        <w:t>higher than that provided in thei</w:t>
      </w:r>
      <w:r w:rsidR="00733EA7">
        <w:rPr>
          <w:rFonts w:ascii="Verdana" w:hAnsi="Verdana"/>
          <w:sz w:val="20"/>
        </w:rPr>
        <w:t>r</w:t>
      </w:r>
      <w:r w:rsidR="00741E9E">
        <w:rPr>
          <w:rFonts w:ascii="Verdana" w:hAnsi="Verdana"/>
          <w:sz w:val="20"/>
        </w:rPr>
        <w:t xml:space="preserve"> QTT Submissions.</w:t>
      </w:r>
      <w:r>
        <w:rPr>
          <w:rFonts w:ascii="Verdana" w:hAnsi="Verdana"/>
          <w:sz w:val="20"/>
        </w:rPr>
        <w:t xml:space="preserve"> </w:t>
      </w:r>
      <w:r w:rsidR="00761695">
        <w:rPr>
          <w:rFonts w:ascii="Verdana" w:hAnsi="Verdana"/>
          <w:sz w:val="20"/>
        </w:rPr>
        <w:t>In instances where Project IRRs are higher than those provided in the QTT Submissions, Ofgem reserves the righ</w:t>
      </w:r>
      <w:r w:rsidR="008F62A8">
        <w:rPr>
          <w:rFonts w:ascii="Verdana" w:hAnsi="Verdana"/>
          <w:sz w:val="20"/>
        </w:rPr>
        <w:t>t</w:t>
      </w:r>
      <w:r w:rsidR="00761695">
        <w:rPr>
          <w:rFonts w:ascii="Verdana" w:hAnsi="Verdana"/>
          <w:sz w:val="20"/>
        </w:rPr>
        <w:t xml:space="preserve"> to exclude the Qualifying Bidder, as set out in the QTT Document.</w:t>
      </w:r>
    </w:p>
    <w:p w:rsidR="00ED4CF9" w:rsidRDefault="00277C2D" w:rsidP="00741E9E">
      <w:pPr>
        <w:pStyle w:val="Heading3"/>
        <w:numPr>
          <w:ilvl w:val="0"/>
          <w:numId w:val="0"/>
        </w:numPr>
        <w:ind w:left="1570"/>
        <w:rPr>
          <w:rFonts w:ascii="Verdana" w:hAnsi="Verdana"/>
          <w:sz w:val="20"/>
        </w:rPr>
      </w:pPr>
      <w:r>
        <w:rPr>
          <w:rFonts w:ascii="Verdana" w:hAnsi="Verdana"/>
          <w:sz w:val="20"/>
        </w:rPr>
        <w:t>S</w:t>
      </w:r>
      <w:r w:rsidR="00741E9E">
        <w:rPr>
          <w:rFonts w:ascii="Verdana" w:hAnsi="Verdana"/>
          <w:sz w:val="20"/>
        </w:rPr>
        <w:t xml:space="preserve">ection </w:t>
      </w:r>
      <w:r>
        <w:rPr>
          <w:rFonts w:ascii="Verdana" w:hAnsi="Verdana"/>
          <w:sz w:val="20"/>
        </w:rPr>
        <w:t xml:space="preserve">7 </w:t>
      </w:r>
      <w:r w:rsidR="00ED4CF9">
        <w:rPr>
          <w:rFonts w:ascii="Verdana" w:hAnsi="Verdana"/>
          <w:sz w:val="20"/>
        </w:rPr>
        <w:t xml:space="preserve">will be </w:t>
      </w:r>
      <w:r w:rsidR="002A4B22">
        <w:rPr>
          <w:rFonts w:ascii="Verdana" w:hAnsi="Verdana"/>
          <w:sz w:val="20"/>
        </w:rPr>
        <w:t xml:space="preserve">assigned a </w:t>
      </w:r>
      <w:r w:rsidR="00ED4CF9" w:rsidRPr="002A4B22">
        <w:rPr>
          <w:rFonts w:ascii="Verdana" w:hAnsi="Verdana"/>
          <w:b/>
          <w:sz w:val="20"/>
        </w:rPr>
        <w:t>40%</w:t>
      </w:r>
      <w:r w:rsidR="00ED4CF9">
        <w:rPr>
          <w:rFonts w:ascii="Verdana" w:hAnsi="Verdana"/>
          <w:sz w:val="20"/>
        </w:rPr>
        <w:t xml:space="preserve"> </w:t>
      </w:r>
      <w:r w:rsidR="002A4B22">
        <w:rPr>
          <w:rFonts w:ascii="Verdana" w:hAnsi="Verdana"/>
          <w:sz w:val="20"/>
        </w:rPr>
        <w:t xml:space="preserve">weighting for the </w:t>
      </w:r>
      <w:r w:rsidR="00ED4CF9">
        <w:rPr>
          <w:rFonts w:ascii="Verdana" w:hAnsi="Verdana"/>
          <w:sz w:val="20"/>
        </w:rPr>
        <w:t>overall score for this</w:t>
      </w:r>
      <w:r w:rsidR="002A4B22">
        <w:rPr>
          <w:rFonts w:ascii="Verdana" w:hAnsi="Verdana"/>
          <w:sz w:val="20"/>
        </w:rPr>
        <w:t xml:space="preserve"> stage of the evaluation</w:t>
      </w:r>
      <w:r w:rsidR="00ED4CF9">
        <w:rPr>
          <w:rFonts w:ascii="Verdana" w:hAnsi="Verdana"/>
          <w:sz w:val="20"/>
        </w:rPr>
        <w:t xml:space="preserve">. </w:t>
      </w:r>
    </w:p>
    <w:p w:rsidR="002A4B22" w:rsidRPr="002A4B22" w:rsidRDefault="002A4B22" w:rsidP="00DE4ADB">
      <w:pPr>
        <w:pStyle w:val="Heading3"/>
        <w:rPr>
          <w:rFonts w:ascii="Verdana" w:hAnsi="Verdana"/>
          <w:b/>
          <w:sz w:val="20"/>
        </w:rPr>
      </w:pPr>
      <w:r w:rsidRPr="002A4B22">
        <w:rPr>
          <w:rFonts w:ascii="Verdana" w:hAnsi="Verdana"/>
          <w:b/>
          <w:sz w:val="20"/>
        </w:rPr>
        <w:t>Combining Tender Revenue Stream and Underlying Assumptions</w:t>
      </w:r>
    </w:p>
    <w:p w:rsidR="00943E29" w:rsidRDefault="00741E9E" w:rsidP="002A4B22">
      <w:pPr>
        <w:pStyle w:val="Heading3"/>
        <w:numPr>
          <w:ilvl w:val="0"/>
          <w:numId w:val="0"/>
        </w:numPr>
        <w:ind w:left="1570"/>
        <w:rPr>
          <w:rFonts w:ascii="Verdana" w:hAnsi="Verdana"/>
          <w:sz w:val="20"/>
        </w:rPr>
      </w:pPr>
      <w:r>
        <w:rPr>
          <w:rFonts w:ascii="Verdana" w:hAnsi="Verdana"/>
          <w:sz w:val="20"/>
        </w:rPr>
        <w:t>The outcomes of the evaluation of the Tender Revenue Stream and the</w:t>
      </w:r>
      <w:r w:rsidR="002C14E9">
        <w:rPr>
          <w:rFonts w:ascii="Verdana" w:hAnsi="Verdana"/>
          <w:sz w:val="20"/>
        </w:rPr>
        <w:t xml:space="preserve"> quality of the un</w:t>
      </w:r>
      <w:r>
        <w:rPr>
          <w:rFonts w:ascii="Verdana" w:hAnsi="Verdana"/>
          <w:sz w:val="20"/>
        </w:rPr>
        <w:t xml:space="preserve">derlying </w:t>
      </w:r>
      <w:r w:rsidR="002C14E9">
        <w:rPr>
          <w:rFonts w:ascii="Verdana" w:hAnsi="Verdana"/>
          <w:sz w:val="20"/>
        </w:rPr>
        <w:t>a</w:t>
      </w:r>
      <w:r>
        <w:rPr>
          <w:rFonts w:ascii="Verdana" w:hAnsi="Verdana"/>
          <w:sz w:val="20"/>
        </w:rPr>
        <w:t xml:space="preserve">ssumptions </w:t>
      </w:r>
      <w:r w:rsidR="00EC322C">
        <w:rPr>
          <w:rFonts w:ascii="Verdana" w:hAnsi="Verdana"/>
          <w:sz w:val="20"/>
        </w:rPr>
        <w:t xml:space="preserve">will be combined to determine an overall </w:t>
      </w:r>
      <w:r>
        <w:rPr>
          <w:rFonts w:ascii="Verdana" w:hAnsi="Verdana"/>
          <w:sz w:val="20"/>
        </w:rPr>
        <w:t xml:space="preserve">weighted </w:t>
      </w:r>
      <w:r w:rsidR="00EC322C">
        <w:rPr>
          <w:rFonts w:ascii="Verdana" w:hAnsi="Verdana"/>
          <w:sz w:val="20"/>
        </w:rPr>
        <w:t>score for the</w:t>
      </w:r>
      <w:r w:rsidR="00ED4CF9">
        <w:rPr>
          <w:rFonts w:ascii="Verdana" w:hAnsi="Verdana"/>
          <w:sz w:val="20"/>
        </w:rPr>
        <w:t xml:space="preserve"> </w:t>
      </w:r>
      <w:r w:rsidR="00EC322C">
        <w:rPr>
          <w:rFonts w:ascii="Verdana" w:hAnsi="Verdana"/>
          <w:sz w:val="20"/>
        </w:rPr>
        <w:t>best value Tender Revenue Stream bid.  The Qualifying Bidder with the highest overall score will be selected as the Preferred Bidder</w:t>
      </w:r>
      <w:r>
        <w:rPr>
          <w:rFonts w:ascii="Verdana" w:hAnsi="Verdana"/>
          <w:sz w:val="20"/>
        </w:rPr>
        <w:t xml:space="preserve"> for the relevant Qualifying Project</w:t>
      </w:r>
      <w:r w:rsidR="00EC322C">
        <w:rPr>
          <w:rFonts w:ascii="Verdana" w:hAnsi="Verdana"/>
          <w:sz w:val="20"/>
        </w:rPr>
        <w:t xml:space="preserve">. </w:t>
      </w:r>
    </w:p>
    <w:p w:rsidR="00943E29" w:rsidRDefault="00943E29" w:rsidP="002A4B22">
      <w:pPr>
        <w:pStyle w:val="Heading3"/>
        <w:numPr>
          <w:ilvl w:val="0"/>
          <w:numId w:val="0"/>
        </w:numPr>
        <w:ind w:left="1570"/>
        <w:rPr>
          <w:rFonts w:ascii="Verdana" w:hAnsi="Verdana"/>
          <w:sz w:val="20"/>
        </w:rPr>
      </w:pPr>
      <w:r>
        <w:rPr>
          <w:rFonts w:ascii="Verdana" w:hAnsi="Verdana"/>
          <w:sz w:val="20"/>
        </w:rPr>
        <w:t xml:space="preserve">  </w:t>
      </w:r>
    </w:p>
    <w:p w:rsidR="002C14E9" w:rsidRPr="00943E29" w:rsidRDefault="002C14E9" w:rsidP="002C14E9">
      <w:pPr>
        <w:pStyle w:val="Heading3"/>
        <w:rPr>
          <w:rFonts w:ascii="Verdana" w:hAnsi="Verdana"/>
          <w:b/>
          <w:sz w:val="20"/>
        </w:rPr>
      </w:pPr>
      <w:r w:rsidRPr="00943E29">
        <w:rPr>
          <w:rFonts w:ascii="Verdana" w:hAnsi="Verdana"/>
          <w:b/>
          <w:sz w:val="20"/>
        </w:rPr>
        <w:t>Re-consideration of Earlier Scores</w:t>
      </w:r>
    </w:p>
    <w:p w:rsidR="002C14E9" w:rsidRPr="008F62A8" w:rsidRDefault="002C14E9" w:rsidP="002C14E9">
      <w:pPr>
        <w:pStyle w:val="BodyText"/>
        <w:ind w:left="1559"/>
      </w:pPr>
      <w:r w:rsidRPr="00943E29">
        <w:rPr>
          <w:rFonts w:ascii="Verdana" w:hAnsi="Verdana"/>
          <w:sz w:val="20"/>
        </w:rPr>
        <w:t>In instances</w:t>
      </w:r>
      <w:r>
        <w:rPr>
          <w:rFonts w:ascii="Verdana" w:hAnsi="Verdana"/>
          <w:sz w:val="20"/>
        </w:rPr>
        <w:t xml:space="preserve"> where </w:t>
      </w:r>
      <w:proofErr w:type="spellStart"/>
      <w:r>
        <w:rPr>
          <w:rFonts w:ascii="Verdana" w:hAnsi="Verdana"/>
          <w:sz w:val="20"/>
        </w:rPr>
        <w:t>Ofgem’s</w:t>
      </w:r>
      <w:proofErr w:type="spellEnd"/>
      <w:r>
        <w:rPr>
          <w:rFonts w:ascii="Verdana" w:hAnsi="Verdana"/>
          <w:sz w:val="20"/>
        </w:rPr>
        <w:t xml:space="preserve"> evaluation of the Tender Revenue Stream and the underlying assumptions reveals two or more Qualifying Bidders with similar scores within a small percentage of each other, it reserves the right to re-consider earlier scores attained on non-financial and financial deliverability as a means of determining a Preferred Bidder.</w:t>
      </w:r>
    </w:p>
    <w:p w:rsidR="008F62A8" w:rsidRPr="00943E29" w:rsidRDefault="008F62A8" w:rsidP="008F62A8">
      <w:pPr>
        <w:pStyle w:val="Heading3"/>
        <w:rPr>
          <w:rFonts w:ascii="Verdana" w:hAnsi="Verdana"/>
          <w:b/>
          <w:sz w:val="20"/>
        </w:rPr>
      </w:pPr>
      <w:r>
        <w:rPr>
          <w:rFonts w:ascii="Verdana" w:hAnsi="Verdana"/>
          <w:b/>
          <w:sz w:val="20"/>
        </w:rPr>
        <w:t>Best and Final Offer (BAFO) Stage</w:t>
      </w:r>
    </w:p>
    <w:p w:rsidR="003B5FB7" w:rsidRDefault="00943E29" w:rsidP="002A4B22">
      <w:pPr>
        <w:pStyle w:val="Heading3"/>
        <w:numPr>
          <w:ilvl w:val="0"/>
          <w:numId w:val="0"/>
        </w:numPr>
        <w:ind w:left="1570"/>
        <w:rPr>
          <w:rFonts w:ascii="Verdana" w:hAnsi="Verdana"/>
          <w:sz w:val="20"/>
        </w:rPr>
      </w:pPr>
      <w:r>
        <w:rPr>
          <w:rFonts w:ascii="Verdana" w:hAnsi="Verdana"/>
          <w:sz w:val="20"/>
        </w:rPr>
        <w:t xml:space="preserve">Alternatively and/or additionally, Ofgem may determine that the most appropriate route is to pursue a BAFO stage. In these instances, </w:t>
      </w:r>
      <w:r w:rsidRPr="00D92902">
        <w:rPr>
          <w:rFonts w:ascii="Verdana" w:hAnsi="Verdana"/>
          <w:sz w:val="20"/>
        </w:rPr>
        <w:t xml:space="preserve">this will represent an opportunity for the requested Qualifying Bidders to submit a </w:t>
      </w:r>
      <w:r>
        <w:rPr>
          <w:rFonts w:ascii="Verdana" w:hAnsi="Verdana"/>
          <w:sz w:val="20"/>
        </w:rPr>
        <w:lastRenderedPageBreak/>
        <w:t>BAFO</w:t>
      </w:r>
      <w:r w:rsidRPr="00D92902">
        <w:rPr>
          <w:rFonts w:ascii="Verdana" w:hAnsi="Verdana"/>
          <w:sz w:val="20"/>
        </w:rPr>
        <w:t xml:space="preserve"> Submission in accordance with the instruction</w:t>
      </w:r>
      <w:r>
        <w:rPr>
          <w:rFonts w:ascii="Verdana" w:hAnsi="Verdana"/>
          <w:sz w:val="20"/>
        </w:rPr>
        <w:t>s issued by Ofgem at the time.</w:t>
      </w:r>
    </w:p>
    <w:p w:rsidR="003B5FB7" w:rsidRPr="00ED570B" w:rsidRDefault="003B5FB7" w:rsidP="00ED570B">
      <w:pPr>
        <w:pStyle w:val="Heading1"/>
        <w:rPr>
          <w:rFonts w:ascii="Verdana" w:hAnsi="Verdana"/>
          <w:sz w:val="20"/>
        </w:rPr>
      </w:pPr>
      <w:bookmarkStart w:id="58" w:name="_Toc249178467"/>
      <w:r w:rsidRPr="00ED570B">
        <w:rPr>
          <w:rFonts w:ascii="Verdana" w:hAnsi="Verdana"/>
          <w:sz w:val="20"/>
        </w:rPr>
        <w:t>Selection of Preferred Bidder and Next Steps</w:t>
      </w:r>
      <w:bookmarkEnd w:id="58"/>
    </w:p>
    <w:p w:rsidR="00ED570B" w:rsidRPr="00ED570B" w:rsidRDefault="00ED570B" w:rsidP="00ED570B">
      <w:pPr>
        <w:pStyle w:val="Heading2"/>
        <w:rPr>
          <w:rFonts w:ascii="Verdana" w:hAnsi="Verdana"/>
          <w:sz w:val="20"/>
        </w:rPr>
      </w:pPr>
      <w:r w:rsidRPr="00ED570B">
        <w:rPr>
          <w:rFonts w:ascii="Verdana" w:hAnsi="Verdana"/>
          <w:sz w:val="20"/>
        </w:rPr>
        <w:t>Introduction</w:t>
      </w:r>
    </w:p>
    <w:p w:rsidR="00ED570B" w:rsidRPr="00ED570B" w:rsidRDefault="00ED570B" w:rsidP="00ED570B">
      <w:pPr>
        <w:pStyle w:val="Heading3"/>
        <w:rPr>
          <w:rFonts w:ascii="Verdana" w:hAnsi="Verdana"/>
          <w:sz w:val="20"/>
        </w:rPr>
      </w:pPr>
      <w:r w:rsidRPr="00ED570B">
        <w:rPr>
          <w:rFonts w:ascii="Verdana" w:hAnsi="Verdana"/>
          <w:sz w:val="20"/>
        </w:rPr>
        <w:t xml:space="preserve">This section provides an overview of the steps following the identification of </w:t>
      </w:r>
      <w:r>
        <w:rPr>
          <w:rFonts w:ascii="Verdana" w:hAnsi="Verdana"/>
          <w:sz w:val="20"/>
        </w:rPr>
        <w:t>a Preferred Bidder for each Qualifying Project.</w:t>
      </w:r>
      <w:r w:rsidR="00943E29">
        <w:rPr>
          <w:rFonts w:ascii="Verdana" w:hAnsi="Verdana"/>
          <w:sz w:val="20"/>
        </w:rPr>
        <w:t xml:space="preserve">  Ofgem will provide further information in this respect in due course.</w:t>
      </w:r>
    </w:p>
    <w:p w:rsidR="00943E29" w:rsidRPr="00943E29" w:rsidRDefault="00ED570B" w:rsidP="00943E29">
      <w:pPr>
        <w:pStyle w:val="Heading2"/>
        <w:rPr>
          <w:rFonts w:ascii="Verdana" w:hAnsi="Verdana"/>
          <w:sz w:val="20"/>
        </w:rPr>
      </w:pPr>
      <w:r w:rsidRPr="00943E29">
        <w:rPr>
          <w:rFonts w:ascii="Verdana" w:hAnsi="Verdana"/>
          <w:sz w:val="20"/>
        </w:rPr>
        <w:t>Conditions Precedent</w:t>
      </w:r>
    </w:p>
    <w:p w:rsidR="00EC322C" w:rsidRPr="00741E9E" w:rsidRDefault="00741E9E" w:rsidP="00DE4ADB">
      <w:pPr>
        <w:pStyle w:val="Heading3"/>
        <w:rPr>
          <w:rFonts w:ascii="Verdana" w:hAnsi="Verdana"/>
          <w:sz w:val="20"/>
        </w:rPr>
      </w:pPr>
      <w:r w:rsidRPr="00741E9E">
        <w:rPr>
          <w:rFonts w:ascii="Verdana" w:hAnsi="Verdana"/>
          <w:sz w:val="20"/>
        </w:rPr>
        <w:t xml:space="preserve">Once a Preferred Bidder has been identified for the relevant Qualifying Project, it will be notified by Ofgem.  Following this notification, </w:t>
      </w:r>
      <w:r w:rsidR="007E3C98" w:rsidRPr="00741E9E">
        <w:rPr>
          <w:rFonts w:ascii="Verdana" w:hAnsi="Verdana"/>
          <w:sz w:val="20"/>
        </w:rPr>
        <w:t>the Preferred</w:t>
      </w:r>
      <w:r w:rsidR="00EC322C" w:rsidRPr="00741E9E">
        <w:rPr>
          <w:rFonts w:ascii="Verdana" w:hAnsi="Verdana"/>
          <w:sz w:val="20"/>
        </w:rPr>
        <w:t xml:space="preserve"> Bidder will have to satisfy the outstanding </w:t>
      </w:r>
      <w:r>
        <w:rPr>
          <w:rFonts w:ascii="Verdana" w:hAnsi="Verdana"/>
          <w:sz w:val="20"/>
        </w:rPr>
        <w:t>matters</w:t>
      </w:r>
      <w:r w:rsidR="008F62A8">
        <w:rPr>
          <w:rFonts w:ascii="Verdana" w:hAnsi="Verdana"/>
          <w:sz w:val="20"/>
        </w:rPr>
        <w:t xml:space="preserve"> </w:t>
      </w:r>
      <w:r w:rsidR="00B97509">
        <w:rPr>
          <w:rFonts w:ascii="Verdana" w:hAnsi="Verdana"/>
          <w:sz w:val="20"/>
        </w:rPr>
        <w:t>in accordance with the</w:t>
      </w:r>
      <w:r w:rsidR="008F62A8">
        <w:rPr>
          <w:rFonts w:ascii="Verdana" w:hAnsi="Verdana"/>
          <w:sz w:val="20"/>
        </w:rPr>
        <w:t xml:space="preserve"> timescales set out in the Guidance Note to Asset Transfer and as</w:t>
      </w:r>
      <w:r>
        <w:rPr>
          <w:rFonts w:ascii="Verdana" w:hAnsi="Verdana"/>
          <w:sz w:val="20"/>
        </w:rPr>
        <w:t xml:space="preserve"> notified by Ofgem, namely: </w:t>
      </w:r>
    </w:p>
    <w:p w:rsidR="00D751F3" w:rsidRPr="0010318D" w:rsidRDefault="00D751F3" w:rsidP="00D751F3">
      <w:pPr>
        <w:pStyle w:val="Heading4"/>
        <w:tabs>
          <w:tab w:val="num" w:pos="2268"/>
        </w:tabs>
        <w:ind w:left="2268" w:hanging="708"/>
        <w:rPr>
          <w:rFonts w:ascii="Verdana" w:hAnsi="Verdana"/>
          <w:sz w:val="20"/>
        </w:rPr>
      </w:pPr>
      <w:r w:rsidRPr="0010318D">
        <w:rPr>
          <w:rFonts w:ascii="Verdana" w:hAnsi="Verdana"/>
          <w:sz w:val="20"/>
        </w:rPr>
        <w:t>To execute the S</w:t>
      </w:r>
      <w:r>
        <w:rPr>
          <w:rFonts w:ascii="Verdana" w:hAnsi="Verdana"/>
          <w:sz w:val="20"/>
        </w:rPr>
        <w:t xml:space="preserve">ale and </w:t>
      </w:r>
      <w:r w:rsidRPr="0010318D">
        <w:rPr>
          <w:rFonts w:ascii="Verdana" w:hAnsi="Verdana"/>
          <w:sz w:val="20"/>
        </w:rPr>
        <w:t>P</w:t>
      </w:r>
      <w:r>
        <w:rPr>
          <w:rFonts w:ascii="Verdana" w:hAnsi="Verdana"/>
          <w:sz w:val="20"/>
        </w:rPr>
        <w:t xml:space="preserve">urchase </w:t>
      </w:r>
      <w:r w:rsidRPr="0010318D">
        <w:rPr>
          <w:rFonts w:ascii="Verdana" w:hAnsi="Verdana"/>
          <w:sz w:val="20"/>
        </w:rPr>
        <w:t>A</w:t>
      </w:r>
      <w:r>
        <w:rPr>
          <w:rFonts w:ascii="Verdana" w:hAnsi="Verdana"/>
          <w:sz w:val="20"/>
        </w:rPr>
        <w:t>greement</w:t>
      </w:r>
      <w:r w:rsidRPr="0010318D">
        <w:rPr>
          <w:rFonts w:ascii="Verdana" w:hAnsi="Verdana"/>
          <w:sz w:val="20"/>
        </w:rPr>
        <w:t xml:space="preserve"> </w:t>
      </w:r>
      <w:r>
        <w:rPr>
          <w:rFonts w:ascii="Verdana" w:hAnsi="Verdana"/>
          <w:sz w:val="20"/>
        </w:rPr>
        <w:t xml:space="preserve">(and all ancillary agreements required as conditions or completion deliverables under the </w:t>
      </w:r>
      <w:r w:rsidRPr="0010318D">
        <w:rPr>
          <w:rFonts w:ascii="Verdana" w:hAnsi="Verdana"/>
          <w:sz w:val="20"/>
        </w:rPr>
        <w:t>S</w:t>
      </w:r>
      <w:r>
        <w:rPr>
          <w:rFonts w:ascii="Verdana" w:hAnsi="Verdana"/>
          <w:sz w:val="20"/>
        </w:rPr>
        <w:t xml:space="preserve">ale and </w:t>
      </w:r>
      <w:r w:rsidRPr="0010318D">
        <w:rPr>
          <w:rFonts w:ascii="Verdana" w:hAnsi="Verdana"/>
          <w:sz w:val="20"/>
        </w:rPr>
        <w:t>P</w:t>
      </w:r>
      <w:r>
        <w:rPr>
          <w:rFonts w:ascii="Verdana" w:hAnsi="Verdana"/>
          <w:sz w:val="20"/>
        </w:rPr>
        <w:t xml:space="preserve">urchase </w:t>
      </w:r>
      <w:r w:rsidRPr="0010318D">
        <w:rPr>
          <w:rFonts w:ascii="Verdana" w:hAnsi="Verdana"/>
          <w:sz w:val="20"/>
        </w:rPr>
        <w:t>A</w:t>
      </w:r>
      <w:r>
        <w:rPr>
          <w:rFonts w:ascii="Verdana" w:hAnsi="Verdana"/>
          <w:sz w:val="20"/>
        </w:rPr>
        <w:t>greement) w</w:t>
      </w:r>
      <w:r w:rsidRPr="0010318D">
        <w:rPr>
          <w:rFonts w:ascii="Verdana" w:hAnsi="Verdana"/>
          <w:sz w:val="20"/>
        </w:rPr>
        <w:t>ithin a specific timescale</w:t>
      </w:r>
      <w:r>
        <w:rPr>
          <w:rFonts w:ascii="Verdana" w:hAnsi="Verdana"/>
          <w:sz w:val="20"/>
        </w:rPr>
        <w:t>;</w:t>
      </w:r>
    </w:p>
    <w:p w:rsidR="00D751F3" w:rsidRPr="0010318D" w:rsidRDefault="00D751F3" w:rsidP="00D751F3">
      <w:pPr>
        <w:pStyle w:val="Heading4"/>
        <w:tabs>
          <w:tab w:val="num" w:pos="2268"/>
        </w:tabs>
        <w:ind w:left="2268" w:hanging="708"/>
        <w:rPr>
          <w:rFonts w:ascii="Verdana" w:hAnsi="Verdana"/>
          <w:sz w:val="20"/>
        </w:rPr>
      </w:pPr>
      <w:r w:rsidRPr="0010318D">
        <w:rPr>
          <w:rFonts w:ascii="Verdana" w:hAnsi="Verdana"/>
          <w:sz w:val="20"/>
        </w:rPr>
        <w:t xml:space="preserve">To agree, within a specific timescale, to the grant of the Offshore </w:t>
      </w:r>
      <w:r>
        <w:rPr>
          <w:rFonts w:ascii="Verdana" w:hAnsi="Verdana"/>
          <w:sz w:val="20"/>
        </w:rPr>
        <w:t xml:space="preserve">Electricity </w:t>
      </w:r>
      <w:r w:rsidRPr="0010318D">
        <w:rPr>
          <w:rFonts w:ascii="Verdana" w:hAnsi="Verdana"/>
          <w:sz w:val="20"/>
        </w:rPr>
        <w:t>Transmission Licence from Ofgem;</w:t>
      </w:r>
    </w:p>
    <w:p w:rsidR="00D751F3" w:rsidRPr="0010318D" w:rsidRDefault="00D751F3" w:rsidP="00D751F3">
      <w:pPr>
        <w:pStyle w:val="Heading4"/>
        <w:ind w:left="2268" w:hanging="708"/>
        <w:rPr>
          <w:rFonts w:ascii="Verdana" w:hAnsi="Verdana"/>
          <w:sz w:val="20"/>
        </w:rPr>
      </w:pPr>
      <w:r w:rsidRPr="0010318D">
        <w:rPr>
          <w:rFonts w:ascii="Verdana" w:hAnsi="Verdana"/>
          <w:sz w:val="20"/>
        </w:rPr>
        <w:t xml:space="preserve">To accede to relevant industry codes, </w:t>
      </w:r>
      <w:r>
        <w:rPr>
          <w:rFonts w:ascii="Verdana" w:hAnsi="Verdana"/>
          <w:sz w:val="20"/>
        </w:rPr>
        <w:t xml:space="preserve">and any necessary interface agreements, where applicable, </w:t>
      </w:r>
      <w:r w:rsidRPr="0010318D">
        <w:rPr>
          <w:rFonts w:ascii="Verdana" w:hAnsi="Verdana"/>
          <w:sz w:val="20"/>
        </w:rPr>
        <w:t>within a specific timescale;</w:t>
      </w:r>
      <w:r>
        <w:rPr>
          <w:rFonts w:ascii="Verdana" w:hAnsi="Verdana"/>
          <w:sz w:val="20"/>
        </w:rPr>
        <w:t xml:space="preserve"> and</w:t>
      </w:r>
    </w:p>
    <w:p w:rsidR="00D751F3" w:rsidRPr="0010318D" w:rsidRDefault="00D751F3" w:rsidP="00D751F3">
      <w:pPr>
        <w:pStyle w:val="Heading4"/>
        <w:tabs>
          <w:tab w:val="num" w:pos="2268"/>
        </w:tabs>
        <w:ind w:left="2268" w:hanging="708"/>
        <w:rPr>
          <w:rFonts w:ascii="Verdana" w:hAnsi="Verdana"/>
          <w:sz w:val="20"/>
        </w:rPr>
      </w:pPr>
      <w:r w:rsidRPr="0010318D">
        <w:rPr>
          <w:rFonts w:ascii="Verdana" w:hAnsi="Verdana"/>
          <w:sz w:val="20"/>
        </w:rPr>
        <w:t>To execute defined project contracts or other documentation within a specific timescale, including</w:t>
      </w:r>
      <w:r>
        <w:rPr>
          <w:rFonts w:ascii="Verdana" w:hAnsi="Verdana"/>
          <w:sz w:val="20"/>
        </w:rPr>
        <w:t>:</w:t>
      </w:r>
    </w:p>
    <w:p w:rsidR="00D751F3" w:rsidRPr="0010318D" w:rsidRDefault="00D751F3" w:rsidP="00794CF7">
      <w:pPr>
        <w:pStyle w:val="Heading4"/>
        <w:numPr>
          <w:ilvl w:val="0"/>
          <w:numId w:val="12"/>
        </w:numPr>
        <w:ind w:left="2977" w:hanging="709"/>
        <w:rPr>
          <w:rFonts w:ascii="Verdana" w:hAnsi="Verdana"/>
          <w:sz w:val="20"/>
        </w:rPr>
      </w:pPr>
      <w:r w:rsidRPr="0010318D">
        <w:rPr>
          <w:rFonts w:ascii="Verdana" w:hAnsi="Verdana"/>
          <w:sz w:val="20"/>
        </w:rPr>
        <w:t>Completion of relevant financing documents and confirmatory due diligence</w:t>
      </w:r>
      <w:r>
        <w:rPr>
          <w:rFonts w:ascii="Verdana" w:hAnsi="Verdana"/>
          <w:sz w:val="20"/>
        </w:rPr>
        <w:t>,</w:t>
      </w:r>
    </w:p>
    <w:p w:rsidR="00D751F3" w:rsidRPr="0010318D" w:rsidRDefault="00D751F3" w:rsidP="00794CF7">
      <w:pPr>
        <w:pStyle w:val="Heading4"/>
        <w:numPr>
          <w:ilvl w:val="0"/>
          <w:numId w:val="12"/>
        </w:numPr>
        <w:ind w:left="2977" w:hanging="709"/>
        <w:rPr>
          <w:rFonts w:ascii="Verdana" w:hAnsi="Verdana"/>
          <w:sz w:val="20"/>
        </w:rPr>
      </w:pPr>
      <w:r>
        <w:rPr>
          <w:rFonts w:ascii="Verdana" w:hAnsi="Verdana"/>
          <w:sz w:val="20"/>
        </w:rPr>
        <w:t>Execution of an O&amp;M agreement and</w:t>
      </w:r>
      <w:r w:rsidR="008F62A8">
        <w:rPr>
          <w:rFonts w:ascii="Verdana" w:hAnsi="Verdana"/>
          <w:sz w:val="20"/>
        </w:rPr>
        <w:t>/or</w:t>
      </w:r>
      <w:r w:rsidRPr="0010318D">
        <w:rPr>
          <w:rFonts w:ascii="Verdana" w:hAnsi="Verdana"/>
          <w:sz w:val="20"/>
        </w:rPr>
        <w:t xml:space="preserve"> re</w:t>
      </w:r>
      <w:r>
        <w:rPr>
          <w:rFonts w:ascii="Verdana" w:hAnsi="Verdana"/>
          <w:sz w:val="20"/>
        </w:rPr>
        <w:t>levant sub-contracts, and</w:t>
      </w:r>
    </w:p>
    <w:p w:rsidR="00D751F3" w:rsidRPr="00270D4E" w:rsidRDefault="00D751F3" w:rsidP="00794CF7">
      <w:pPr>
        <w:pStyle w:val="Heading4"/>
        <w:numPr>
          <w:ilvl w:val="0"/>
          <w:numId w:val="12"/>
        </w:numPr>
        <w:ind w:firstLine="338"/>
        <w:rPr>
          <w:rFonts w:ascii="Verdana" w:hAnsi="Verdana"/>
          <w:sz w:val="20"/>
        </w:rPr>
      </w:pPr>
      <w:r w:rsidRPr="0010318D">
        <w:rPr>
          <w:rFonts w:ascii="Verdana" w:hAnsi="Verdana"/>
          <w:sz w:val="20"/>
        </w:rPr>
        <w:t xml:space="preserve">Establishment of the SPV (where required) </w:t>
      </w:r>
    </w:p>
    <w:p w:rsidR="00741E9E" w:rsidRPr="00741E9E" w:rsidRDefault="00741E9E" w:rsidP="00BA1C9E">
      <w:pPr>
        <w:pStyle w:val="Heading3"/>
        <w:rPr>
          <w:rFonts w:ascii="Verdana" w:hAnsi="Verdana"/>
          <w:sz w:val="20"/>
        </w:rPr>
      </w:pPr>
      <w:r w:rsidRPr="00741E9E">
        <w:rPr>
          <w:rFonts w:ascii="Verdana" w:hAnsi="Verdana"/>
          <w:sz w:val="20"/>
        </w:rPr>
        <w:t>Ofgem reserves the right to determine other matters which a Preferred Bidder may be required to satisfy on a per Qualifying Project basis</w:t>
      </w:r>
      <w:r w:rsidR="00761695">
        <w:rPr>
          <w:rFonts w:ascii="Verdana" w:hAnsi="Verdana"/>
          <w:sz w:val="20"/>
        </w:rPr>
        <w:t>, in accordance with the Tender Regulations</w:t>
      </w:r>
      <w:r w:rsidRPr="00741E9E">
        <w:rPr>
          <w:rFonts w:ascii="Verdana" w:hAnsi="Verdana"/>
          <w:sz w:val="20"/>
        </w:rPr>
        <w:t xml:space="preserve">. </w:t>
      </w:r>
    </w:p>
    <w:p w:rsidR="00BA1C9E" w:rsidRPr="00733EA7" w:rsidRDefault="00741E9E" w:rsidP="00BA1C9E">
      <w:pPr>
        <w:pStyle w:val="Heading3"/>
        <w:rPr>
          <w:rFonts w:ascii="Verdana" w:hAnsi="Verdana"/>
          <w:sz w:val="20"/>
        </w:rPr>
      </w:pPr>
      <w:r w:rsidRPr="00733EA7">
        <w:rPr>
          <w:rFonts w:ascii="Verdana" w:hAnsi="Verdana"/>
          <w:sz w:val="20"/>
        </w:rPr>
        <w:t xml:space="preserve">In addition to the above, the </w:t>
      </w:r>
      <w:r w:rsidR="00BA1C9E" w:rsidRPr="00733EA7">
        <w:rPr>
          <w:rFonts w:ascii="Verdana" w:hAnsi="Verdana"/>
          <w:sz w:val="20"/>
        </w:rPr>
        <w:t>Preferred Bidder will be required to make a further Payment to Ofgem in accordance with its published Cost Recovery Methodology.</w:t>
      </w:r>
    </w:p>
    <w:p w:rsidR="003B5FB7" w:rsidRDefault="004157B8" w:rsidP="00DE4ADB">
      <w:pPr>
        <w:pStyle w:val="Heading3"/>
        <w:rPr>
          <w:rFonts w:ascii="Verdana" w:hAnsi="Verdana"/>
          <w:sz w:val="20"/>
        </w:rPr>
      </w:pPr>
      <w:r w:rsidRPr="0071113A">
        <w:rPr>
          <w:rFonts w:ascii="Verdana" w:hAnsi="Verdana"/>
          <w:sz w:val="20"/>
        </w:rPr>
        <w:t>Qualifying Bidders are advised that the selection of a Preferred Bidder does not in any way oblige Ofgem to grant an O</w:t>
      </w:r>
      <w:r w:rsidR="00277C2D">
        <w:rPr>
          <w:rFonts w:ascii="Verdana" w:hAnsi="Verdana"/>
          <w:sz w:val="20"/>
        </w:rPr>
        <w:t xml:space="preserve">ffshore Electricity Transmission </w:t>
      </w:r>
      <w:r w:rsidRPr="0071113A">
        <w:rPr>
          <w:rFonts w:ascii="Verdana" w:hAnsi="Verdana"/>
          <w:sz w:val="20"/>
        </w:rPr>
        <w:t xml:space="preserve">licence to that party. </w:t>
      </w:r>
    </w:p>
    <w:p w:rsidR="00C15EB0" w:rsidRPr="00C15EB0" w:rsidRDefault="00C15EB0" w:rsidP="00C15EB0">
      <w:pPr>
        <w:pStyle w:val="Heading3"/>
        <w:rPr>
          <w:rFonts w:ascii="Verdana" w:hAnsi="Verdana"/>
          <w:sz w:val="20"/>
        </w:rPr>
      </w:pPr>
      <w:r w:rsidRPr="00C15EB0">
        <w:rPr>
          <w:rFonts w:ascii="Verdana" w:hAnsi="Verdana"/>
          <w:sz w:val="20"/>
        </w:rPr>
        <w:t xml:space="preserve">Further information on the </w:t>
      </w:r>
      <w:r>
        <w:rPr>
          <w:rFonts w:ascii="Verdana" w:hAnsi="Verdana"/>
          <w:sz w:val="20"/>
        </w:rPr>
        <w:t>Preferred</w:t>
      </w:r>
      <w:r w:rsidRPr="00C15EB0">
        <w:rPr>
          <w:rFonts w:ascii="Verdana" w:hAnsi="Verdana"/>
          <w:sz w:val="20"/>
        </w:rPr>
        <w:t xml:space="preserve"> Bidder process will be made available in due course. </w:t>
      </w:r>
    </w:p>
    <w:p w:rsidR="00943E29" w:rsidRPr="00D92902" w:rsidRDefault="00943E29" w:rsidP="00943E29">
      <w:pPr>
        <w:pStyle w:val="Heading2"/>
        <w:rPr>
          <w:rFonts w:ascii="Verdana" w:hAnsi="Verdana"/>
          <w:sz w:val="20"/>
        </w:rPr>
      </w:pPr>
      <w:r w:rsidRPr="00D92902">
        <w:rPr>
          <w:rFonts w:ascii="Verdana" w:hAnsi="Verdana"/>
          <w:sz w:val="20"/>
        </w:rPr>
        <w:t>Reserve Bidder</w:t>
      </w:r>
    </w:p>
    <w:p w:rsidR="00761695" w:rsidRDefault="00943E29" w:rsidP="00943E29">
      <w:pPr>
        <w:pStyle w:val="Heading3"/>
        <w:rPr>
          <w:rFonts w:ascii="Verdana" w:hAnsi="Verdana"/>
          <w:sz w:val="20"/>
        </w:rPr>
      </w:pPr>
      <w:r w:rsidRPr="00BA1C9E">
        <w:rPr>
          <w:rFonts w:ascii="Verdana" w:hAnsi="Verdana"/>
          <w:sz w:val="20"/>
        </w:rPr>
        <w:t xml:space="preserve">Ofgem may, at its discretion, identify a Reserve Bidder </w:t>
      </w:r>
      <w:r>
        <w:rPr>
          <w:rFonts w:ascii="Verdana" w:hAnsi="Verdana"/>
          <w:sz w:val="20"/>
        </w:rPr>
        <w:t xml:space="preserve">that it may determine is to replace the Preferred Bidder if the Preferred Bidder fails to </w:t>
      </w:r>
      <w:r>
        <w:rPr>
          <w:rFonts w:ascii="Verdana" w:hAnsi="Verdana"/>
          <w:sz w:val="20"/>
        </w:rPr>
        <w:lastRenderedPageBreak/>
        <w:t xml:space="preserve">meet </w:t>
      </w:r>
      <w:r w:rsidRPr="00BA1C9E">
        <w:rPr>
          <w:rFonts w:ascii="Verdana" w:hAnsi="Verdana"/>
          <w:sz w:val="20"/>
        </w:rPr>
        <w:t>the requirements specified by Ofgem or with</w:t>
      </w:r>
      <w:r w:rsidR="00761695">
        <w:rPr>
          <w:rFonts w:ascii="Verdana" w:hAnsi="Verdana"/>
          <w:sz w:val="20"/>
        </w:rPr>
        <w:t>draws from the Tender Process.</w:t>
      </w:r>
    </w:p>
    <w:p w:rsidR="00943E29" w:rsidRPr="00BA1C9E" w:rsidRDefault="00943E29" w:rsidP="00943E29">
      <w:pPr>
        <w:pStyle w:val="Heading3"/>
        <w:rPr>
          <w:rFonts w:ascii="Verdana" w:hAnsi="Verdana"/>
          <w:sz w:val="20"/>
        </w:rPr>
      </w:pPr>
      <w:r>
        <w:rPr>
          <w:rFonts w:ascii="Verdana" w:hAnsi="Verdana"/>
          <w:sz w:val="20"/>
        </w:rPr>
        <w:t>If Ofgem so determines that the Reserve Bidder is to replace the Preferred Bidder, the Reserve Bidder shall be deemed to be the Preferred Bidder for the purposes of</w:t>
      </w:r>
      <w:r w:rsidR="00277C2D">
        <w:rPr>
          <w:rFonts w:ascii="Verdana" w:hAnsi="Verdana"/>
          <w:sz w:val="20"/>
        </w:rPr>
        <w:t xml:space="preserve"> this ITT Document and the ITT S</w:t>
      </w:r>
      <w:r>
        <w:rPr>
          <w:rFonts w:ascii="Verdana" w:hAnsi="Verdana"/>
          <w:sz w:val="20"/>
        </w:rPr>
        <w:t xml:space="preserve">tage.  </w:t>
      </w:r>
      <w:r w:rsidRPr="00BA1C9E">
        <w:rPr>
          <w:rFonts w:ascii="Verdana" w:hAnsi="Verdana"/>
          <w:sz w:val="20"/>
        </w:rPr>
        <w:t xml:space="preserve">Ofgem may </w:t>
      </w:r>
      <w:r>
        <w:rPr>
          <w:rFonts w:ascii="Verdana" w:hAnsi="Verdana"/>
          <w:sz w:val="20"/>
        </w:rPr>
        <w:t xml:space="preserve">engage or </w:t>
      </w:r>
      <w:r w:rsidRPr="00BA1C9E">
        <w:rPr>
          <w:rFonts w:ascii="Verdana" w:hAnsi="Verdana"/>
          <w:sz w:val="20"/>
        </w:rPr>
        <w:t xml:space="preserve">re-engage the Reserve Bidder at any time prior to </w:t>
      </w:r>
      <w:r>
        <w:rPr>
          <w:rFonts w:ascii="Verdana" w:hAnsi="Verdana"/>
          <w:sz w:val="20"/>
        </w:rPr>
        <w:t>Licence G</w:t>
      </w:r>
      <w:r w:rsidRPr="00BA1C9E">
        <w:rPr>
          <w:rFonts w:ascii="Verdana" w:hAnsi="Verdana"/>
          <w:sz w:val="20"/>
        </w:rPr>
        <w:t>rant</w:t>
      </w:r>
      <w:r>
        <w:rPr>
          <w:rFonts w:ascii="Verdana" w:hAnsi="Verdana"/>
          <w:sz w:val="20"/>
        </w:rPr>
        <w:t xml:space="preserve">. </w:t>
      </w:r>
      <w:r w:rsidRPr="00BA1C9E">
        <w:rPr>
          <w:rFonts w:ascii="Verdana" w:hAnsi="Verdana"/>
          <w:sz w:val="20"/>
        </w:rPr>
        <w:t xml:space="preserve"> </w:t>
      </w:r>
    </w:p>
    <w:p w:rsidR="00BA1C9E" w:rsidRPr="00BA1C9E" w:rsidRDefault="00BA1C9E" w:rsidP="00BA1C9E">
      <w:pPr>
        <w:pStyle w:val="Heading2"/>
        <w:rPr>
          <w:rFonts w:ascii="Verdana" w:hAnsi="Verdana"/>
          <w:sz w:val="20"/>
        </w:rPr>
      </w:pPr>
      <w:r w:rsidRPr="00BA1C9E">
        <w:rPr>
          <w:rFonts w:ascii="Verdana" w:hAnsi="Verdana"/>
          <w:sz w:val="20"/>
        </w:rPr>
        <w:t>Successful Bidder</w:t>
      </w:r>
    </w:p>
    <w:p w:rsidR="00BA1C9E" w:rsidRPr="00BA1C9E" w:rsidRDefault="00BA1C9E" w:rsidP="00BA1C9E">
      <w:pPr>
        <w:pStyle w:val="Heading3"/>
        <w:rPr>
          <w:rFonts w:ascii="Verdana" w:hAnsi="Verdana"/>
          <w:sz w:val="20"/>
        </w:rPr>
      </w:pPr>
      <w:r w:rsidRPr="00BA1C9E">
        <w:rPr>
          <w:rFonts w:ascii="Verdana" w:hAnsi="Verdana"/>
          <w:sz w:val="20"/>
        </w:rPr>
        <w:t>Once the Preferred Bidder has demonstrated it has met the requirements as specified by Ofgem</w:t>
      </w:r>
      <w:r w:rsidR="00741E9E">
        <w:rPr>
          <w:rFonts w:ascii="Verdana" w:hAnsi="Verdana"/>
          <w:sz w:val="20"/>
        </w:rPr>
        <w:t xml:space="preserve"> and made the required Payment</w:t>
      </w:r>
      <w:r w:rsidRPr="00BA1C9E">
        <w:rPr>
          <w:rFonts w:ascii="Verdana" w:hAnsi="Verdana"/>
          <w:sz w:val="20"/>
        </w:rPr>
        <w:t xml:space="preserve">, Ofgem will confirm it as the Successful Bidder for the </w:t>
      </w:r>
      <w:r w:rsidR="00277C2D">
        <w:rPr>
          <w:rFonts w:ascii="Verdana" w:hAnsi="Verdana"/>
          <w:sz w:val="20"/>
        </w:rPr>
        <w:t>relevant Q</w:t>
      </w:r>
      <w:r w:rsidR="00741E9E">
        <w:rPr>
          <w:rFonts w:ascii="Verdana" w:hAnsi="Verdana"/>
          <w:sz w:val="20"/>
        </w:rPr>
        <w:t>ualifying Project.</w:t>
      </w:r>
    </w:p>
    <w:p w:rsidR="00BA1C9E" w:rsidRDefault="00BA1C9E" w:rsidP="00BA1C9E">
      <w:pPr>
        <w:pStyle w:val="Heading3"/>
        <w:rPr>
          <w:rFonts w:ascii="Verdana" w:hAnsi="Verdana"/>
          <w:sz w:val="20"/>
        </w:rPr>
      </w:pPr>
      <w:r w:rsidRPr="00BA1C9E">
        <w:rPr>
          <w:rFonts w:ascii="Verdana" w:hAnsi="Verdana"/>
          <w:sz w:val="20"/>
        </w:rPr>
        <w:t xml:space="preserve">Following the </w:t>
      </w:r>
      <w:r w:rsidR="00C15EB0">
        <w:rPr>
          <w:rFonts w:ascii="Verdana" w:hAnsi="Verdana"/>
          <w:sz w:val="20"/>
        </w:rPr>
        <w:t xml:space="preserve">confirmation </w:t>
      </w:r>
      <w:r w:rsidRPr="00BA1C9E">
        <w:rPr>
          <w:rFonts w:ascii="Verdana" w:hAnsi="Verdana"/>
          <w:sz w:val="20"/>
        </w:rPr>
        <w:t>of the Successful Bidder, Ofgem will</w:t>
      </w:r>
      <w:r w:rsidR="00C15EB0">
        <w:rPr>
          <w:rFonts w:ascii="Verdana" w:hAnsi="Verdana"/>
          <w:sz w:val="20"/>
        </w:rPr>
        <w:t xml:space="preserve"> </w:t>
      </w:r>
      <w:r w:rsidRPr="00BA1C9E">
        <w:rPr>
          <w:rFonts w:ascii="Verdana" w:hAnsi="Verdana"/>
          <w:sz w:val="20"/>
        </w:rPr>
        <w:t xml:space="preserve">observe a 10-day standstill period in accordance with the requirements of </w:t>
      </w:r>
      <w:r w:rsidR="00C15EB0">
        <w:rPr>
          <w:rFonts w:ascii="Verdana" w:hAnsi="Verdana"/>
          <w:sz w:val="20"/>
        </w:rPr>
        <w:t xml:space="preserve">Regulation 22 of the </w:t>
      </w:r>
      <w:r w:rsidRPr="00BA1C9E">
        <w:rPr>
          <w:rFonts w:ascii="Verdana" w:hAnsi="Verdana"/>
          <w:sz w:val="20"/>
        </w:rPr>
        <w:t>Tender Regulations.</w:t>
      </w:r>
    </w:p>
    <w:p w:rsidR="00C15EB0" w:rsidRPr="00C15EB0" w:rsidRDefault="00C15EB0" w:rsidP="00C15EB0">
      <w:pPr>
        <w:pStyle w:val="Heading3"/>
        <w:rPr>
          <w:rFonts w:ascii="Verdana" w:hAnsi="Verdana"/>
          <w:sz w:val="20"/>
        </w:rPr>
      </w:pPr>
      <w:r w:rsidRPr="00C15EB0">
        <w:rPr>
          <w:rFonts w:ascii="Verdana" w:hAnsi="Verdana"/>
          <w:sz w:val="20"/>
        </w:rPr>
        <w:t xml:space="preserve">Further information on the Successful Bidder process will be made available in due course. </w:t>
      </w:r>
    </w:p>
    <w:p w:rsidR="008E5C5D" w:rsidRPr="00D737B1" w:rsidRDefault="003B5FB7" w:rsidP="008E5C5D">
      <w:pPr>
        <w:pStyle w:val="BodyText"/>
        <w:ind w:left="1559"/>
        <w:rPr>
          <w:rFonts w:ascii="Verdana" w:hAnsi="Verdana"/>
          <w:sz w:val="20"/>
        </w:rPr>
      </w:pPr>
      <w:r w:rsidRPr="003B5FB7">
        <w:rPr>
          <w:rFonts w:ascii="Verdana" w:hAnsi="Verdana"/>
          <w:sz w:val="20"/>
        </w:rPr>
        <w:tab/>
      </w:r>
      <w:r w:rsidRPr="003B5FB7">
        <w:rPr>
          <w:rFonts w:ascii="Verdana" w:hAnsi="Verdana"/>
          <w:sz w:val="20"/>
        </w:rPr>
        <w:tab/>
      </w:r>
      <w:r w:rsidRPr="003B5FB7">
        <w:rPr>
          <w:rFonts w:ascii="Verdana" w:hAnsi="Verdana"/>
          <w:sz w:val="20"/>
        </w:rPr>
        <w:tab/>
      </w:r>
    </w:p>
    <w:p w:rsidR="007D1133" w:rsidRPr="0071113A" w:rsidRDefault="007D1133" w:rsidP="00DE4ADB">
      <w:pPr>
        <w:pStyle w:val="Heading1"/>
        <w:rPr>
          <w:rFonts w:ascii="Verdana" w:hAnsi="Verdana"/>
          <w:sz w:val="20"/>
        </w:rPr>
      </w:pPr>
      <w:bookmarkStart w:id="59" w:name="_Toc249178468"/>
      <w:r w:rsidRPr="0071113A">
        <w:rPr>
          <w:rFonts w:ascii="Verdana" w:hAnsi="Verdana"/>
          <w:sz w:val="20"/>
        </w:rPr>
        <w:t>Miscellaneous</w:t>
      </w:r>
      <w:bookmarkEnd w:id="59"/>
      <w:r w:rsidRPr="0071113A">
        <w:rPr>
          <w:rFonts w:ascii="Verdana" w:hAnsi="Verdana"/>
          <w:sz w:val="20"/>
        </w:rPr>
        <w:t xml:space="preserve"> </w:t>
      </w:r>
    </w:p>
    <w:p w:rsidR="00DD1F89" w:rsidRPr="00DD1F89" w:rsidRDefault="003B5FB7" w:rsidP="00DD1F89">
      <w:pPr>
        <w:pStyle w:val="Heading2"/>
        <w:rPr>
          <w:rFonts w:ascii="Verdana" w:hAnsi="Verdana"/>
          <w:sz w:val="20"/>
        </w:rPr>
      </w:pPr>
      <w:r w:rsidRPr="003B5FB7">
        <w:rPr>
          <w:rFonts w:ascii="Verdana" w:hAnsi="Verdana"/>
          <w:sz w:val="20"/>
        </w:rPr>
        <w:t xml:space="preserve">Withdrawal, </w:t>
      </w:r>
      <w:r w:rsidR="00DD1F89">
        <w:rPr>
          <w:rFonts w:ascii="Verdana" w:hAnsi="Verdana"/>
          <w:sz w:val="20"/>
        </w:rPr>
        <w:t>C</w:t>
      </w:r>
      <w:r w:rsidRPr="003B5FB7">
        <w:rPr>
          <w:rFonts w:ascii="Verdana" w:hAnsi="Verdana"/>
          <w:sz w:val="20"/>
        </w:rPr>
        <w:t xml:space="preserve">ancellation and </w:t>
      </w:r>
      <w:r w:rsidR="00DD1F89">
        <w:rPr>
          <w:rFonts w:ascii="Verdana" w:hAnsi="Verdana"/>
          <w:sz w:val="20"/>
        </w:rPr>
        <w:t>D</w:t>
      </w:r>
      <w:r w:rsidRPr="003B5FB7">
        <w:rPr>
          <w:rFonts w:ascii="Verdana" w:hAnsi="Verdana"/>
          <w:sz w:val="20"/>
        </w:rPr>
        <w:t>isqualification</w:t>
      </w:r>
    </w:p>
    <w:p w:rsidR="00951AA0" w:rsidRPr="00D737B1" w:rsidRDefault="003B5FB7" w:rsidP="00DE4ADB">
      <w:pPr>
        <w:pStyle w:val="Heading3"/>
        <w:ind w:left="1559"/>
        <w:rPr>
          <w:rFonts w:ascii="Verdana" w:hAnsi="Verdana"/>
          <w:sz w:val="20"/>
        </w:rPr>
      </w:pPr>
      <w:r w:rsidRPr="003B5FB7">
        <w:rPr>
          <w:rFonts w:ascii="Verdana" w:hAnsi="Verdana"/>
          <w:sz w:val="20"/>
        </w:rPr>
        <w:t xml:space="preserve">Parts 10, 11 and 12 of the Tender Regulations and chapters 12, 13 and 14 of the Tender Rules set out circumstances in which Qualifying Bidders may withdraw from a Tender Process, any particular Tender Process may be cancelled and the circumstances under which a Qualifying Bidder may be disqualified from the Tender Round, and the consequences of such withdrawal, cancellation or disqualification. </w:t>
      </w:r>
    </w:p>
    <w:p w:rsidR="00951AA0" w:rsidRPr="00D737B1" w:rsidRDefault="003B5FB7" w:rsidP="00DE4ADB">
      <w:pPr>
        <w:pStyle w:val="Heading3"/>
        <w:ind w:left="1559"/>
        <w:rPr>
          <w:rFonts w:ascii="Verdana" w:hAnsi="Verdana"/>
          <w:sz w:val="20"/>
        </w:rPr>
      </w:pPr>
      <w:r w:rsidRPr="003B5FB7">
        <w:rPr>
          <w:rFonts w:ascii="Verdana" w:hAnsi="Verdana"/>
          <w:sz w:val="20"/>
        </w:rPr>
        <w:t>Ofgem reserves the right to:</w:t>
      </w:r>
    </w:p>
    <w:p w:rsidR="00951AA0" w:rsidRPr="00D737B1" w:rsidRDefault="003B5FB7" w:rsidP="00C15EB0">
      <w:pPr>
        <w:pStyle w:val="Heading4"/>
        <w:tabs>
          <w:tab w:val="clear" w:pos="2694"/>
          <w:tab w:val="num" w:pos="2268"/>
        </w:tabs>
        <w:ind w:left="2268"/>
        <w:rPr>
          <w:rFonts w:ascii="Verdana" w:hAnsi="Verdana"/>
          <w:sz w:val="20"/>
        </w:rPr>
      </w:pPr>
      <w:proofErr w:type="gramStart"/>
      <w:r w:rsidRPr="003B5FB7">
        <w:rPr>
          <w:rFonts w:ascii="Verdana" w:hAnsi="Verdana"/>
          <w:sz w:val="20"/>
        </w:rPr>
        <w:t>reject</w:t>
      </w:r>
      <w:proofErr w:type="gramEnd"/>
      <w:r w:rsidRPr="003B5FB7">
        <w:rPr>
          <w:rFonts w:ascii="Verdana" w:hAnsi="Verdana"/>
          <w:sz w:val="20"/>
        </w:rPr>
        <w:t xml:space="preserve"> any Submission that, in </w:t>
      </w:r>
      <w:proofErr w:type="spellStart"/>
      <w:r w:rsidRPr="003B5FB7">
        <w:rPr>
          <w:rFonts w:ascii="Verdana" w:hAnsi="Verdana"/>
          <w:sz w:val="20"/>
        </w:rPr>
        <w:t>Ofgem's</w:t>
      </w:r>
      <w:proofErr w:type="spellEnd"/>
      <w:r w:rsidRPr="003B5FB7">
        <w:rPr>
          <w:rFonts w:ascii="Verdana" w:hAnsi="Verdana"/>
          <w:sz w:val="20"/>
        </w:rPr>
        <w:t xml:space="preserve"> opinion, fails to comply with the requirements for ITT Submissions set out in the ITT Document; and/or</w:t>
      </w:r>
    </w:p>
    <w:p w:rsidR="00951AA0" w:rsidRPr="00D737B1" w:rsidRDefault="003B5FB7" w:rsidP="00C15EB0">
      <w:pPr>
        <w:pStyle w:val="Heading4"/>
        <w:tabs>
          <w:tab w:val="clear" w:pos="2694"/>
          <w:tab w:val="num" w:pos="2268"/>
        </w:tabs>
        <w:ind w:left="2268"/>
        <w:rPr>
          <w:rFonts w:ascii="Verdana" w:hAnsi="Verdana"/>
          <w:sz w:val="20"/>
        </w:rPr>
      </w:pPr>
      <w:proofErr w:type="gramStart"/>
      <w:r w:rsidRPr="003B5FB7">
        <w:rPr>
          <w:rFonts w:ascii="Verdana" w:hAnsi="Verdana"/>
          <w:sz w:val="20"/>
        </w:rPr>
        <w:t>exclude</w:t>
      </w:r>
      <w:proofErr w:type="gramEnd"/>
      <w:r w:rsidRPr="003B5FB7">
        <w:rPr>
          <w:rFonts w:ascii="Verdana" w:hAnsi="Verdana"/>
          <w:sz w:val="20"/>
        </w:rPr>
        <w:t xml:space="preserve"> any Qualifying Bidder that fails to comply with the Tender Regulations or the Tender Rules,  </w:t>
      </w:r>
    </w:p>
    <w:p w:rsidR="00951AA0" w:rsidRPr="00D737B1" w:rsidRDefault="003B5FB7" w:rsidP="00951AA0">
      <w:pPr>
        <w:pStyle w:val="Heading4"/>
        <w:numPr>
          <w:ilvl w:val="0"/>
          <w:numId w:val="0"/>
        </w:numPr>
        <w:ind w:left="1559"/>
        <w:rPr>
          <w:rFonts w:ascii="Verdana" w:hAnsi="Verdana"/>
          <w:sz w:val="20"/>
        </w:rPr>
      </w:pPr>
      <w:r w:rsidRPr="003B5FB7">
        <w:rPr>
          <w:rFonts w:ascii="Verdana" w:hAnsi="Verdana"/>
          <w:sz w:val="20"/>
        </w:rPr>
        <w:t xml:space="preserve">although, subject to the Tender Regulations, Ofgem shall not be obliged to reject any such ITT Submissions or exclude any such Qualifying Bidders in such circumstances.  </w:t>
      </w:r>
    </w:p>
    <w:p w:rsidR="00951AA0" w:rsidRPr="00D737B1" w:rsidRDefault="00CA55BA" w:rsidP="00DE4ADB">
      <w:pPr>
        <w:pStyle w:val="Heading2"/>
        <w:rPr>
          <w:rFonts w:ascii="Verdana" w:hAnsi="Verdana"/>
          <w:sz w:val="20"/>
        </w:rPr>
      </w:pPr>
      <w:r>
        <w:rPr>
          <w:rFonts w:ascii="Verdana" w:hAnsi="Verdana"/>
          <w:sz w:val="20"/>
        </w:rPr>
        <w:t>Unsuccessful Qualifying Bidder F</w:t>
      </w:r>
      <w:r w:rsidR="003B5FB7" w:rsidRPr="003B5FB7">
        <w:rPr>
          <w:rFonts w:ascii="Verdana" w:hAnsi="Verdana"/>
          <w:sz w:val="20"/>
        </w:rPr>
        <w:t>eedback</w:t>
      </w:r>
    </w:p>
    <w:p w:rsidR="00951AA0" w:rsidRPr="00CA55BA" w:rsidRDefault="003B5FB7" w:rsidP="00DE4ADB">
      <w:pPr>
        <w:pStyle w:val="Heading3"/>
        <w:rPr>
          <w:rFonts w:ascii="Verdana" w:hAnsi="Verdana"/>
          <w:sz w:val="20"/>
        </w:rPr>
      </w:pPr>
      <w:r w:rsidRPr="00CA55BA">
        <w:rPr>
          <w:rFonts w:ascii="Verdana" w:hAnsi="Verdana"/>
          <w:sz w:val="20"/>
        </w:rPr>
        <w:t xml:space="preserve">In the event that an </w:t>
      </w:r>
      <w:r w:rsidRPr="00CA55BA">
        <w:rPr>
          <w:rFonts w:ascii="Verdana" w:hAnsi="Verdana"/>
          <w:bCs/>
          <w:sz w:val="20"/>
        </w:rPr>
        <w:t xml:space="preserve">ITT </w:t>
      </w:r>
      <w:r w:rsidRPr="00CA55BA">
        <w:rPr>
          <w:rFonts w:ascii="Verdana" w:hAnsi="Verdana"/>
          <w:sz w:val="20"/>
        </w:rPr>
        <w:t xml:space="preserve">Submission is unsuccessful, the relevant </w:t>
      </w:r>
      <w:r w:rsidRPr="00CA55BA">
        <w:rPr>
          <w:rFonts w:ascii="Verdana" w:hAnsi="Verdana"/>
          <w:bCs/>
          <w:sz w:val="20"/>
        </w:rPr>
        <w:t>Qualifying</w:t>
      </w:r>
      <w:r w:rsidR="00CA55BA">
        <w:rPr>
          <w:rFonts w:ascii="Verdana" w:hAnsi="Verdana"/>
          <w:bCs/>
          <w:sz w:val="20"/>
        </w:rPr>
        <w:t xml:space="preserve"> Bidder </w:t>
      </w:r>
      <w:r w:rsidR="0071113A">
        <w:rPr>
          <w:rFonts w:ascii="Verdana" w:hAnsi="Verdana"/>
          <w:bCs/>
          <w:sz w:val="20"/>
        </w:rPr>
        <w:t xml:space="preserve">will be notified accordingly.  Qualifying Bidders may </w:t>
      </w:r>
      <w:r w:rsidRPr="00CA55BA">
        <w:rPr>
          <w:rFonts w:ascii="Verdana" w:hAnsi="Verdana"/>
          <w:sz w:val="20"/>
        </w:rPr>
        <w:t xml:space="preserve">request feedback </w:t>
      </w:r>
      <w:r w:rsidR="00CA55BA">
        <w:rPr>
          <w:rFonts w:ascii="Verdana" w:hAnsi="Verdana"/>
          <w:sz w:val="20"/>
        </w:rPr>
        <w:t>from Ofgem</w:t>
      </w:r>
      <w:r w:rsidR="0071113A">
        <w:rPr>
          <w:rFonts w:ascii="Verdana" w:hAnsi="Verdana"/>
          <w:sz w:val="20"/>
        </w:rPr>
        <w:t xml:space="preserve"> following such a notice</w:t>
      </w:r>
      <w:r w:rsidR="00CA55BA">
        <w:rPr>
          <w:rFonts w:ascii="Verdana" w:hAnsi="Verdana"/>
          <w:sz w:val="20"/>
        </w:rPr>
        <w:t xml:space="preserve">.  Any request for feedback </w:t>
      </w:r>
      <w:r w:rsidRPr="00CA55BA">
        <w:rPr>
          <w:rFonts w:ascii="Verdana" w:hAnsi="Verdana"/>
          <w:sz w:val="20"/>
        </w:rPr>
        <w:t xml:space="preserve">must be made within one month of a Qualifying Bidder receiving notification that it has been unsuccessful.  Ofgem will provide feedback within a reasonable timeframe to any unsuccessful Qualifying Bidder who requests it. </w:t>
      </w:r>
    </w:p>
    <w:p w:rsidR="00CA55BA" w:rsidRPr="00D737B1" w:rsidRDefault="00CA55BA" w:rsidP="00951AA0">
      <w:pPr>
        <w:pStyle w:val="BodyText"/>
        <w:ind w:left="709"/>
        <w:rPr>
          <w:rFonts w:ascii="Verdana" w:hAnsi="Verdana"/>
          <w:sz w:val="20"/>
        </w:rPr>
      </w:pPr>
    </w:p>
    <w:p w:rsidR="007B5F66" w:rsidRDefault="007B5F66">
      <w:pPr>
        <w:tabs>
          <w:tab w:val="clear" w:pos="709"/>
          <w:tab w:val="clear" w:pos="1559"/>
          <w:tab w:val="clear" w:pos="2268"/>
          <w:tab w:val="clear" w:pos="2977"/>
          <w:tab w:val="clear" w:pos="3686"/>
          <w:tab w:val="clear" w:pos="4394"/>
          <w:tab w:val="clear" w:pos="8789"/>
        </w:tabs>
        <w:spacing w:line="240" w:lineRule="auto"/>
        <w:jc w:val="left"/>
        <w:rPr>
          <w:rFonts w:ascii="Verdana" w:hAnsi="Verdana"/>
          <w:b/>
          <w:sz w:val="20"/>
        </w:rPr>
      </w:pPr>
      <w:bookmarkStart w:id="60" w:name="_Toc231991340"/>
      <w:bookmarkStart w:id="61" w:name="_Toc205966295"/>
      <w:r>
        <w:rPr>
          <w:rFonts w:ascii="Verdana" w:hAnsi="Verdana"/>
          <w:b/>
          <w:sz w:val="20"/>
        </w:rPr>
        <w:br w:type="page"/>
      </w:r>
    </w:p>
    <w:p w:rsidR="00B07DC0" w:rsidRDefault="00B87E55" w:rsidP="00B87E55">
      <w:pPr>
        <w:rPr>
          <w:rFonts w:ascii="Verdana" w:hAnsi="Verdana"/>
          <w:b/>
          <w:sz w:val="20"/>
        </w:rPr>
      </w:pPr>
      <w:r>
        <w:rPr>
          <w:rFonts w:ascii="Verdana" w:hAnsi="Verdana"/>
          <w:b/>
          <w:sz w:val="20"/>
        </w:rPr>
        <w:t xml:space="preserve">APPENDIX </w:t>
      </w:r>
      <w:r w:rsidR="00757832">
        <w:rPr>
          <w:rFonts w:ascii="Verdana" w:hAnsi="Verdana"/>
          <w:b/>
          <w:sz w:val="20"/>
        </w:rPr>
        <w:t>1</w:t>
      </w:r>
      <w:r>
        <w:rPr>
          <w:rFonts w:ascii="Verdana" w:hAnsi="Verdana"/>
          <w:b/>
          <w:sz w:val="20"/>
        </w:rPr>
        <w:t xml:space="preserve">: </w:t>
      </w:r>
      <w:r w:rsidR="00B07DC0">
        <w:rPr>
          <w:rFonts w:ascii="Verdana" w:hAnsi="Verdana"/>
          <w:b/>
          <w:sz w:val="20"/>
        </w:rPr>
        <w:t>QUALIFYING BIDDER MEETING SCHEDULE</w:t>
      </w:r>
      <w:r w:rsidR="000B113B">
        <w:rPr>
          <w:rFonts w:ascii="Verdana" w:hAnsi="Verdana"/>
          <w:b/>
          <w:sz w:val="20"/>
        </w:rPr>
        <w:t xml:space="preserve"> AS AT </w:t>
      </w:r>
      <w:r w:rsidR="00DD1F89">
        <w:rPr>
          <w:rFonts w:ascii="Verdana" w:hAnsi="Verdana"/>
          <w:b/>
          <w:sz w:val="20"/>
        </w:rPr>
        <w:t>21</w:t>
      </w:r>
      <w:r w:rsidR="000B113B">
        <w:rPr>
          <w:rFonts w:ascii="Verdana" w:hAnsi="Verdana"/>
          <w:b/>
          <w:sz w:val="20"/>
        </w:rPr>
        <w:t xml:space="preserve"> DECEMBER 2010</w:t>
      </w:r>
    </w:p>
    <w:p w:rsidR="00B07DC0" w:rsidRDefault="00B07DC0" w:rsidP="00B87E55">
      <w:pPr>
        <w:rPr>
          <w:rFonts w:ascii="Verdana" w:hAnsi="Verdana"/>
          <w:b/>
          <w:sz w:val="20"/>
        </w:rPr>
      </w:pPr>
    </w:p>
    <w:p w:rsidR="000B113B" w:rsidRPr="000B113B" w:rsidRDefault="000B113B" w:rsidP="00B87E55">
      <w:pPr>
        <w:rPr>
          <w:rFonts w:ascii="Verdana" w:hAnsi="Verdana"/>
          <w:sz w:val="20"/>
        </w:rPr>
      </w:pPr>
      <w:r w:rsidRPr="000B113B">
        <w:rPr>
          <w:rFonts w:ascii="Verdana" w:hAnsi="Verdana"/>
          <w:sz w:val="20"/>
        </w:rPr>
        <w:t xml:space="preserve">The following table sets out those meetings </w:t>
      </w:r>
      <w:r>
        <w:rPr>
          <w:rFonts w:ascii="Verdana" w:hAnsi="Verdana"/>
          <w:sz w:val="20"/>
        </w:rPr>
        <w:t xml:space="preserve">that </w:t>
      </w:r>
      <w:r w:rsidRPr="000B113B">
        <w:rPr>
          <w:rFonts w:ascii="Verdana" w:hAnsi="Verdana"/>
          <w:sz w:val="20"/>
        </w:rPr>
        <w:t xml:space="preserve">Qualifying Bidders </w:t>
      </w:r>
      <w:r>
        <w:rPr>
          <w:rFonts w:ascii="Verdana" w:hAnsi="Verdana"/>
          <w:sz w:val="20"/>
        </w:rPr>
        <w:t xml:space="preserve">are required to attend during the ITT stage.  Ofgem will invite Qualifying Bidders to these meetings under separate cover. </w:t>
      </w:r>
    </w:p>
    <w:p w:rsidR="000B113B" w:rsidRDefault="000B113B" w:rsidP="00B87E55">
      <w:pPr>
        <w:rPr>
          <w:rFonts w:ascii="Verdana" w:hAnsi="Verdana"/>
          <w:b/>
          <w:sz w:val="20"/>
        </w:rPr>
      </w:pPr>
    </w:p>
    <w:tbl>
      <w:tblPr>
        <w:tblW w:w="9371" w:type="dxa"/>
        <w:tblInd w:w="93" w:type="dxa"/>
        <w:tblLook w:val="04A0"/>
      </w:tblPr>
      <w:tblGrid>
        <w:gridCol w:w="2142"/>
        <w:gridCol w:w="7229"/>
      </w:tblGrid>
      <w:tr w:rsidR="00B07DC0" w:rsidRPr="00B07DC0" w:rsidTr="0076169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b/>
                <w:color w:val="000000"/>
                <w:sz w:val="20"/>
                <w:lang w:eastAsia="en-GB"/>
              </w:rPr>
            </w:pPr>
            <w:r w:rsidRPr="00B07DC0">
              <w:rPr>
                <w:rFonts w:ascii="Verdana" w:eastAsia="Times New Roman" w:hAnsi="Verdana"/>
                <w:b/>
                <w:color w:val="000000"/>
                <w:sz w:val="20"/>
                <w:lang w:eastAsia="en-GB"/>
              </w:rPr>
              <w:t>Date</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b/>
                <w:color w:val="000000"/>
                <w:sz w:val="20"/>
                <w:lang w:eastAsia="en-GB"/>
              </w:rPr>
            </w:pPr>
            <w:r w:rsidRPr="00B07DC0">
              <w:rPr>
                <w:rFonts w:ascii="Verdana" w:eastAsia="Times New Roman" w:hAnsi="Verdana"/>
                <w:b/>
                <w:color w:val="000000"/>
                <w:sz w:val="20"/>
                <w:lang w:eastAsia="en-GB"/>
              </w:rPr>
              <w:t>Meeting</w:t>
            </w:r>
          </w:p>
        </w:tc>
      </w:tr>
      <w:tr w:rsidR="00B07DC0" w:rsidRPr="00B07DC0" w:rsidTr="00761695">
        <w:trPr>
          <w:trHeight w:val="510"/>
        </w:trPr>
        <w:tc>
          <w:tcPr>
            <w:tcW w:w="2142" w:type="dxa"/>
            <w:tcBorders>
              <w:top w:val="nil"/>
              <w:left w:val="single" w:sz="4" w:space="0" w:color="auto"/>
              <w:bottom w:val="single" w:sz="4" w:space="0" w:color="auto"/>
              <w:right w:val="single" w:sz="4" w:space="0" w:color="auto"/>
            </w:tcBorders>
            <w:shd w:val="clear" w:color="auto" w:fill="auto"/>
            <w:noWrap/>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07/01/2010</w:t>
            </w:r>
          </w:p>
        </w:tc>
        <w:tc>
          <w:tcPr>
            <w:tcW w:w="7229" w:type="dxa"/>
            <w:tcBorders>
              <w:top w:val="nil"/>
              <w:left w:val="nil"/>
              <w:bottom w:val="single" w:sz="4" w:space="0" w:color="auto"/>
              <w:right w:val="single" w:sz="4" w:space="0" w:color="auto"/>
            </w:tcBorders>
            <w:shd w:val="clear" w:color="auto" w:fill="auto"/>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Qualifying Bidder feedback on QTT Submission</w:t>
            </w:r>
            <w:r>
              <w:rPr>
                <w:rFonts w:ascii="Verdana" w:eastAsia="Times New Roman" w:hAnsi="Verdana"/>
                <w:color w:val="000000"/>
                <w:sz w:val="20"/>
                <w:lang w:eastAsia="en-GB"/>
              </w:rPr>
              <w:t>, incorporating general overview of ITT requirements and Special Licence Conditions</w:t>
            </w:r>
          </w:p>
        </w:tc>
      </w:tr>
      <w:tr w:rsidR="00B07DC0" w:rsidRPr="00B07DC0" w:rsidTr="00761695">
        <w:trPr>
          <w:trHeight w:val="510"/>
        </w:trPr>
        <w:tc>
          <w:tcPr>
            <w:tcW w:w="2142" w:type="dxa"/>
            <w:tcBorders>
              <w:top w:val="nil"/>
              <w:left w:val="single" w:sz="4" w:space="0" w:color="auto"/>
              <w:bottom w:val="single" w:sz="4" w:space="0" w:color="auto"/>
              <w:right w:val="single" w:sz="4" w:space="0" w:color="auto"/>
            </w:tcBorders>
            <w:shd w:val="clear" w:color="auto" w:fill="auto"/>
            <w:noWrap/>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08/01/2010</w:t>
            </w:r>
          </w:p>
        </w:tc>
        <w:tc>
          <w:tcPr>
            <w:tcW w:w="7229" w:type="dxa"/>
            <w:tcBorders>
              <w:top w:val="nil"/>
              <w:left w:val="nil"/>
              <w:bottom w:val="single" w:sz="4" w:space="0" w:color="auto"/>
              <w:right w:val="single" w:sz="4" w:space="0" w:color="auto"/>
            </w:tcBorders>
            <w:shd w:val="clear" w:color="auto" w:fill="auto"/>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Qualifying Bidder feedback on QTT Submission</w:t>
            </w:r>
            <w:r>
              <w:rPr>
                <w:rFonts w:ascii="Verdana" w:eastAsia="Times New Roman" w:hAnsi="Verdana"/>
                <w:color w:val="000000"/>
                <w:sz w:val="20"/>
                <w:lang w:eastAsia="en-GB"/>
              </w:rPr>
              <w:t>, incorporating general overview of ITT requirements and Special Licence Conditions</w:t>
            </w:r>
          </w:p>
        </w:tc>
      </w:tr>
      <w:tr w:rsidR="00B07DC0" w:rsidRPr="00B07DC0" w:rsidTr="00761695">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13/01/2010</w:t>
            </w:r>
          </w:p>
        </w:tc>
        <w:tc>
          <w:tcPr>
            <w:tcW w:w="7229" w:type="dxa"/>
            <w:tcBorders>
              <w:top w:val="nil"/>
              <w:left w:val="nil"/>
              <w:bottom w:val="single" w:sz="4" w:space="0" w:color="auto"/>
              <w:right w:val="single" w:sz="4" w:space="0" w:color="auto"/>
            </w:tcBorders>
            <w:shd w:val="clear" w:color="auto" w:fill="auto"/>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 xml:space="preserve">Project Briefing Day </w:t>
            </w:r>
            <w:r w:rsidR="000B113B">
              <w:rPr>
                <w:rFonts w:ascii="Verdana" w:eastAsia="Times New Roman" w:hAnsi="Verdana"/>
                <w:color w:val="000000"/>
                <w:sz w:val="20"/>
                <w:lang w:eastAsia="en-GB"/>
              </w:rPr>
              <w:t>–</w:t>
            </w:r>
            <w:r w:rsidRPr="00B07DC0">
              <w:rPr>
                <w:rFonts w:ascii="Verdana" w:eastAsia="Times New Roman" w:hAnsi="Verdana"/>
                <w:color w:val="000000"/>
                <w:sz w:val="20"/>
                <w:lang w:eastAsia="en-GB"/>
              </w:rPr>
              <w:t xml:space="preserve"> </w:t>
            </w:r>
            <w:r w:rsidR="00334514">
              <w:rPr>
                <w:rFonts w:ascii="Verdana" w:eastAsia="Times New Roman" w:hAnsi="Verdana"/>
                <w:color w:val="000000"/>
                <w:sz w:val="20"/>
                <w:lang w:eastAsia="en-GB"/>
              </w:rPr>
              <w:t xml:space="preserve">Barrow, </w:t>
            </w:r>
            <w:proofErr w:type="spellStart"/>
            <w:r w:rsidR="00334514">
              <w:rPr>
                <w:rFonts w:ascii="Verdana" w:eastAsia="Times New Roman" w:hAnsi="Verdana"/>
                <w:color w:val="000000"/>
                <w:sz w:val="20"/>
                <w:lang w:eastAsia="en-GB"/>
              </w:rPr>
              <w:t>Gunfleet</w:t>
            </w:r>
            <w:proofErr w:type="spellEnd"/>
            <w:r w:rsidR="00334514">
              <w:rPr>
                <w:rFonts w:ascii="Verdana" w:eastAsia="Times New Roman" w:hAnsi="Verdana"/>
                <w:color w:val="000000"/>
                <w:sz w:val="20"/>
                <w:lang w:eastAsia="en-GB"/>
              </w:rPr>
              <w:t xml:space="preserve"> Sands and</w:t>
            </w:r>
            <w:r w:rsidR="00B45DFD">
              <w:rPr>
                <w:rFonts w:ascii="Verdana" w:eastAsia="Times New Roman" w:hAnsi="Verdana"/>
                <w:color w:val="000000"/>
                <w:sz w:val="20"/>
                <w:lang w:eastAsia="en-GB"/>
              </w:rPr>
              <w:t xml:space="preserve"> </w:t>
            </w:r>
            <w:proofErr w:type="spellStart"/>
            <w:r w:rsidR="00334514">
              <w:rPr>
                <w:rFonts w:ascii="Verdana" w:eastAsia="Times New Roman" w:hAnsi="Verdana"/>
                <w:color w:val="000000"/>
                <w:sz w:val="20"/>
                <w:lang w:eastAsia="en-GB"/>
              </w:rPr>
              <w:t>Walney</w:t>
            </w:r>
            <w:proofErr w:type="spellEnd"/>
            <w:r w:rsidR="00334514">
              <w:rPr>
                <w:rFonts w:ascii="Verdana" w:eastAsia="Times New Roman" w:hAnsi="Verdana"/>
                <w:color w:val="000000"/>
                <w:sz w:val="20"/>
                <w:lang w:eastAsia="en-GB"/>
              </w:rPr>
              <w:t xml:space="preserve"> I &amp; II</w:t>
            </w:r>
          </w:p>
        </w:tc>
      </w:tr>
      <w:tr w:rsidR="00B07DC0" w:rsidRPr="00B07DC0" w:rsidTr="00761695">
        <w:trPr>
          <w:trHeight w:val="510"/>
        </w:trPr>
        <w:tc>
          <w:tcPr>
            <w:tcW w:w="2142" w:type="dxa"/>
            <w:tcBorders>
              <w:top w:val="nil"/>
              <w:left w:val="single" w:sz="4" w:space="0" w:color="auto"/>
              <w:bottom w:val="single" w:sz="4" w:space="0" w:color="auto"/>
              <w:right w:val="single" w:sz="4" w:space="0" w:color="auto"/>
            </w:tcBorders>
            <w:shd w:val="clear" w:color="auto" w:fill="auto"/>
            <w:noWrap/>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15/01/2010</w:t>
            </w:r>
          </w:p>
        </w:tc>
        <w:tc>
          <w:tcPr>
            <w:tcW w:w="7229" w:type="dxa"/>
            <w:tcBorders>
              <w:top w:val="nil"/>
              <w:left w:val="nil"/>
              <w:bottom w:val="single" w:sz="4" w:space="0" w:color="auto"/>
              <w:right w:val="single" w:sz="4" w:space="0" w:color="auto"/>
            </w:tcBorders>
            <w:shd w:val="clear" w:color="auto" w:fill="auto"/>
            <w:hideMark/>
          </w:tcPr>
          <w:p w:rsidR="00B07DC0" w:rsidRPr="00B07DC0" w:rsidRDefault="00B07DC0" w:rsidP="00B07DC0">
            <w:pPr>
              <w:tabs>
                <w:tab w:val="clear" w:pos="709"/>
                <w:tab w:val="clear" w:pos="1559"/>
                <w:tab w:val="clear" w:pos="2268"/>
                <w:tab w:val="clear" w:pos="2977"/>
                <w:tab w:val="clear" w:pos="3686"/>
                <w:tab w:val="clear" w:pos="4394"/>
                <w:tab w:val="clear" w:pos="8789"/>
              </w:tabs>
              <w:spacing w:line="240" w:lineRule="auto"/>
              <w:jc w:val="left"/>
              <w:rPr>
                <w:rFonts w:ascii="Verdana" w:eastAsia="Times New Roman" w:hAnsi="Verdana"/>
                <w:color w:val="000000"/>
                <w:sz w:val="20"/>
                <w:lang w:eastAsia="en-GB"/>
              </w:rPr>
            </w:pPr>
            <w:r w:rsidRPr="00B07DC0">
              <w:rPr>
                <w:rFonts w:ascii="Verdana" w:eastAsia="Times New Roman" w:hAnsi="Verdana"/>
                <w:color w:val="000000"/>
                <w:sz w:val="20"/>
                <w:lang w:eastAsia="en-GB"/>
              </w:rPr>
              <w:t xml:space="preserve">Project Briefing Day </w:t>
            </w:r>
            <w:r w:rsidR="000B113B">
              <w:rPr>
                <w:rFonts w:ascii="Verdana" w:eastAsia="Times New Roman" w:hAnsi="Verdana"/>
                <w:color w:val="000000"/>
                <w:sz w:val="20"/>
                <w:lang w:eastAsia="en-GB"/>
              </w:rPr>
              <w:t>–</w:t>
            </w:r>
            <w:r w:rsidRPr="00B07DC0">
              <w:rPr>
                <w:rFonts w:ascii="Verdana" w:eastAsia="Times New Roman" w:hAnsi="Verdana"/>
                <w:color w:val="000000"/>
                <w:sz w:val="20"/>
                <w:lang w:eastAsia="en-GB"/>
              </w:rPr>
              <w:t xml:space="preserve"> </w:t>
            </w:r>
            <w:r w:rsidR="000B113B">
              <w:rPr>
                <w:rFonts w:ascii="Verdana" w:eastAsia="Times New Roman" w:hAnsi="Verdana"/>
                <w:color w:val="000000"/>
                <w:sz w:val="20"/>
                <w:lang w:eastAsia="en-GB"/>
              </w:rPr>
              <w:t xml:space="preserve">Qualifying Projects developed by </w:t>
            </w:r>
            <w:proofErr w:type="spellStart"/>
            <w:r w:rsidRPr="00B07DC0">
              <w:rPr>
                <w:rFonts w:ascii="Verdana" w:eastAsia="Times New Roman" w:hAnsi="Verdana"/>
                <w:color w:val="000000"/>
                <w:sz w:val="20"/>
                <w:lang w:eastAsia="en-GB"/>
              </w:rPr>
              <w:t>Vattenfall</w:t>
            </w:r>
            <w:proofErr w:type="spellEnd"/>
            <w:r w:rsidRPr="00B07DC0">
              <w:rPr>
                <w:rFonts w:ascii="Verdana" w:eastAsia="Times New Roman" w:hAnsi="Verdana"/>
                <w:color w:val="000000"/>
                <w:sz w:val="20"/>
                <w:lang w:eastAsia="en-GB"/>
              </w:rPr>
              <w:t>, SCIRA, Eon, SSE</w:t>
            </w:r>
          </w:p>
        </w:tc>
      </w:tr>
    </w:tbl>
    <w:p w:rsidR="00B07DC0" w:rsidRDefault="00B07DC0" w:rsidP="00B87E55">
      <w:pPr>
        <w:rPr>
          <w:rFonts w:ascii="Verdana" w:hAnsi="Verdana"/>
          <w:b/>
          <w:sz w:val="20"/>
        </w:rPr>
      </w:pPr>
    </w:p>
    <w:p w:rsidR="003B5FB7" w:rsidRPr="009B794C" w:rsidRDefault="00B63556" w:rsidP="00036F16">
      <w:pPr>
        <w:rPr>
          <w:rFonts w:ascii="Verdana" w:hAnsi="Verdana"/>
          <w:sz w:val="20"/>
        </w:rPr>
      </w:pPr>
      <w:r w:rsidRPr="00FC27F6">
        <w:rPr>
          <w:rFonts w:ascii="Verdana" w:hAnsi="Verdana"/>
          <w:sz w:val="20"/>
          <w:highlight w:val="yellow"/>
        </w:rPr>
        <w:br w:type="page"/>
      </w:r>
      <w:r w:rsidR="007D1133" w:rsidRPr="009B794C">
        <w:rPr>
          <w:rFonts w:ascii="Verdana" w:hAnsi="Verdana"/>
          <w:b/>
          <w:sz w:val="20"/>
        </w:rPr>
        <w:lastRenderedPageBreak/>
        <w:t xml:space="preserve">APPENDIX </w:t>
      </w:r>
      <w:r w:rsidR="00036F16">
        <w:rPr>
          <w:rFonts w:ascii="Verdana" w:hAnsi="Verdana"/>
          <w:b/>
          <w:sz w:val="20"/>
        </w:rPr>
        <w:t>2</w:t>
      </w:r>
      <w:r w:rsidR="00B87E55" w:rsidRPr="009B794C">
        <w:rPr>
          <w:rFonts w:ascii="Verdana" w:hAnsi="Verdana"/>
          <w:b/>
          <w:sz w:val="20"/>
        </w:rPr>
        <w:t>:</w:t>
      </w:r>
      <w:r w:rsidR="007D1133" w:rsidRPr="009B794C">
        <w:rPr>
          <w:rFonts w:ascii="Verdana" w:hAnsi="Verdana"/>
          <w:b/>
          <w:sz w:val="20"/>
        </w:rPr>
        <w:t xml:space="preserve"> </w:t>
      </w:r>
      <w:r w:rsidR="00757832" w:rsidRPr="009B794C">
        <w:rPr>
          <w:rFonts w:ascii="Verdana" w:hAnsi="Verdana"/>
          <w:b/>
          <w:sz w:val="20"/>
        </w:rPr>
        <w:t>QUALIFYING BIDDER REQUIREMENTS</w:t>
      </w:r>
    </w:p>
    <w:p w:rsidR="00B63556" w:rsidRPr="009B794C" w:rsidRDefault="00C15EB0" w:rsidP="00B63556">
      <w:pPr>
        <w:rPr>
          <w:rFonts w:ascii="Verdana" w:hAnsi="Verdana" w:cs="Arial"/>
          <w:b/>
          <w:sz w:val="20"/>
          <w:u w:val="single"/>
        </w:rPr>
      </w:pPr>
      <w:r w:rsidRPr="009B794C">
        <w:rPr>
          <w:rFonts w:ascii="Verdana" w:hAnsi="Verdana" w:cs="Arial"/>
          <w:b/>
          <w:sz w:val="20"/>
          <w:u w:val="single"/>
        </w:rPr>
        <w:t>Introduction</w:t>
      </w:r>
    </w:p>
    <w:p w:rsidR="00C15EB0" w:rsidRPr="009B794C" w:rsidRDefault="00C15EB0" w:rsidP="00B63556">
      <w:pPr>
        <w:rPr>
          <w:rFonts w:ascii="Verdana" w:hAnsi="Verdana" w:cs="Arial"/>
          <w:sz w:val="20"/>
        </w:rPr>
      </w:pPr>
    </w:p>
    <w:p w:rsidR="00935D26" w:rsidRPr="009B794C" w:rsidRDefault="00C15EB0" w:rsidP="00F804F8">
      <w:pPr>
        <w:pStyle w:val="Appendixtext-Numbered"/>
        <w:numPr>
          <w:ilvl w:val="0"/>
          <w:numId w:val="0"/>
        </w:numPr>
      </w:pPr>
      <w:r w:rsidRPr="009B794C">
        <w:t xml:space="preserve">This Appendix sets out </w:t>
      </w:r>
      <w:r w:rsidR="00757832" w:rsidRPr="009B794C">
        <w:t>the information Qualifying Bidders are required to return for each Qualifying Project for which it provides an ITT Submission.</w:t>
      </w:r>
      <w:r w:rsidR="00F804F8" w:rsidRPr="009B794C">
        <w:t xml:space="preserve">  The ITT requirements are separated into the following sections:</w:t>
      </w:r>
    </w:p>
    <w:p w:rsidR="00F804F8" w:rsidRPr="009B794C" w:rsidRDefault="00F804F8" w:rsidP="00794CF7">
      <w:pPr>
        <w:pStyle w:val="Appendixtext-Numbered"/>
        <w:numPr>
          <w:ilvl w:val="0"/>
          <w:numId w:val="31"/>
        </w:numPr>
        <w:spacing w:after="120"/>
      </w:pPr>
      <w:r w:rsidRPr="009B794C">
        <w:t>Shareholding/consortium structure</w:t>
      </w:r>
    </w:p>
    <w:p w:rsidR="00F804F8" w:rsidRPr="009B794C" w:rsidRDefault="00F804F8" w:rsidP="00794CF7">
      <w:pPr>
        <w:pStyle w:val="Appendixtext-Numbered"/>
        <w:numPr>
          <w:ilvl w:val="0"/>
          <w:numId w:val="31"/>
        </w:numPr>
        <w:spacing w:after="120"/>
      </w:pPr>
      <w:r w:rsidRPr="009B794C">
        <w:t>Takeover Plan</w:t>
      </w:r>
    </w:p>
    <w:p w:rsidR="00F804F8" w:rsidRPr="009B794C" w:rsidRDefault="00F804F8" w:rsidP="00794CF7">
      <w:pPr>
        <w:pStyle w:val="Appendixtext-Numbered"/>
        <w:numPr>
          <w:ilvl w:val="0"/>
          <w:numId w:val="31"/>
        </w:numPr>
        <w:spacing w:after="120"/>
      </w:pPr>
      <w:r w:rsidRPr="009B794C">
        <w:t>Ongoing Operations</w:t>
      </w:r>
    </w:p>
    <w:p w:rsidR="00F804F8" w:rsidRPr="009B794C" w:rsidRDefault="00F804F8" w:rsidP="00794CF7">
      <w:pPr>
        <w:pStyle w:val="Appendixtext-Numbered"/>
        <w:numPr>
          <w:ilvl w:val="0"/>
          <w:numId w:val="31"/>
        </w:numPr>
        <w:spacing w:after="120"/>
      </w:pPr>
      <w:r w:rsidRPr="009B794C">
        <w:t>Decommissioning</w:t>
      </w:r>
    </w:p>
    <w:p w:rsidR="00F804F8" w:rsidRDefault="00586100" w:rsidP="00794CF7">
      <w:pPr>
        <w:pStyle w:val="Appendixtext-Numbered"/>
        <w:numPr>
          <w:ilvl w:val="0"/>
          <w:numId w:val="31"/>
        </w:numPr>
        <w:spacing w:after="120"/>
      </w:pPr>
      <w:r w:rsidRPr="009B794C">
        <w:t>F</w:t>
      </w:r>
      <w:r>
        <w:t>inancial Deliverability</w:t>
      </w:r>
    </w:p>
    <w:p w:rsidR="00F804F8" w:rsidRDefault="00F804F8" w:rsidP="00794CF7">
      <w:pPr>
        <w:pStyle w:val="Appendixtext-Numbered"/>
        <w:numPr>
          <w:ilvl w:val="0"/>
          <w:numId w:val="31"/>
        </w:numPr>
        <w:spacing w:after="120"/>
      </w:pPr>
      <w:r>
        <w:t>Tender Revenue Stream</w:t>
      </w:r>
    </w:p>
    <w:p w:rsidR="00F804F8" w:rsidRDefault="00F804F8" w:rsidP="00794CF7">
      <w:pPr>
        <w:pStyle w:val="Appendixtext-Numbered"/>
        <w:numPr>
          <w:ilvl w:val="0"/>
          <w:numId w:val="31"/>
        </w:numPr>
        <w:spacing w:after="120"/>
      </w:pPr>
      <w:r>
        <w:t>Underlying Assumptions for Tender Revenue Stream</w:t>
      </w:r>
    </w:p>
    <w:p w:rsidR="00C15EB0" w:rsidRDefault="00320A8C" w:rsidP="00F804F8">
      <w:pPr>
        <w:pStyle w:val="Appendixtext-Numbered"/>
        <w:numPr>
          <w:ilvl w:val="0"/>
          <w:numId w:val="0"/>
        </w:numPr>
        <w:rPr>
          <w:rFonts w:cs="Arial"/>
        </w:rPr>
      </w:pPr>
      <w:r w:rsidRPr="00320A8C">
        <w:rPr>
          <w:noProof/>
          <w:lang w:eastAsia="en-GB"/>
        </w:rPr>
        <w:pict>
          <v:group id="_x0000_s1037" style="position:absolute;margin-left:-16.45pt;margin-top:36.2pt;width:426.75pt;height:410.25pt;z-index:251655168" coordorigin="2430,120" coordsize="8535,9375">
            <v:rect id="_x0000_s1038" style="position:absolute;left:2430;top:6645;width:8535;height:2850" strokecolor="#c0504d" strokeweight="2.5pt">
              <v:shadow color="#868686"/>
              <v:textbox style="mso-next-textbox:#_x0000_s1038">
                <w:txbxContent>
                  <w:p w:rsidR="004F436C" w:rsidRDefault="004F436C" w:rsidP="00761695"/>
                  <w:p w:rsidR="004F436C" w:rsidRDefault="004F436C" w:rsidP="00761695"/>
                  <w:p w:rsidR="004F436C" w:rsidRDefault="004F436C" w:rsidP="00761695"/>
                  <w:p w:rsidR="004F436C" w:rsidRDefault="004F436C" w:rsidP="00761695"/>
                  <w:p w:rsidR="004F436C" w:rsidRDefault="004F436C" w:rsidP="00761695"/>
                  <w:p w:rsidR="004F436C" w:rsidRDefault="004F436C" w:rsidP="00761695"/>
                  <w:p w:rsidR="004F436C" w:rsidRDefault="004F436C" w:rsidP="00761695"/>
                  <w:p w:rsidR="004F436C" w:rsidRDefault="004F436C" w:rsidP="00761695"/>
                  <w:p w:rsidR="004F436C" w:rsidRPr="00821E0C" w:rsidRDefault="004F436C" w:rsidP="00761695">
                    <w:pPr>
                      <w:jc w:val="center"/>
                      <w:rPr>
                        <w:rFonts w:ascii="Verdana" w:hAnsi="Verdana"/>
                        <w:b/>
                        <w:sz w:val="20"/>
                      </w:rPr>
                    </w:pPr>
                    <w:r w:rsidRPr="00821E0C">
                      <w:rPr>
                        <w:rFonts w:ascii="Verdana" w:hAnsi="Verdana"/>
                        <w:b/>
                        <w:sz w:val="20"/>
                      </w:rPr>
                      <w:t>Evaluated on Scored and Ranked Basis</w:t>
                    </w:r>
                  </w:p>
                  <w:p w:rsidR="004F436C" w:rsidRPr="00821E0C" w:rsidRDefault="004F436C" w:rsidP="00761695">
                    <w:pPr>
                      <w:jc w:val="center"/>
                      <w:rPr>
                        <w:rFonts w:ascii="Verdana" w:hAnsi="Verdana"/>
                        <w:b/>
                        <w:sz w:val="20"/>
                      </w:rPr>
                    </w:pPr>
                    <w:r w:rsidRPr="00821E0C">
                      <w:rPr>
                        <w:rFonts w:ascii="Verdana" w:hAnsi="Verdana"/>
                        <w:b/>
                        <w:sz w:val="20"/>
                      </w:rPr>
                      <w:t>Combined Score will Determine Preferred Bidder</w:t>
                    </w:r>
                  </w:p>
                </w:txbxContent>
              </v:textbox>
            </v:rect>
            <v:shape id="_x0000_s1039" type="#_x0000_t202" style="position:absolute;left:2670;top:2263;width:8100;height:1247" strokecolor="#9bbb59" strokeweight="5pt">
              <v:stroke linestyle="thickThin"/>
              <v:shadow color="#868686"/>
              <v:textbox style="mso-next-textbox:#_x0000_s1039">
                <w:txbxContent>
                  <w:p w:rsidR="004F436C" w:rsidRPr="00982303" w:rsidRDefault="004F436C" w:rsidP="009B794C">
                    <w:pPr>
                      <w:numPr>
                        <w:ilvl w:val="0"/>
                        <w:numId w:val="19"/>
                      </w:numPr>
                      <w:jc w:val="left"/>
                      <w:rPr>
                        <w:rFonts w:ascii="Verdana" w:hAnsi="Verdana"/>
                        <w:b/>
                        <w:sz w:val="20"/>
                      </w:rPr>
                    </w:pPr>
                    <w:r w:rsidRPr="00982303">
                      <w:rPr>
                        <w:rFonts w:ascii="Verdana" w:hAnsi="Verdana"/>
                        <w:b/>
                        <w:sz w:val="20"/>
                      </w:rPr>
                      <w:t xml:space="preserve">Non-Financial </w:t>
                    </w:r>
                    <w:r>
                      <w:rPr>
                        <w:rFonts w:ascii="Verdana" w:hAnsi="Verdana"/>
                        <w:b/>
                        <w:sz w:val="20"/>
                      </w:rPr>
                      <w:t>Deliverability</w:t>
                    </w:r>
                  </w:p>
                  <w:p w:rsidR="004F436C" w:rsidRDefault="004F436C" w:rsidP="009B794C">
                    <w:pPr>
                      <w:numPr>
                        <w:ilvl w:val="0"/>
                        <w:numId w:val="19"/>
                      </w:numPr>
                      <w:jc w:val="left"/>
                      <w:rPr>
                        <w:rFonts w:ascii="Verdana" w:hAnsi="Verdana"/>
                        <w:b/>
                        <w:sz w:val="20"/>
                      </w:rPr>
                    </w:pPr>
                    <w:r w:rsidRPr="00982303">
                      <w:rPr>
                        <w:rFonts w:ascii="Verdana" w:hAnsi="Verdana"/>
                        <w:b/>
                        <w:sz w:val="20"/>
                      </w:rPr>
                      <w:t>Evaluated on a Scored Basis</w:t>
                    </w:r>
                  </w:p>
                  <w:p w:rsidR="004F436C" w:rsidRPr="00982303" w:rsidRDefault="004F436C" w:rsidP="009B794C">
                    <w:pPr>
                      <w:numPr>
                        <w:ilvl w:val="0"/>
                        <w:numId w:val="19"/>
                      </w:numPr>
                      <w:jc w:val="left"/>
                      <w:rPr>
                        <w:rFonts w:ascii="Verdana" w:hAnsi="Verdana"/>
                        <w:b/>
                        <w:sz w:val="20"/>
                      </w:rPr>
                    </w:pPr>
                    <w:r>
                      <w:rPr>
                        <w:rFonts w:ascii="Verdana" w:hAnsi="Verdana"/>
                        <w:b/>
                        <w:sz w:val="20"/>
                      </w:rPr>
                      <w:t>Minimum Threshold Applied</w:t>
                    </w:r>
                  </w:p>
                  <w:p w:rsidR="004F436C" w:rsidRPr="00982303" w:rsidRDefault="004F436C" w:rsidP="00761695">
                    <w:pPr>
                      <w:rPr>
                        <w:b/>
                      </w:rPr>
                    </w:pPr>
                  </w:p>
                  <w:p w:rsidR="004F436C" w:rsidRDefault="004F436C" w:rsidP="00761695"/>
                </w:txbxContent>
              </v:textbox>
            </v:shape>
            <v:shape id="_x0000_s1040" type="#_x0000_t202" style="position:absolute;left:2670;top:120;width:8100;height:1198" strokecolor="#9bbb59" strokeweight="5pt">
              <v:stroke linestyle="thickThin"/>
              <v:shadow color="#868686"/>
              <v:textbox style="mso-next-textbox:#_x0000_s1040">
                <w:txbxContent>
                  <w:p w:rsidR="004F436C" w:rsidRDefault="004F436C" w:rsidP="00761695">
                    <w:pPr>
                      <w:jc w:val="center"/>
                      <w:rPr>
                        <w:rFonts w:ascii="Verdana" w:hAnsi="Verdana"/>
                        <w:sz w:val="20"/>
                      </w:rPr>
                    </w:pPr>
                  </w:p>
                  <w:p w:rsidR="004F436C" w:rsidRPr="00982303" w:rsidRDefault="004F436C" w:rsidP="009B794C">
                    <w:pPr>
                      <w:numPr>
                        <w:ilvl w:val="0"/>
                        <w:numId w:val="18"/>
                      </w:numPr>
                      <w:jc w:val="left"/>
                      <w:rPr>
                        <w:rFonts w:ascii="Verdana" w:hAnsi="Verdana"/>
                        <w:b/>
                        <w:sz w:val="20"/>
                      </w:rPr>
                    </w:pPr>
                    <w:r w:rsidRPr="00982303">
                      <w:rPr>
                        <w:rFonts w:ascii="Verdana" w:hAnsi="Verdana"/>
                        <w:b/>
                        <w:sz w:val="20"/>
                      </w:rPr>
                      <w:t xml:space="preserve">Compliance </w:t>
                    </w:r>
                    <w:r>
                      <w:rPr>
                        <w:rFonts w:ascii="Verdana" w:hAnsi="Verdana"/>
                        <w:b/>
                        <w:sz w:val="20"/>
                      </w:rPr>
                      <w:t>Check</w:t>
                    </w:r>
                  </w:p>
                  <w:p w:rsidR="004F436C" w:rsidRPr="00982303" w:rsidRDefault="004F436C" w:rsidP="009B794C">
                    <w:pPr>
                      <w:numPr>
                        <w:ilvl w:val="0"/>
                        <w:numId w:val="18"/>
                      </w:numPr>
                      <w:jc w:val="left"/>
                      <w:rPr>
                        <w:rFonts w:ascii="Verdana" w:hAnsi="Verdana"/>
                        <w:b/>
                        <w:sz w:val="20"/>
                      </w:rPr>
                    </w:pPr>
                    <w:r>
                      <w:rPr>
                        <w:rFonts w:ascii="Verdana" w:hAnsi="Verdana"/>
                        <w:b/>
                        <w:sz w:val="20"/>
                      </w:rPr>
                      <w:t>Pass/Fail Test</w:t>
                    </w:r>
                  </w:p>
                </w:txbxContent>
              </v:textbox>
            </v:shape>
            <v:shape id="_x0000_s1041" type="#_x0000_t202" style="position:absolute;left:2670;top:4515;width:8100;height:1170" strokecolor="#9bbb59" strokeweight="5pt">
              <v:stroke linestyle="thickThin"/>
              <v:shadow color="#868686"/>
              <v:textbox style="mso-next-textbox:#_x0000_s1041">
                <w:txbxContent>
                  <w:p w:rsidR="004F436C" w:rsidRPr="00982303" w:rsidRDefault="004F436C" w:rsidP="009B794C">
                    <w:pPr>
                      <w:numPr>
                        <w:ilvl w:val="0"/>
                        <w:numId w:val="20"/>
                      </w:numPr>
                      <w:jc w:val="left"/>
                      <w:rPr>
                        <w:rFonts w:ascii="Verdana" w:hAnsi="Verdana"/>
                        <w:b/>
                        <w:sz w:val="20"/>
                      </w:rPr>
                    </w:pPr>
                    <w:r w:rsidRPr="00982303">
                      <w:rPr>
                        <w:rFonts w:ascii="Verdana" w:hAnsi="Verdana"/>
                        <w:b/>
                        <w:sz w:val="20"/>
                      </w:rPr>
                      <w:t xml:space="preserve">Financial </w:t>
                    </w:r>
                    <w:r>
                      <w:rPr>
                        <w:rFonts w:ascii="Verdana" w:hAnsi="Verdana"/>
                        <w:b/>
                        <w:sz w:val="20"/>
                      </w:rPr>
                      <w:t>Deliverability</w:t>
                    </w:r>
                  </w:p>
                  <w:p w:rsidR="004F436C" w:rsidRDefault="004F436C" w:rsidP="009B794C">
                    <w:pPr>
                      <w:numPr>
                        <w:ilvl w:val="0"/>
                        <w:numId w:val="20"/>
                      </w:numPr>
                      <w:jc w:val="left"/>
                      <w:rPr>
                        <w:rFonts w:ascii="Verdana" w:hAnsi="Verdana"/>
                        <w:b/>
                        <w:sz w:val="20"/>
                      </w:rPr>
                    </w:pPr>
                    <w:r w:rsidRPr="00982303">
                      <w:rPr>
                        <w:rFonts w:ascii="Verdana" w:hAnsi="Verdana"/>
                        <w:b/>
                        <w:sz w:val="20"/>
                      </w:rPr>
                      <w:t>Evaluated on Scored Basis</w:t>
                    </w:r>
                  </w:p>
                  <w:p w:rsidR="004F436C" w:rsidRPr="00982303" w:rsidRDefault="004F436C" w:rsidP="009B794C">
                    <w:pPr>
                      <w:numPr>
                        <w:ilvl w:val="0"/>
                        <w:numId w:val="20"/>
                      </w:numPr>
                      <w:jc w:val="left"/>
                      <w:rPr>
                        <w:rFonts w:ascii="Verdana" w:hAnsi="Verdana"/>
                        <w:b/>
                        <w:sz w:val="20"/>
                      </w:rPr>
                    </w:pPr>
                    <w:r>
                      <w:rPr>
                        <w:rFonts w:ascii="Verdana" w:hAnsi="Verdana"/>
                        <w:b/>
                        <w:sz w:val="20"/>
                      </w:rPr>
                      <w:t>Minimum Threshold Applied</w:t>
                    </w:r>
                  </w:p>
                  <w:p w:rsidR="004F436C" w:rsidRPr="00982303" w:rsidRDefault="004F436C" w:rsidP="009B794C">
                    <w:pPr>
                      <w:ind w:left="360"/>
                      <w:jc w:val="left"/>
                      <w:rPr>
                        <w:rFonts w:ascii="Verdana" w:hAnsi="Verdana"/>
                        <w:b/>
                        <w:sz w:val="20"/>
                      </w:rPr>
                    </w:pPr>
                  </w:p>
                </w:txbxContent>
              </v:textbox>
            </v:shape>
            <v:shape id="_x0000_s1042" type="#_x0000_t202" style="position:absolute;left:2670;top:6855;width:3705;height:1605" strokecolor="#9bbb59" strokeweight="5pt">
              <v:stroke linestyle="thickThin"/>
              <v:shadow color="#868686"/>
              <v:textbox style="mso-next-textbox:#_x0000_s1042">
                <w:txbxContent>
                  <w:p w:rsidR="004F436C" w:rsidRDefault="004F436C" w:rsidP="009B794C">
                    <w:pPr>
                      <w:numPr>
                        <w:ilvl w:val="0"/>
                        <w:numId w:val="17"/>
                      </w:numPr>
                      <w:tabs>
                        <w:tab w:val="clear" w:pos="709"/>
                        <w:tab w:val="clear" w:pos="1559"/>
                        <w:tab w:val="clear" w:pos="2268"/>
                        <w:tab w:val="left" w:pos="142"/>
                        <w:tab w:val="left" w:pos="426"/>
                      </w:tabs>
                      <w:ind w:hanging="578"/>
                      <w:jc w:val="left"/>
                      <w:rPr>
                        <w:rFonts w:ascii="Verdana" w:hAnsi="Verdana"/>
                        <w:b/>
                        <w:sz w:val="20"/>
                      </w:rPr>
                    </w:pPr>
                    <w:r w:rsidRPr="00982303">
                      <w:rPr>
                        <w:rFonts w:ascii="Verdana" w:hAnsi="Verdana"/>
                        <w:b/>
                        <w:sz w:val="20"/>
                      </w:rPr>
                      <w:t>Tender Revenue Stream</w:t>
                    </w:r>
                  </w:p>
                  <w:p w:rsidR="004F436C" w:rsidRPr="0009635A" w:rsidRDefault="004F436C" w:rsidP="009B794C">
                    <w:pPr>
                      <w:numPr>
                        <w:ilvl w:val="0"/>
                        <w:numId w:val="17"/>
                      </w:numPr>
                      <w:tabs>
                        <w:tab w:val="clear" w:pos="709"/>
                        <w:tab w:val="clear" w:pos="1559"/>
                        <w:tab w:val="clear" w:pos="2268"/>
                        <w:tab w:val="left" w:pos="142"/>
                        <w:tab w:val="left" w:pos="426"/>
                      </w:tabs>
                      <w:ind w:hanging="578"/>
                      <w:jc w:val="left"/>
                      <w:rPr>
                        <w:rFonts w:ascii="Verdana" w:hAnsi="Verdana"/>
                        <w:b/>
                        <w:sz w:val="20"/>
                      </w:rPr>
                    </w:pPr>
                    <w:r w:rsidRPr="0009635A">
                      <w:rPr>
                        <w:rFonts w:ascii="Verdana" w:hAnsi="Verdana"/>
                        <w:b/>
                        <w:sz w:val="20"/>
                      </w:rPr>
                      <w:t>60% Weighting</w:t>
                    </w:r>
                  </w:p>
                  <w:p w:rsidR="004F436C" w:rsidRDefault="004F436C" w:rsidP="009B794C">
                    <w:pPr>
                      <w:jc w:val="left"/>
                    </w:pPr>
                  </w:p>
                </w:txbxContent>
              </v:textbox>
            </v:shape>
            <v:shape id="_x0000_s1043" type="#_x0000_t202" style="position:absolute;left:7065;top:6855;width:3705;height:1605" strokecolor="#9bbb59" strokeweight="5pt">
              <v:stroke linestyle="thickThin"/>
              <v:shadow color="#868686"/>
              <v:textbox style="mso-next-textbox:#_x0000_s1043">
                <w:txbxContent>
                  <w:p w:rsidR="004F436C" w:rsidRDefault="004F436C" w:rsidP="009B794C">
                    <w:pPr>
                      <w:numPr>
                        <w:ilvl w:val="0"/>
                        <w:numId w:val="16"/>
                      </w:numPr>
                      <w:tabs>
                        <w:tab w:val="clear" w:pos="709"/>
                        <w:tab w:val="left" w:pos="284"/>
                      </w:tabs>
                      <w:ind w:left="284" w:hanging="284"/>
                      <w:jc w:val="left"/>
                      <w:rPr>
                        <w:rFonts w:ascii="Verdana" w:hAnsi="Verdana"/>
                        <w:b/>
                        <w:sz w:val="20"/>
                      </w:rPr>
                    </w:pPr>
                    <w:r w:rsidRPr="00982303">
                      <w:rPr>
                        <w:rFonts w:ascii="Verdana" w:hAnsi="Verdana"/>
                        <w:b/>
                        <w:sz w:val="20"/>
                      </w:rPr>
                      <w:t>Quality of Underlying Assumption</w:t>
                    </w:r>
                  </w:p>
                  <w:p w:rsidR="004F436C" w:rsidRDefault="004F436C" w:rsidP="009B794C">
                    <w:pPr>
                      <w:numPr>
                        <w:ilvl w:val="0"/>
                        <w:numId w:val="16"/>
                      </w:numPr>
                      <w:tabs>
                        <w:tab w:val="clear" w:pos="709"/>
                        <w:tab w:val="left" w:pos="284"/>
                      </w:tabs>
                      <w:ind w:left="284" w:hanging="284"/>
                      <w:jc w:val="left"/>
                      <w:rPr>
                        <w:rFonts w:ascii="Verdana" w:hAnsi="Verdana"/>
                        <w:b/>
                        <w:sz w:val="20"/>
                      </w:rPr>
                    </w:pPr>
                    <w:r w:rsidRPr="00D70665">
                      <w:rPr>
                        <w:rFonts w:ascii="Verdana" w:hAnsi="Verdana"/>
                        <w:b/>
                        <w:sz w:val="20"/>
                      </w:rPr>
                      <w:t>Threshold Requirement</w:t>
                    </w:r>
                  </w:p>
                  <w:p w:rsidR="004F436C" w:rsidRPr="00D70665" w:rsidRDefault="004F436C" w:rsidP="009B794C">
                    <w:pPr>
                      <w:numPr>
                        <w:ilvl w:val="0"/>
                        <w:numId w:val="16"/>
                      </w:numPr>
                      <w:tabs>
                        <w:tab w:val="clear" w:pos="709"/>
                        <w:tab w:val="left" w:pos="284"/>
                      </w:tabs>
                      <w:ind w:left="284" w:hanging="284"/>
                      <w:jc w:val="left"/>
                      <w:rPr>
                        <w:rFonts w:ascii="Verdana" w:hAnsi="Verdana"/>
                        <w:b/>
                        <w:sz w:val="20"/>
                      </w:rPr>
                    </w:pPr>
                    <w:r w:rsidRPr="00D70665">
                      <w:rPr>
                        <w:rFonts w:ascii="Verdana" w:hAnsi="Verdana"/>
                        <w:b/>
                        <w:sz w:val="20"/>
                      </w:rPr>
                      <w:t>40% Weighting</w:t>
                    </w:r>
                  </w:p>
                </w:txbxContent>
              </v:textbox>
            </v:shape>
            <v:shape id="_x0000_s1044" type="#_x0000_t67" style="position:absolute;left:6450;top:5910;width:540;height:570" strokecolor="#f79646" strokeweight="5pt">
              <v:stroke linestyle="thickThin"/>
              <v:shadow color="#868686"/>
            </v:shape>
            <v:shape id="_x0000_s1045" type="#_x0000_t67" style="position:absolute;left:6450;top:3735;width:540;height:570" strokecolor="#f79646" strokeweight="5pt">
              <v:stroke linestyle="thickThin"/>
              <v:shadow color="#868686"/>
            </v:shape>
            <v:shape id="_x0000_s1046" type="#_x0000_t67" style="position:absolute;left:6450;top:1500;width:540;height:570" strokecolor="#f79646" strokeweight="5pt">
              <v:stroke linestyle="thickThin"/>
              <v:shadow color="#868686"/>
            </v:shape>
            <v:shape id="_x0000_s1047" type="#_x0000_t69" style="position:absolute;left:6450;top:7440;width:540;height:360" strokecolor="#f79646" strokeweight="5pt">
              <v:stroke linestyle="thickThin"/>
              <v:shadow color="#868686"/>
            </v:shape>
          </v:group>
        </w:pict>
      </w:r>
      <w:r w:rsidR="00757832" w:rsidRPr="00935D26">
        <w:rPr>
          <w:rFonts w:cs="Arial"/>
        </w:rPr>
        <w:t xml:space="preserve">Ofgem will evaluate responses to this Appendix in accordance with the evaluation approach set out in </w:t>
      </w:r>
      <w:r w:rsidR="00761695">
        <w:rPr>
          <w:rFonts w:cs="Arial"/>
        </w:rPr>
        <w:t>Section 7 of this ITT Document, as illustrated in the following diagram:</w:t>
      </w:r>
    </w:p>
    <w:p w:rsidR="00761695" w:rsidRPr="00935D26" w:rsidRDefault="00761695" w:rsidP="00F804F8">
      <w:pPr>
        <w:pStyle w:val="Appendixtext-Numbered"/>
        <w:numPr>
          <w:ilvl w:val="0"/>
          <w:numId w:val="0"/>
        </w:num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761695" w:rsidRDefault="00761695" w:rsidP="00B63556">
      <w:pPr>
        <w:rPr>
          <w:rFonts w:ascii="Verdana" w:hAnsi="Verdana" w:cs="Arial"/>
          <w:b/>
          <w:sz w:val="20"/>
          <w:u w:val="single"/>
        </w:rPr>
      </w:pPr>
    </w:p>
    <w:p w:rsidR="00036F16" w:rsidRPr="00036F16" w:rsidRDefault="00036F16" w:rsidP="00036F16">
      <w:pPr>
        <w:rPr>
          <w:rFonts w:ascii="Verdana" w:hAnsi="Verdana"/>
          <w:b/>
          <w:sz w:val="20"/>
          <w:u w:val="single"/>
        </w:rPr>
      </w:pPr>
      <w:r w:rsidRPr="00036F16">
        <w:rPr>
          <w:rFonts w:ascii="Verdana" w:hAnsi="Verdana"/>
          <w:b/>
          <w:sz w:val="20"/>
          <w:u w:val="single"/>
        </w:rPr>
        <w:lastRenderedPageBreak/>
        <w:t>QUALIFYING BIDDER COMPLIANCE CERTIFICATE</w:t>
      </w:r>
    </w:p>
    <w:p w:rsidR="00036F16" w:rsidRPr="00D737B1" w:rsidRDefault="00036F16" w:rsidP="00036F16">
      <w:pPr>
        <w:pStyle w:val="BodyText"/>
        <w:rPr>
          <w:rFonts w:ascii="Verdana" w:hAnsi="Verdana"/>
          <w:sz w:val="20"/>
        </w:rPr>
      </w:pPr>
      <w:r w:rsidRPr="00495DA9">
        <w:rPr>
          <w:rFonts w:ascii="Verdana" w:hAnsi="Verdana"/>
          <w:sz w:val="20"/>
        </w:rPr>
        <w:t xml:space="preserve">Each Qualifying </w:t>
      </w:r>
      <w:r>
        <w:rPr>
          <w:rFonts w:ascii="Verdana" w:hAnsi="Verdana"/>
          <w:sz w:val="20"/>
        </w:rPr>
        <w:t>Bidder</w:t>
      </w:r>
      <w:r w:rsidRPr="00495DA9">
        <w:rPr>
          <w:rFonts w:ascii="Verdana" w:hAnsi="Verdana"/>
          <w:sz w:val="20"/>
        </w:rPr>
        <w:t xml:space="preserve"> must have a duly authorised officer of the Qualifying </w:t>
      </w:r>
      <w:r>
        <w:rPr>
          <w:rFonts w:ascii="Verdana" w:hAnsi="Verdana"/>
          <w:sz w:val="20"/>
        </w:rPr>
        <w:t xml:space="preserve">Bidder </w:t>
      </w:r>
      <w:r w:rsidRPr="00495DA9">
        <w:rPr>
          <w:rFonts w:ascii="Verdana" w:hAnsi="Verdana"/>
          <w:sz w:val="20"/>
        </w:rPr>
        <w:t xml:space="preserve">or consortium Qualifying </w:t>
      </w:r>
      <w:r>
        <w:rPr>
          <w:rFonts w:ascii="Verdana" w:hAnsi="Verdana"/>
          <w:sz w:val="20"/>
        </w:rPr>
        <w:t xml:space="preserve">Bidder </w:t>
      </w:r>
      <w:proofErr w:type="gramStart"/>
      <w:r w:rsidRPr="00495DA9">
        <w:rPr>
          <w:rFonts w:ascii="Verdana" w:hAnsi="Verdana"/>
          <w:sz w:val="20"/>
        </w:rPr>
        <w:t>indicate</w:t>
      </w:r>
      <w:proofErr w:type="gramEnd"/>
      <w:r w:rsidRPr="00495DA9">
        <w:rPr>
          <w:rFonts w:ascii="Verdana" w:hAnsi="Verdana"/>
          <w:sz w:val="20"/>
        </w:rPr>
        <w:t xml:space="preserve"> his or her confirmation of</w:t>
      </w:r>
      <w:r>
        <w:rPr>
          <w:rFonts w:ascii="Verdana" w:hAnsi="Verdana"/>
          <w:sz w:val="20"/>
        </w:rPr>
        <w:t xml:space="preserve"> all of the </w:t>
      </w:r>
      <w:r w:rsidR="0015454F">
        <w:rPr>
          <w:rFonts w:ascii="Verdana" w:hAnsi="Verdana"/>
          <w:sz w:val="20"/>
        </w:rPr>
        <w:t>statements (A) to (C</w:t>
      </w:r>
      <w:r w:rsidRPr="00BA1B40">
        <w:rPr>
          <w:rFonts w:ascii="Verdana" w:hAnsi="Verdana"/>
          <w:sz w:val="20"/>
        </w:rPr>
        <w:t>) below</w:t>
      </w:r>
      <w:r w:rsidRPr="00495DA9">
        <w:rPr>
          <w:rFonts w:ascii="Verdana" w:hAnsi="Verdana"/>
          <w:sz w:val="20"/>
        </w:rPr>
        <w:t xml:space="preserve"> by signing where indicated</w:t>
      </w:r>
      <w:r>
        <w:rPr>
          <w:rFonts w:ascii="Verdana" w:hAnsi="Verdana"/>
          <w:sz w:val="20"/>
        </w:rPr>
        <w:t>.</w:t>
      </w:r>
      <w:r w:rsidRPr="00495DA9">
        <w:rPr>
          <w:rFonts w:ascii="Verdana" w:hAnsi="Verdana"/>
          <w:sz w:val="20"/>
        </w:rPr>
        <w:t xml:space="preserve">  A signed copy of the </w:t>
      </w:r>
      <w:r>
        <w:rPr>
          <w:rFonts w:ascii="Verdana" w:hAnsi="Verdana"/>
          <w:sz w:val="20"/>
        </w:rPr>
        <w:t>declaration</w:t>
      </w:r>
      <w:r w:rsidRPr="00495DA9">
        <w:rPr>
          <w:rFonts w:ascii="Verdana" w:hAnsi="Verdana"/>
          <w:sz w:val="20"/>
        </w:rPr>
        <w:t xml:space="preserve"> must then be uploaded on to the Portal as part of </w:t>
      </w:r>
      <w:r>
        <w:rPr>
          <w:rFonts w:ascii="Verdana" w:hAnsi="Verdana"/>
          <w:sz w:val="20"/>
        </w:rPr>
        <w:t xml:space="preserve">the </w:t>
      </w:r>
      <w:r w:rsidRPr="00495DA9">
        <w:rPr>
          <w:rFonts w:ascii="Verdana" w:hAnsi="Verdana"/>
          <w:sz w:val="20"/>
        </w:rPr>
        <w:t>ITT Submission.</w:t>
      </w:r>
      <w:r>
        <w:rPr>
          <w:rFonts w:ascii="Verdana" w:hAnsi="Verdana"/>
          <w:sz w:val="20"/>
        </w:rPr>
        <w:t xml:space="preserve">  </w:t>
      </w:r>
    </w:p>
    <w:p w:rsidR="00036F16" w:rsidRPr="00D737B1" w:rsidRDefault="00036F16" w:rsidP="00036F16">
      <w:pPr>
        <w:pStyle w:val="BodyText"/>
        <w:rPr>
          <w:rFonts w:ascii="Verdana" w:hAnsi="Verdana"/>
          <w:sz w:val="20"/>
        </w:rPr>
      </w:pPr>
      <w:r w:rsidRPr="00495DA9">
        <w:rPr>
          <w:rFonts w:ascii="Verdana" w:hAnsi="Verdana"/>
          <w:sz w:val="20"/>
        </w:rPr>
        <w:t>"I, acting as a duly authorised officer of [</w:t>
      </w:r>
      <w:r w:rsidRPr="00495DA9">
        <w:rPr>
          <w:rFonts w:ascii="Verdana" w:hAnsi="Verdana"/>
          <w:i/>
          <w:iCs/>
          <w:sz w:val="20"/>
        </w:rPr>
        <w:t xml:space="preserve">insert name of Qualifying </w:t>
      </w:r>
      <w:r>
        <w:rPr>
          <w:rFonts w:ascii="Verdana" w:hAnsi="Verdana"/>
          <w:i/>
          <w:iCs/>
          <w:sz w:val="20"/>
        </w:rPr>
        <w:t>Bidder</w:t>
      </w:r>
      <w:r w:rsidRPr="00495DA9">
        <w:rPr>
          <w:rFonts w:ascii="Verdana" w:hAnsi="Verdana"/>
          <w:i/>
          <w:iCs/>
          <w:sz w:val="20"/>
        </w:rPr>
        <w:t xml:space="preserve"> (if a consortium application, the lead member of the consortium</w:t>
      </w:r>
      <w:r w:rsidRPr="00495DA9">
        <w:rPr>
          <w:rFonts w:ascii="Verdana" w:hAnsi="Verdana"/>
          <w:sz w:val="20"/>
        </w:rPr>
        <w:t>)] and on behalf of [</w:t>
      </w:r>
      <w:r w:rsidRPr="00495DA9">
        <w:rPr>
          <w:rFonts w:ascii="Verdana" w:hAnsi="Verdana"/>
          <w:i/>
          <w:iCs/>
          <w:sz w:val="20"/>
        </w:rPr>
        <w:t xml:space="preserve">insert names of Qualifying </w:t>
      </w:r>
      <w:r>
        <w:rPr>
          <w:rFonts w:ascii="Verdana" w:hAnsi="Verdana"/>
          <w:i/>
          <w:iCs/>
          <w:sz w:val="20"/>
        </w:rPr>
        <w:t>Bidder</w:t>
      </w:r>
      <w:r w:rsidRPr="00495DA9">
        <w:rPr>
          <w:rFonts w:ascii="Verdana" w:hAnsi="Verdana"/>
          <w:i/>
          <w:iCs/>
          <w:sz w:val="20"/>
        </w:rPr>
        <w:t xml:space="preserve"> and each of the consortium members if applicable</w:t>
      </w:r>
      <w:r w:rsidRPr="00495DA9">
        <w:rPr>
          <w:rFonts w:ascii="Verdana" w:hAnsi="Verdana"/>
          <w:sz w:val="20"/>
        </w:rPr>
        <w:t xml:space="preserve">], hereby confirm that: </w:t>
      </w:r>
    </w:p>
    <w:p w:rsidR="00036F16" w:rsidRDefault="00036F16" w:rsidP="00036F16">
      <w:pPr>
        <w:pStyle w:val="BodyText"/>
        <w:numPr>
          <w:ilvl w:val="0"/>
          <w:numId w:val="25"/>
        </w:numPr>
        <w:rPr>
          <w:rFonts w:ascii="Verdana" w:hAnsi="Verdana"/>
          <w:sz w:val="20"/>
        </w:rPr>
      </w:pPr>
      <w:r>
        <w:rPr>
          <w:rFonts w:ascii="Verdana" w:hAnsi="Verdana"/>
          <w:sz w:val="20"/>
        </w:rPr>
        <w:t>the Qualifying Bidder and each of the other consortium members (if applicable) hereby accept the standard conditions of the Electricity Transmission Licence;</w:t>
      </w:r>
    </w:p>
    <w:p w:rsidR="00036F16" w:rsidRDefault="00036F16" w:rsidP="00036F16">
      <w:pPr>
        <w:pStyle w:val="BodyText"/>
        <w:numPr>
          <w:ilvl w:val="0"/>
          <w:numId w:val="25"/>
        </w:numPr>
        <w:rPr>
          <w:rFonts w:ascii="Verdana" w:hAnsi="Verdana"/>
          <w:sz w:val="20"/>
        </w:rPr>
      </w:pPr>
      <w:r>
        <w:rPr>
          <w:rFonts w:ascii="Verdana" w:hAnsi="Verdana"/>
          <w:sz w:val="20"/>
        </w:rPr>
        <w:t>the Tender Revenue Stream identified in the ITT Submission fully reflects:</w:t>
      </w:r>
    </w:p>
    <w:p w:rsidR="00036F16" w:rsidRDefault="00036F16" w:rsidP="00036F16">
      <w:pPr>
        <w:pStyle w:val="BodyText"/>
        <w:numPr>
          <w:ilvl w:val="1"/>
          <w:numId w:val="25"/>
        </w:numPr>
        <w:tabs>
          <w:tab w:val="clear" w:pos="1559"/>
          <w:tab w:val="left" w:pos="1418"/>
        </w:tabs>
        <w:rPr>
          <w:rFonts w:ascii="Verdana" w:hAnsi="Verdana"/>
          <w:sz w:val="20"/>
        </w:rPr>
      </w:pPr>
      <w:r>
        <w:rPr>
          <w:rFonts w:ascii="Verdana" w:hAnsi="Verdana"/>
          <w:sz w:val="20"/>
        </w:rPr>
        <w:t>the draft special conditions of the Offshore Electricity Transmission Licence; and</w:t>
      </w:r>
    </w:p>
    <w:p w:rsidR="00036F16" w:rsidRPr="00F477B4" w:rsidRDefault="00036F16" w:rsidP="00036F16">
      <w:pPr>
        <w:pStyle w:val="BodyText"/>
        <w:numPr>
          <w:ilvl w:val="1"/>
          <w:numId w:val="25"/>
        </w:numPr>
        <w:tabs>
          <w:tab w:val="clear" w:pos="1559"/>
          <w:tab w:val="left" w:pos="1418"/>
        </w:tabs>
        <w:rPr>
          <w:rFonts w:ascii="Verdana" w:hAnsi="Verdana"/>
          <w:sz w:val="20"/>
        </w:rPr>
      </w:pPr>
      <w:r w:rsidRPr="00F477B4">
        <w:rPr>
          <w:rFonts w:ascii="Verdana" w:hAnsi="Verdana"/>
          <w:sz w:val="20"/>
        </w:rPr>
        <w:t xml:space="preserve">the terms of the Final Project SPA; and </w:t>
      </w:r>
    </w:p>
    <w:p w:rsidR="00761695" w:rsidRDefault="00036F16" w:rsidP="0015454F">
      <w:pPr>
        <w:numPr>
          <w:ilvl w:val="0"/>
          <w:numId w:val="25"/>
        </w:numPr>
        <w:rPr>
          <w:rFonts w:ascii="Verdana" w:hAnsi="Verdana"/>
          <w:sz w:val="20"/>
        </w:rPr>
      </w:pPr>
      <w:r w:rsidRPr="00FC27F6">
        <w:rPr>
          <w:rFonts w:ascii="Verdana" w:hAnsi="Verdana"/>
          <w:sz w:val="20"/>
        </w:rPr>
        <w:t xml:space="preserve">the Qualifying Bidder </w:t>
      </w:r>
      <w:r>
        <w:rPr>
          <w:rFonts w:ascii="Verdana" w:hAnsi="Verdana"/>
          <w:sz w:val="20"/>
        </w:rPr>
        <w:t>and each of the other consortium members (if applicable) hereby accept that the ITT Submission is firm and the Qualifying Bidder is able to meet the timescales set out in the Guidance Note to Asset Transfer, subject only to the conditions precedent identified in 7.2.1 of the ITT Document.</w:t>
      </w:r>
    </w:p>
    <w:p w:rsidR="002C14E9" w:rsidRDefault="002C14E9" w:rsidP="00036F16">
      <w:pPr>
        <w:rPr>
          <w:rFonts w:ascii="Verdana" w:hAnsi="Verdana"/>
          <w:sz w:val="20"/>
        </w:rPr>
      </w:pPr>
    </w:p>
    <w:p w:rsidR="002C14E9" w:rsidRDefault="002C14E9" w:rsidP="00036F16">
      <w:pPr>
        <w:rPr>
          <w:rFonts w:ascii="Verdana" w:hAnsi="Verdana"/>
          <w:sz w:val="20"/>
        </w:rPr>
      </w:pPr>
      <w:r>
        <w:rPr>
          <w:rFonts w:ascii="Verdana" w:hAnsi="Verdana"/>
          <w:sz w:val="20"/>
        </w:rPr>
        <w:t>Signed:</w:t>
      </w:r>
      <w:r>
        <w:rPr>
          <w:rFonts w:ascii="Verdana" w:hAnsi="Verdana"/>
          <w:sz w:val="20"/>
          <w:u w:val="single"/>
        </w:rPr>
        <w:tab/>
      </w:r>
      <w:r>
        <w:rPr>
          <w:rFonts w:ascii="Verdana" w:hAnsi="Verdana"/>
          <w:sz w:val="20"/>
          <w:u w:val="single"/>
        </w:rPr>
        <w:tab/>
      </w:r>
      <w:r>
        <w:rPr>
          <w:rFonts w:ascii="Verdana" w:hAnsi="Verdana"/>
          <w:sz w:val="20"/>
          <w:u w:val="single"/>
        </w:rPr>
        <w:tab/>
      </w:r>
    </w:p>
    <w:p w:rsidR="002C14E9" w:rsidRDefault="002C14E9" w:rsidP="00036F16">
      <w:pPr>
        <w:rPr>
          <w:rFonts w:ascii="Verdana" w:hAnsi="Verdana"/>
          <w:sz w:val="20"/>
        </w:rPr>
      </w:pPr>
      <w:r>
        <w:rPr>
          <w:rFonts w:ascii="Verdana" w:hAnsi="Verdana"/>
          <w:sz w:val="20"/>
        </w:rPr>
        <w:t>Name:</w:t>
      </w:r>
      <w:r>
        <w:rPr>
          <w:rFonts w:ascii="Verdana" w:hAnsi="Verdana"/>
          <w:sz w:val="20"/>
          <w:u w:val="single"/>
        </w:rPr>
        <w:tab/>
      </w:r>
      <w:r>
        <w:rPr>
          <w:rFonts w:ascii="Verdana" w:hAnsi="Verdana"/>
          <w:sz w:val="20"/>
          <w:u w:val="single"/>
        </w:rPr>
        <w:tab/>
      </w:r>
      <w:r>
        <w:rPr>
          <w:rFonts w:ascii="Verdana" w:hAnsi="Verdana"/>
          <w:sz w:val="20"/>
          <w:u w:val="single"/>
        </w:rPr>
        <w:tab/>
      </w:r>
      <w:r>
        <w:rPr>
          <w:rFonts w:ascii="Verdana" w:hAnsi="Verdana"/>
          <w:sz w:val="20"/>
          <w:u w:val="single"/>
        </w:rPr>
        <w:tab/>
      </w:r>
    </w:p>
    <w:p w:rsidR="002C14E9" w:rsidRDefault="002C14E9" w:rsidP="00036F16">
      <w:pPr>
        <w:rPr>
          <w:rFonts w:ascii="Verdana" w:hAnsi="Verdana"/>
          <w:sz w:val="20"/>
        </w:rPr>
      </w:pPr>
      <w:r>
        <w:rPr>
          <w:rFonts w:ascii="Verdana" w:hAnsi="Verdana"/>
          <w:sz w:val="20"/>
        </w:rPr>
        <w:t>Position:</w:t>
      </w:r>
      <w:r>
        <w:rPr>
          <w:rFonts w:ascii="Verdana" w:hAnsi="Verdana"/>
          <w:sz w:val="20"/>
          <w:u w:val="single"/>
        </w:rPr>
        <w:tab/>
      </w:r>
      <w:r>
        <w:rPr>
          <w:rFonts w:ascii="Verdana" w:hAnsi="Verdana"/>
          <w:sz w:val="20"/>
          <w:u w:val="single"/>
        </w:rPr>
        <w:tab/>
      </w:r>
      <w:r>
        <w:rPr>
          <w:rFonts w:ascii="Verdana" w:hAnsi="Verdana"/>
          <w:sz w:val="20"/>
          <w:u w:val="single"/>
        </w:rPr>
        <w:tab/>
      </w:r>
    </w:p>
    <w:p w:rsidR="002C14E9" w:rsidRDefault="002C14E9" w:rsidP="00036F16">
      <w:pPr>
        <w:rPr>
          <w:rFonts w:ascii="Verdana" w:hAnsi="Verdana"/>
          <w:sz w:val="20"/>
        </w:rPr>
      </w:pPr>
      <w:r>
        <w:rPr>
          <w:rFonts w:ascii="Verdana" w:hAnsi="Verdana"/>
          <w:sz w:val="20"/>
        </w:rPr>
        <w:t>Dated:</w:t>
      </w:r>
      <w:r>
        <w:rPr>
          <w:rFonts w:ascii="Verdana" w:hAnsi="Verdana"/>
          <w:sz w:val="20"/>
          <w:u w:val="single"/>
        </w:rPr>
        <w:tab/>
      </w:r>
      <w:r>
        <w:rPr>
          <w:rFonts w:ascii="Verdana" w:hAnsi="Verdana"/>
          <w:sz w:val="20"/>
          <w:u w:val="single"/>
        </w:rPr>
        <w:tab/>
      </w:r>
      <w:r>
        <w:rPr>
          <w:rFonts w:ascii="Verdana" w:hAnsi="Verdana"/>
          <w:sz w:val="20"/>
          <w:u w:val="single"/>
        </w:rPr>
        <w:tab/>
      </w:r>
      <w:r>
        <w:rPr>
          <w:rFonts w:ascii="Verdana" w:hAnsi="Verdana"/>
          <w:sz w:val="20"/>
          <w:u w:val="single"/>
        </w:rPr>
        <w:tab/>
      </w:r>
    </w:p>
    <w:p w:rsidR="002C14E9" w:rsidRDefault="002C14E9" w:rsidP="00036F16">
      <w:pPr>
        <w:rPr>
          <w:rFonts w:ascii="Verdana" w:hAnsi="Verdana"/>
          <w:sz w:val="20"/>
        </w:rPr>
      </w:pPr>
    </w:p>
    <w:p w:rsidR="002C14E9" w:rsidRPr="002C14E9" w:rsidRDefault="002C14E9" w:rsidP="00036F16">
      <w:pPr>
        <w:rPr>
          <w:rFonts w:ascii="Verdana" w:hAnsi="Verdana" w:cs="Arial"/>
          <w:b/>
          <w:sz w:val="20"/>
        </w:rPr>
      </w:pPr>
    </w:p>
    <w:p w:rsidR="00036F16" w:rsidRDefault="00036F16" w:rsidP="00B63556">
      <w:pPr>
        <w:rPr>
          <w:rFonts w:ascii="Verdana" w:hAnsi="Verdana" w:cs="Arial"/>
          <w:b/>
          <w:sz w:val="20"/>
          <w:u w:val="single"/>
        </w:rPr>
      </w:pPr>
    </w:p>
    <w:p w:rsidR="00757832" w:rsidRDefault="00586100" w:rsidP="00B63556">
      <w:pPr>
        <w:rPr>
          <w:rFonts w:ascii="Verdana" w:hAnsi="Verdana" w:cs="Arial"/>
          <w:b/>
          <w:sz w:val="20"/>
          <w:u w:val="single"/>
        </w:rPr>
      </w:pPr>
      <w:r>
        <w:rPr>
          <w:rFonts w:ascii="Verdana" w:hAnsi="Verdana" w:cs="Arial"/>
          <w:b/>
          <w:sz w:val="20"/>
          <w:u w:val="single"/>
        </w:rPr>
        <w:t>NON_FINANCIAL DELIVERABILITY</w:t>
      </w:r>
    </w:p>
    <w:p w:rsidR="00586100" w:rsidRPr="00586100" w:rsidRDefault="00586100" w:rsidP="00B63556">
      <w:pPr>
        <w:rPr>
          <w:rFonts w:ascii="Verdana" w:hAnsi="Verdana" w:cs="Arial"/>
          <w:sz w:val="20"/>
        </w:rPr>
      </w:pPr>
    </w:p>
    <w:p w:rsidR="00AD6D64" w:rsidRDefault="00C15EB0" w:rsidP="00AD6D64">
      <w:pPr>
        <w:pStyle w:val="Heading3"/>
        <w:numPr>
          <w:ilvl w:val="0"/>
          <w:numId w:val="0"/>
        </w:numPr>
        <w:rPr>
          <w:rFonts w:ascii="Verdana" w:hAnsi="Verdana"/>
          <w:b/>
          <w:sz w:val="20"/>
        </w:rPr>
      </w:pPr>
      <w:r>
        <w:rPr>
          <w:rFonts w:ascii="Verdana" w:hAnsi="Verdana"/>
          <w:b/>
          <w:sz w:val="20"/>
        </w:rPr>
        <w:t xml:space="preserve">Section 1: </w:t>
      </w:r>
      <w:r w:rsidR="00AD6D64" w:rsidRPr="00AD6D64">
        <w:rPr>
          <w:rFonts w:ascii="Verdana" w:hAnsi="Verdana"/>
          <w:b/>
          <w:sz w:val="20"/>
        </w:rPr>
        <w:t>Shareholding/Consortium Structure</w:t>
      </w:r>
    </w:p>
    <w:p w:rsidR="00334514" w:rsidRPr="003B0CBC" w:rsidRDefault="00334514" w:rsidP="00334514">
      <w:pPr>
        <w:pStyle w:val="BodyText"/>
        <w:tabs>
          <w:tab w:val="clear" w:pos="709"/>
          <w:tab w:val="left" w:pos="0"/>
        </w:tabs>
        <w:rPr>
          <w:rFonts w:ascii="Verdana" w:hAnsi="Verdana"/>
          <w:i/>
          <w:sz w:val="20"/>
        </w:rPr>
      </w:pPr>
      <w:r w:rsidRPr="00334514">
        <w:rPr>
          <w:rFonts w:ascii="Verdana" w:hAnsi="Verdana"/>
          <w:i/>
          <w:sz w:val="20"/>
        </w:rPr>
        <w:t>The response to this section should be provided in no more than 5 pages.  Supporting information may be provided in separa</w:t>
      </w:r>
      <w:r>
        <w:rPr>
          <w:rFonts w:ascii="Verdana" w:hAnsi="Verdana"/>
          <w:i/>
          <w:sz w:val="20"/>
        </w:rPr>
        <w:t>te appendices.</w:t>
      </w:r>
    </w:p>
    <w:p w:rsidR="00CC513B" w:rsidRPr="00761695" w:rsidRDefault="00CC513B" w:rsidP="00761695">
      <w:pPr>
        <w:pStyle w:val="Heading7"/>
        <w:tabs>
          <w:tab w:val="clear" w:pos="4394"/>
          <w:tab w:val="num" w:pos="426"/>
        </w:tabs>
        <w:ind w:left="426" w:hanging="426"/>
        <w:rPr>
          <w:rFonts w:ascii="Verdana" w:hAnsi="Verdana"/>
          <w:sz w:val="20"/>
        </w:rPr>
      </w:pPr>
      <w:r w:rsidRPr="00761695">
        <w:rPr>
          <w:rFonts w:ascii="Verdana" w:hAnsi="Verdana"/>
          <w:sz w:val="20"/>
        </w:rPr>
        <w:t>Qualifying Bidders are required to provide</w:t>
      </w:r>
      <w:r w:rsidR="003B0CBC" w:rsidRPr="00761695">
        <w:rPr>
          <w:rFonts w:ascii="Verdana" w:hAnsi="Verdana"/>
          <w:sz w:val="20"/>
        </w:rPr>
        <w:t xml:space="preserve"> the following in relation to the shareholding/consortium structure for the entity that would be granted the Offshore Electricity Transmission Licence</w:t>
      </w:r>
      <w:r w:rsidRPr="00761695">
        <w:rPr>
          <w:rFonts w:ascii="Verdana" w:hAnsi="Verdana"/>
          <w:sz w:val="20"/>
        </w:rPr>
        <w:t>:</w:t>
      </w:r>
    </w:p>
    <w:p w:rsidR="00CC513B" w:rsidRPr="00761695" w:rsidRDefault="00CC513B" w:rsidP="00794CF7">
      <w:pPr>
        <w:pStyle w:val="Heading4"/>
        <w:numPr>
          <w:ilvl w:val="3"/>
          <w:numId w:val="48"/>
        </w:numPr>
        <w:tabs>
          <w:tab w:val="clear" w:pos="2268"/>
          <w:tab w:val="clear" w:pos="2694"/>
          <w:tab w:val="num" w:pos="1134"/>
        </w:tabs>
        <w:ind w:left="1134" w:hanging="708"/>
        <w:rPr>
          <w:rFonts w:ascii="Verdana" w:hAnsi="Verdana"/>
          <w:sz w:val="20"/>
        </w:rPr>
      </w:pPr>
      <w:r w:rsidRPr="00761695">
        <w:rPr>
          <w:rFonts w:ascii="Verdana" w:hAnsi="Verdana"/>
          <w:sz w:val="20"/>
        </w:rPr>
        <w:t>Details of the proposed shareholding/consortium organisational structure, making clear the identity of the entity that will hold the Offshore Electricity Transmission Licence for the relevant Qualifying Project and the roles, decision-making responsibilities and relationship which each consortium member will have within and/or with the OFTO; and</w:t>
      </w:r>
    </w:p>
    <w:p w:rsidR="00CC513B" w:rsidRPr="00761695" w:rsidRDefault="00CC513B" w:rsidP="00794CF7">
      <w:pPr>
        <w:pStyle w:val="Heading4"/>
        <w:numPr>
          <w:ilvl w:val="3"/>
          <w:numId w:val="48"/>
        </w:numPr>
        <w:tabs>
          <w:tab w:val="clear" w:pos="2268"/>
          <w:tab w:val="clear" w:pos="2694"/>
          <w:tab w:val="left" w:pos="426"/>
          <w:tab w:val="num" w:pos="1134"/>
        </w:tabs>
        <w:ind w:left="1134" w:hanging="708"/>
        <w:rPr>
          <w:rFonts w:ascii="Verdana" w:hAnsi="Verdana"/>
          <w:sz w:val="20"/>
        </w:rPr>
      </w:pPr>
      <w:r w:rsidRPr="00761695">
        <w:rPr>
          <w:rFonts w:ascii="Verdana" w:hAnsi="Verdana"/>
          <w:sz w:val="20"/>
        </w:rPr>
        <w:t>In the case of a consortium, the proposed ownership arrangements, the proposed ownership proportions and how you propose to share liability between consortium members.</w:t>
      </w:r>
    </w:p>
    <w:p w:rsidR="00761695" w:rsidRPr="00CC513B" w:rsidRDefault="00761695" w:rsidP="00761695">
      <w:pPr>
        <w:pStyle w:val="Appendixtext-Numbered"/>
        <w:numPr>
          <w:ilvl w:val="0"/>
          <w:numId w:val="0"/>
        </w:numPr>
        <w:tabs>
          <w:tab w:val="left" w:pos="426"/>
        </w:tabs>
      </w:pPr>
      <w:r>
        <w:t>2.</w:t>
      </w:r>
      <w:r>
        <w:tab/>
      </w:r>
      <w:r w:rsidR="00CC513B" w:rsidRPr="00CC513B">
        <w:t>In responding to this section, a Qualifying Bidder must:</w:t>
      </w:r>
    </w:p>
    <w:p w:rsidR="00757832" w:rsidRPr="00761695" w:rsidRDefault="0097335F" w:rsidP="00794CF7">
      <w:pPr>
        <w:pStyle w:val="Heading4"/>
        <w:numPr>
          <w:ilvl w:val="3"/>
          <w:numId w:val="49"/>
        </w:numPr>
        <w:tabs>
          <w:tab w:val="clear" w:pos="2268"/>
          <w:tab w:val="clear" w:pos="2694"/>
          <w:tab w:val="clear" w:pos="2977"/>
          <w:tab w:val="num" w:pos="1134"/>
        </w:tabs>
        <w:ind w:left="1134" w:hanging="708"/>
        <w:rPr>
          <w:rFonts w:ascii="Verdana" w:hAnsi="Verdana"/>
          <w:sz w:val="20"/>
        </w:rPr>
      </w:pPr>
      <w:r w:rsidRPr="00761695">
        <w:rPr>
          <w:rFonts w:ascii="Verdana" w:hAnsi="Verdana"/>
          <w:sz w:val="20"/>
        </w:rPr>
        <w:lastRenderedPageBreak/>
        <w:t xml:space="preserve">Explain and provide evidence where available of the </w:t>
      </w:r>
      <w:r w:rsidR="00AD6D64" w:rsidRPr="00761695">
        <w:rPr>
          <w:rFonts w:ascii="Verdana" w:hAnsi="Verdana"/>
          <w:sz w:val="20"/>
        </w:rPr>
        <w:t xml:space="preserve">arrangements to ensure </w:t>
      </w:r>
      <w:r w:rsidRPr="00761695">
        <w:rPr>
          <w:rFonts w:ascii="Verdana" w:hAnsi="Verdana"/>
          <w:sz w:val="20"/>
        </w:rPr>
        <w:t xml:space="preserve">that </w:t>
      </w:r>
      <w:r w:rsidR="00AD6D64" w:rsidRPr="00761695">
        <w:rPr>
          <w:rFonts w:ascii="Verdana" w:hAnsi="Verdana"/>
          <w:sz w:val="20"/>
        </w:rPr>
        <w:t xml:space="preserve">the entity will be registered for Value Added Taxation purposes, in accordance with the </w:t>
      </w:r>
      <w:r w:rsidR="0076561E" w:rsidRPr="00761695">
        <w:rPr>
          <w:rFonts w:ascii="Verdana" w:hAnsi="Verdana"/>
          <w:sz w:val="20"/>
        </w:rPr>
        <w:t xml:space="preserve">Sale and Purchase Agreement </w:t>
      </w:r>
      <w:r w:rsidR="00AD6D64" w:rsidRPr="00761695">
        <w:rPr>
          <w:rFonts w:ascii="Verdana" w:hAnsi="Verdana"/>
          <w:sz w:val="20"/>
        </w:rPr>
        <w:t>requirements</w:t>
      </w:r>
      <w:r w:rsidR="00DD1F89" w:rsidRPr="00761695">
        <w:rPr>
          <w:rFonts w:ascii="Verdana" w:hAnsi="Verdana"/>
          <w:sz w:val="20"/>
        </w:rPr>
        <w:t>;</w:t>
      </w:r>
      <w:r w:rsidR="00334514">
        <w:rPr>
          <w:rFonts w:ascii="Verdana" w:hAnsi="Verdana"/>
          <w:sz w:val="20"/>
        </w:rPr>
        <w:t xml:space="preserve"> and</w:t>
      </w:r>
    </w:p>
    <w:p w:rsidR="00C15EB0" w:rsidRPr="00334514" w:rsidRDefault="00AD6D64" w:rsidP="00794CF7">
      <w:pPr>
        <w:pStyle w:val="Heading4"/>
        <w:numPr>
          <w:ilvl w:val="3"/>
          <w:numId w:val="49"/>
        </w:numPr>
        <w:tabs>
          <w:tab w:val="clear" w:pos="2268"/>
          <w:tab w:val="clear" w:pos="2694"/>
          <w:tab w:val="num" w:pos="1134"/>
        </w:tabs>
        <w:ind w:left="1134" w:hanging="708"/>
        <w:rPr>
          <w:rFonts w:ascii="Verdana" w:hAnsi="Verdana"/>
          <w:sz w:val="20"/>
        </w:rPr>
      </w:pPr>
      <w:r w:rsidRPr="00334514">
        <w:rPr>
          <w:rFonts w:ascii="Verdana" w:hAnsi="Verdana"/>
          <w:sz w:val="20"/>
        </w:rPr>
        <w:t>Provide</w:t>
      </w:r>
      <w:r w:rsidR="00CC513B" w:rsidRPr="00334514">
        <w:rPr>
          <w:rFonts w:ascii="Verdana" w:hAnsi="Verdana"/>
          <w:sz w:val="20"/>
        </w:rPr>
        <w:t>,</w:t>
      </w:r>
      <w:r w:rsidRPr="00334514">
        <w:rPr>
          <w:rFonts w:ascii="Verdana" w:hAnsi="Verdana"/>
          <w:sz w:val="20"/>
        </w:rPr>
        <w:t xml:space="preserve"> </w:t>
      </w:r>
      <w:r w:rsidR="0097335F" w:rsidRPr="00334514">
        <w:rPr>
          <w:rFonts w:ascii="Verdana" w:hAnsi="Verdana"/>
          <w:sz w:val="20"/>
        </w:rPr>
        <w:t xml:space="preserve">in relation to the Qualifying Bidders’ structure, </w:t>
      </w:r>
      <w:r w:rsidRPr="00334514">
        <w:rPr>
          <w:rFonts w:ascii="Verdana" w:hAnsi="Verdana"/>
          <w:sz w:val="20"/>
        </w:rPr>
        <w:t xml:space="preserve">Shareholding Agreements, Articles of Association, Loan Note Agreements, Management Services Agreements and other relevant consortium </w:t>
      </w:r>
      <w:r w:rsidR="0097335F" w:rsidRPr="00334514">
        <w:rPr>
          <w:rFonts w:ascii="Verdana" w:hAnsi="Verdana"/>
          <w:sz w:val="20"/>
        </w:rPr>
        <w:t xml:space="preserve">documentation identifying any conditionality and outstanding items which are still to be </w:t>
      </w:r>
      <w:r w:rsidRPr="00334514">
        <w:rPr>
          <w:rFonts w:ascii="Verdana" w:hAnsi="Verdana"/>
          <w:sz w:val="20"/>
        </w:rPr>
        <w:t xml:space="preserve">agreed </w:t>
      </w:r>
      <w:r w:rsidR="0097335F" w:rsidRPr="00334514">
        <w:rPr>
          <w:rFonts w:ascii="Verdana" w:hAnsi="Verdana"/>
          <w:sz w:val="20"/>
        </w:rPr>
        <w:t xml:space="preserve">or subject to confirmatory due diligence.  </w:t>
      </w:r>
    </w:p>
    <w:p w:rsidR="00B633EC" w:rsidRPr="00334514" w:rsidRDefault="00B633EC" w:rsidP="00B633EC">
      <w:pPr>
        <w:pStyle w:val="BodyText"/>
        <w:tabs>
          <w:tab w:val="clear" w:pos="709"/>
          <w:tab w:val="left" w:pos="0"/>
        </w:tabs>
        <w:rPr>
          <w:rFonts w:ascii="Verdana" w:hAnsi="Verdana"/>
          <w:i/>
          <w:sz w:val="20"/>
        </w:rPr>
      </w:pPr>
    </w:p>
    <w:p w:rsidR="006C2B9C" w:rsidRPr="006C2B9C" w:rsidRDefault="00C15EB0" w:rsidP="006C2B9C">
      <w:pPr>
        <w:rPr>
          <w:rFonts w:ascii="Verdana" w:hAnsi="Verdana" w:cs="Arial"/>
          <w:b/>
          <w:sz w:val="20"/>
        </w:rPr>
      </w:pPr>
      <w:r>
        <w:rPr>
          <w:rFonts w:ascii="Verdana" w:hAnsi="Verdana" w:cs="Arial"/>
          <w:b/>
          <w:sz w:val="20"/>
        </w:rPr>
        <w:t xml:space="preserve">Section 2: </w:t>
      </w:r>
      <w:r w:rsidR="006C2B9C" w:rsidRPr="006C2B9C">
        <w:rPr>
          <w:rFonts w:ascii="Verdana" w:hAnsi="Verdana" w:cs="Arial"/>
          <w:b/>
          <w:sz w:val="20"/>
        </w:rPr>
        <w:t>Takeover Plan</w:t>
      </w:r>
    </w:p>
    <w:p w:rsidR="00334514" w:rsidRPr="003B0CBC" w:rsidRDefault="00334514" w:rsidP="00334514">
      <w:pPr>
        <w:pStyle w:val="BodyText"/>
        <w:tabs>
          <w:tab w:val="clear" w:pos="709"/>
          <w:tab w:val="left" w:pos="0"/>
        </w:tabs>
        <w:rPr>
          <w:rFonts w:ascii="Verdana" w:hAnsi="Verdana"/>
          <w:i/>
          <w:sz w:val="20"/>
        </w:rPr>
      </w:pPr>
      <w:r w:rsidRPr="003B0CBC">
        <w:rPr>
          <w:rFonts w:ascii="Verdana" w:hAnsi="Verdana"/>
          <w:i/>
          <w:sz w:val="20"/>
        </w:rPr>
        <w:t>The response to this section should be provided in no more than 10 pages.</w:t>
      </w:r>
      <w:r>
        <w:rPr>
          <w:rFonts w:ascii="Verdana" w:hAnsi="Verdana"/>
          <w:i/>
          <w:sz w:val="20"/>
        </w:rPr>
        <w:t xml:space="preserve">  Supporting information may be provided in separate appendices.</w:t>
      </w:r>
    </w:p>
    <w:p w:rsidR="00351954" w:rsidRDefault="00351954" w:rsidP="00351954">
      <w:pPr>
        <w:pStyle w:val="Appendixtext-Numbered"/>
        <w:numPr>
          <w:ilvl w:val="0"/>
          <w:numId w:val="0"/>
        </w:numPr>
      </w:pPr>
      <w:r>
        <w:t>Qualifying Bidders are required to provide the following in relation to the initial takeover of the transmission assets from the relevant Developer.</w:t>
      </w:r>
    </w:p>
    <w:p w:rsidR="00935D26" w:rsidRPr="00517541" w:rsidRDefault="00935D26" w:rsidP="00794CF7">
      <w:pPr>
        <w:pStyle w:val="Appendixtext-Numbered"/>
        <w:numPr>
          <w:ilvl w:val="0"/>
          <w:numId w:val="27"/>
        </w:numPr>
        <w:spacing w:after="120"/>
        <w:ind w:left="283" w:hanging="284"/>
      </w:pPr>
      <w:r>
        <w:t>Q</w:t>
      </w:r>
      <w:r w:rsidRPr="001116C6">
        <w:t>ualifying Bidder</w:t>
      </w:r>
      <w:r>
        <w:t xml:space="preserve">s are required to </w:t>
      </w:r>
      <w:r w:rsidRPr="001116C6">
        <w:t xml:space="preserve">provide a </w:t>
      </w:r>
      <w:r>
        <w:t xml:space="preserve">fully </w:t>
      </w:r>
      <w:r w:rsidRPr="001116C6">
        <w:t xml:space="preserve">detailed </w:t>
      </w:r>
      <w:r>
        <w:t>t</w:t>
      </w:r>
      <w:r w:rsidRPr="001116C6">
        <w:t xml:space="preserve">akeover </w:t>
      </w:r>
      <w:r>
        <w:t>p</w:t>
      </w:r>
      <w:r w:rsidRPr="001116C6">
        <w:t xml:space="preserve">lan identifying the key activities necessary to ensure effective acquisition </w:t>
      </w:r>
      <w:r w:rsidRPr="003B0CBC">
        <w:t xml:space="preserve">of the </w:t>
      </w:r>
      <w:r w:rsidR="003B0CBC" w:rsidRPr="003B0CBC">
        <w:t xml:space="preserve">transmission </w:t>
      </w:r>
      <w:r w:rsidRPr="003B0CBC">
        <w:t>assets fo</w:t>
      </w:r>
      <w:r>
        <w:t>r</w:t>
      </w:r>
      <w:r w:rsidRPr="001116C6">
        <w:t xml:space="preserve"> the relevant Qualifying Project</w:t>
      </w:r>
      <w:r>
        <w:t xml:space="preserve"> covering the period </w:t>
      </w:r>
      <w:r w:rsidRPr="00517541">
        <w:t xml:space="preserve">from the </w:t>
      </w:r>
      <w:r>
        <w:t>n</w:t>
      </w:r>
      <w:r w:rsidRPr="00517541">
        <w:t xml:space="preserve">otification of Preferred Bidder through to three months following completion of asset transfer. </w:t>
      </w:r>
    </w:p>
    <w:p w:rsidR="00935D26" w:rsidRPr="00705100" w:rsidRDefault="00935D26" w:rsidP="00DD1F89">
      <w:pPr>
        <w:pStyle w:val="Appendixtext-Numbered"/>
        <w:numPr>
          <w:ilvl w:val="0"/>
          <w:numId w:val="0"/>
        </w:numPr>
        <w:spacing w:after="120"/>
        <w:ind w:left="283"/>
      </w:pPr>
      <w:r w:rsidRPr="001116C6">
        <w:t xml:space="preserve">The </w:t>
      </w:r>
      <w:r>
        <w:t xml:space="preserve">takeover plan should clearly cover </w:t>
      </w:r>
      <w:r w:rsidRPr="001116C6">
        <w:t xml:space="preserve">the relevant legal, regulatory, commercial, financial, </w:t>
      </w:r>
      <w:proofErr w:type="gramStart"/>
      <w:r w:rsidRPr="001116C6">
        <w:t>technical</w:t>
      </w:r>
      <w:proofErr w:type="gramEnd"/>
      <w:r w:rsidRPr="001116C6">
        <w:t xml:space="preserve"> and communication</w:t>
      </w:r>
      <w:r>
        <w:t xml:space="preserve"> activities</w:t>
      </w:r>
      <w:r w:rsidRPr="001116C6">
        <w:t xml:space="preserve"> </w:t>
      </w:r>
      <w:r>
        <w:t xml:space="preserve">including </w:t>
      </w:r>
      <w:r w:rsidRPr="001116C6">
        <w:t>key</w:t>
      </w:r>
      <w:r>
        <w:t xml:space="preserve"> deliverables</w:t>
      </w:r>
      <w:r w:rsidRPr="001116C6">
        <w:t>.</w:t>
      </w:r>
      <w:r w:rsidRPr="00705100">
        <w:t xml:space="preserve"> </w:t>
      </w:r>
      <w:r>
        <w:t xml:space="preserve">This should be accompanied by a </w:t>
      </w:r>
      <w:r w:rsidRPr="00705100">
        <w:t xml:space="preserve">Gantt chart showing </w:t>
      </w:r>
      <w:r>
        <w:t xml:space="preserve">the </w:t>
      </w:r>
      <w:r w:rsidRPr="00705100">
        <w:t>tasks, timings, key milestones, linkages and dependencies</w:t>
      </w:r>
      <w:r>
        <w:t xml:space="preserve"> across </w:t>
      </w:r>
      <w:r w:rsidRPr="00705100">
        <w:t>each of the main work areas</w:t>
      </w:r>
      <w:r>
        <w:t xml:space="preserve">. </w:t>
      </w:r>
    </w:p>
    <w:p w:rsidR="00935D26" w:rsidRPr="00705100" w:rsidRDefault="00935D26" w:rsidP="00794CF7">
      <w:pPr>
        <w:pStyle w:val="Appendixtext-Numbered"/>
        <w:numPr>
          <w:ilvl w:val="0"/>
          <w:numId w:val="27"/>
        </w:numPr>
        <w:spacing w:after="120"/>
        <w:ind w:left="283" w:hanging="284"/>
      </w:pPr>
      <w:r>
        <w:t>Qualifying Bidders</w:t>
      </w:r>
      <w:r w:rsidRPr="00705100">
        <w:t xml:space="preserve"> </w:t>
      </w:r>
      <w:r>
        <w:t xml:space="preserve">are required to set out </w:t>
      </w:r>
      <w:r w:rsidRPr="00705100">
        <w:t>implementation</w:t>
      </w:r>
      <w:r>
        <w:t xml:space="preserve"> of the takeover plan</w:t>
      </w:r>
      <w:r w:rsidRPr="00705100">
        <w:t xml:space="preserve"> includ</w:t>
      </w:r>
      <w:r>
        <w:t xml:space="preserve">ing organisational and </w:t>
      </w:r>
      <w:r w:rsidRPr="00705100">
        <w:t xml:space="preserve">management </w:t>
      </w:r>
      <w:r>
        <w:t xml:space="preserve">team </w:t>
      </w:r>
      <w:r w:rsidRPr="00705100">
        <w:t>structure, resources (technical/operational, administrative, finance and accounting etc), procurement</w:t>
      </w:r>
      <w:r>
        <w:t xml:space="preserve"> strategy</w:t>
      </w:r>
      <w:r w:rsidRPr="00705100">
        <w:t xml:space="preserve">, quality and risk management, </w:t>
      </w:r>
      <w:r>
        <w:t>health, safety</w:t>
      </w:r>
      <w:r w:rsidRPr="00705100">
        <w:t xml:space="preserve"> and environmental management and </w:t>
      </w:r>
      <w:r>
        <w:t xml:space="preserve">stakeholder engagement. </w:t>
      </w:r>
      <w:r w:rsidRPr="00705100">
        <w:t xml:space="preserve"> </w:t>
      </w:r>
    </w:p>
    <w:p w:rsidR="00935D26" w:rsidRPr="00705100" w:rsidRDefault="00935D26" w:rsidP="00794CF7">
      <w:pPr>
        <w:pStyle w:val="Appendixtext-Numbered"/>
        <w:numPr>
          <w:ilvl w:val="0"/>
          <w:numId w:val="27"/>
        </w:numPr>
        <w:spacing w:before="100" w:after="100"/>
        <w:ind w:left="284" w:hanging="284"/>
      </w:pPr>
      <w:r w:rsidRPr="00705100">
        <w:t>Qualifying Bidder</w:t>
      </w:r>
      <w:r>
        <w:t xml:space="preserve">s are required </w:t>
      </w:r>
      <w:r w:rsidRPr="00705100">
        <w:t>provide:</w:t>
      </w:r>
    </w:p>
    <w:p w:rsidR="00935D26" w:rsidRPr="003B0CBC" w:rsidRDefault="00935D26" w:rsidP="00794CF7">
      <w:pPr>
        <w:pStyle w:val="Heading4"/>
        <w:numPr>
          <w:ilvl w:val="3"/>
          <w:numId w:val="26"/>
        </w:numPr>
        <w:tabs>
          <w:tab w:val="clear" w:pos="2268"/>
          <w:tab w:val="clear" w:pos="2694"/>
          <w:tab w:val="num" w:pos="1134"/>
        </w:tabs>
        <w:ind w:left="1134" w:hanging="425"/>
        <w:rPr>
          <w:rFonts w:ascii="Verdana" w:hAnsi="Verdana"/>
          <w:sz w:val="20"/>
        </w:rPr>
      </w:pPr>
      <w:r w:rsidRPr="003B0CBC">
        <w:rPr>
          <w:rFonts w:ascii="Verdana" w:hAnsi="Verdana"/>
          <w:sz w:val="20"/>
        </w:rPr>
        <w:t>A takeover risk management register, identifying key business and operational risks and detailing the proposed mitigation approach;</w:t>
      </w:r>
    </w:p>
    <w:p w:rsidR="003B0CBC" w:rsidRPr="003B0CBC" w:rsidRDefault="00935D26" w:rsidP="00794CF7">
      <w:pPr>
        <w:pStyle w:val="Heading4"/>
        <w:numPr>
          <w:ilvl w:val="3"/>
          <w:numId w:val="26"/>
        </w:numPr>
        <w:tabs>
          <w:tab w:val="clear" w:pos="2268"/>
          <w:tab w:val="clear" w:pos="2694"/>
          <w:tab w:val="num" w:pos="1134"/>
        </w:tabs>
        <w:ind w:left="1134" w:hanging="425"/>
        <w:rPr>
          <w:rFonts w:ascii="Verdana" w:hAnsi="Verdana" w:cs="Arial"/>
          <w:sz w:val="20"/>
        </w:rPr>
      </w:pPr>
      <w:r w:rsidRPr="003B0CBC">
        <w:rPr>
          <w:rFonts w:ascii="Verdana" w:hAnsi="Verdana" w:cs="Arial"/>
          <w:sz w:val="20"/>
        </w:rPr>
        <w:t>A description of obligations and dependencies on the Developer, NETSO, Ofgem, the Crown Estate and other relevant stakeholders clearly defining the requirement and likely delivery date; and</w:t>
      </w:r>
    </w:p>
    <w:p w:rsidR="00935D26" w:rsidRPr="00935D26" w:rsidRDefault="00935D26" w:rsidP="00794CF7">
      <w:pPr>
        <w:pStyle w:val="Heading4"/>
        <w:numPr>
          <w:ilvl w:val="3"/>
          <w:numId w:val="26"/>
        </w:numPr>
        <w:tabs>
          <w:tab w:val="clear" w:pos="2268"/>
          <w:tab w:val="clear" w:pos="2694"/>
          <w:tab w:val="num" w:pos="1134"/>
        </w:tabs>
        <w:ind w:left="1134" w:hanging="425"/>
        <w:rPr>
          <w:rFonts w:ascii="Verdana" w:hAnsi="Verdana"/>
          <w:sz w:val="20"/>
        </w:rPr>
      </w:pPr>
      <w:proofErr w:type="gramStart"/>
      <w:r w:rsidRPr="00935D26">
        <w:rPr>
          <w:rFonts w:ascii="Verdana" w:hAnsi="Verdana" w:cs="Arial"/>
          <w:sz w:val="20"/>
        </w:rPr>
        <w:t>An organisation diagram for the team responsible for delivering the takeover plan in this period to include a role description and responsibilities of each team member.</w:t>
      </w:r>
      <w:proofErr w:type="gramEnd"/>
      <w:r w:rsidRPr="00935D26">
        <w:rPr>
          <w:rFonts w:ascii="Verdana" w:hAnsi="Verdana" w:cs="Arial"/>
          <w:sz w:val="20"/>
        </w:rPr>
        <w:t xml:space="preserve"> Summary role descriptions and CVs for key post-holders already/provisionally appointed or a plan of the process for their appointment should be provided separately in an appendix. </w:t>
      </w:r>
    </w:p>
    <w:p w:rsidR="003B0CBC" w:rsidRDefault="003B0CBC" w:rsidP="00935D26">
      <w:pPr>
        <w:pStyle w:val="BodyText"/>
        <w:tabs>
          <w:tab w:val="clear" w:pos="709"/>
          <w:tab w:val="left" w:pos="0"/>
        </w:tabs>
      </w:pPr>
    </w:p>
    <w:p w:rsidR="00935D26" w:rsidRDefault="00935D26" w:rsidP="00935D26">
      <w:pPr>
        <w:rPr>
          <w:rFonts w:ascii="Arial" w:hAnsi="Arial" w:cs="Arial"/>
          <w:i/>
          <w:iCs/>
        </w:rPr>
      </w:pPr>
      <w:r w:rsidRPr="00935D26">
        <w:rPr>
          <w:rFonts w:ascii="Verdana" w:hAnsi="Verdana" w:cs="Arial"/>
          <w:b/>
          <w:bCs/>
          <w:sz w:val="20"/>
        </w:rPr>
        <w:t>Section 3: Ongoing Operations</w:t>
      </w:r>
    </w:p>
    <w:p w:rsidR="00935D26" w:rsidRDefault="00334514" w:rsidP="00935D26">
      <w:pPr>
        <w:rPr>
          <w:rFonts w:ascii="Verdana" w:hAnsi="Verdana"/>
          <w:i/>
          <w:sz w:val="20"/>
        </w:rPr>
      </w:pPr>
      <w:r w:rsidRPr="003B0CBC">
        <w:rPr>
          <w:rFonts w:ascii="Verdana" w:hAnsi="Verdana"/>
          <w:i/>
          <w:sz w:val="20"/>
        </w:rPr>
        <w:t>The response to this section should be provided in no more than 1</w:t>
      </w:r>
      <w:r>
        <w:rPr>
          <w:rFonts w:ascii="Verdana" w:hAnsi="Verdana"/>
          <w:i/>
          <w:sz w:val="20"/>
        </w:rPr>
        <w:t>4</w:t>
      </w:r>
      <w:r w:rsidRPr="003B0CBC">
        <w:rPr>
          <w:rFonts w:ascii="Verdana" w:hAnsi="Verdana"/>
          <w:i/>
          <w:sz w:val="20"/>
        </w:rPr>
        <w:t xml:space="preserve"> pages.</w:t>
      </w:r>
      <w:r>
        <w:rPr>
          <w:rFonts w:ascii="Verdana" w:hAnsi="Verdana"/>
          <w:i/>
          <w:sz w:val="20"/>
        </w:rPr>
        <w:t xml:space="preserve">  Supporting information may be provided in separate appendices.</w:t>
      </w:r>
    </w:p>
    <w:p w:rsidR="00334514" w:rsidRDefault="00334514" w:rsidP="00935D26">
      <w:pPr>
        <w:rPr>
          <w:rFonts w:ascii="Arial" w:hAnsi="Arial" w:cs="Arial"/>
          <w:i/>
          <w:iCs/>
        </w:rPr>
      </w:pPr>
    </w:p>
    <w:p w:rsidR="00935D26" w:rsidRPr="00935D26" w:rsidRDefault="00935D26" w:rsidP="00935D26">
      <w:pPr>
        <w:rPr>
          <w:rFonts w:ascii="Verdana" w:hAnsi="Verdana" w:cs="Arial"/>
          <w:b/>
          <w:iCs/>
          <w:sz w:val="20"/>
        </w:rPr>
      </w:pPr>
      <w:r w:rsidRPr="00935D26">
        <w:rPr>
          <w:rFonts w:ascii="Verdana" w:hAnsi="Verdana" w:cs="Arial"/>
          <w:iCs/>
          <w:sz w:val="20"/>
        </w:rPr>
        <w:lastRenderedPageBreak/>
        <w:t>Qualifying Bidders are required to provide the following in relation to the ongoing operations of the OFTO</w:t>
      </w:r>
      <w:r w:rsidRPr="00935D26">
        <w:rPr>
          <w:rFonts w:ascii="Verdana" w:hAnsi="Verdana" w:cs="Arial"/>
          <w:b/>
          <w:iCs/>
          <w:sz w:val="20"/>
        </w:rPr>
        <w:t>:</w:t>
      </w:r>
    </w:p>
    <w:p w:rsidR="00351954" w:rsidRDefault="00351954" w:rsidP="00935D26">
      <w:pPr>
        <w:rPr>
          <w:rFonts w:ascii="Verdana" w:hAnsi="Verdana" w:cs="Arial"/>
          <w:b/>
          <w:iCs/>
          <w:sz w:val="20"/>
        </w:rPr>
      </w:pPr>
    </w:p>
    <w:p w:rsidR="00935D26" w:rsidRPr="00351954" w:rsidRDefault="00935D26" w:rsidP="00794CF7">
      <w:pPr>
        <w:numPr>
          <w:ilvl w:val="0"/>
          <w:numId w:val="29"/>
        </w:numPr>
        <w:tabs>
          <w:tab w:val="clear" w:pos="709"/>
          <w:tab w:val="left" w:pos="284"/>
        </w:tabs>
        <w:ind w:left="284" w:hanging="284"/>
        <w:rPr>
          <w:rFonts w:ascii="Verdana" w:hAnsi="Verdana" w:cs="Arial"/>
          <w:iCs/>
          <w:sz w:val="20"/>
          <w:u w:val="single"/>
        </w:rPr>
      </w:pPr>
      <w:r w:rsidRPr="00351954">
        <w:rPr>
          <w:rFonts w:ascii="Verdana" w:hAnsi="Verdana" w:cs="Arial"/>
          <w:iCs/>
          <w:sz w:val="20"/>
          <w:u w:val="single"/>
        </w:rPr>
        <w:t xml:space="preserve">Asset management policy and framework </w:t>
      </w:r>
    </w:p>
    <w:p w:rsidR="00351954" w:rsidRDefault="007E3C98" w:rsidP="00351954">
      <w:pPr>
        <w:pStyle w:val="BodyText"/>
        <w:tabs>
          <w:tab w:val="clear" w:pos="709"/>
          <w:tab w:val="clear" w:pos="1559"/>
          <w:tab w:val="clear" w:pos="2268"/>
          <w:tab w:val="clear" w:pos="2977"/>
          <w:tab w:val="clear" w:pos="3686"/>
          <w:tab w:val="clear" w:pos="4394"/>
          <w:tab w:val="left" w:pos="284"/>
        </w:tabs>
        <w:ind w:left="284"/>
        <w:rPr>
          <w:rFonts w:ascii="Verdana" w:hAnsi="Verdana" w:cs="Arial"/>
          <w:sz w:val="20"/>
        </w:rPr>
      </w:pPr>
      <w:r>
        <w:rPr>
          <w:rFonts w:ascii="Verdana" w:hAnsi="Verdana" w:cs="Arial"/>
          <w:sz w:val="20"/>
        </w:rPr>
        <w:t>Qualifying Bidders are required to provide d</w:t>
      </w:r>
      <w:r w:rsidRPr="00935D26">
        <w:rPr>
          <w:rFonts w:ascii="Verdana" w:hAnsi="Verdana" w:cs="Arial"/>
          <w:sz w:val="20"/>
        </w:rPr>
        <w:t xml:space="preserve">etails of the asset management policy that </w:t>
      </w:r>
      <w:r>
        <w:rPr>
          <w:rFonts w:ascii="Verdana" w:hAnsi="Verdana" w:cs="Arial"/>
          <w:sz w:val="20"/>
        </w:rPr>
        <w:t xml:space="preserve">they </w:t>
      </w:r>
      <w:r w:rsidRPr="00935D26">
        <w:rPr>
          <w:rFonts w:ascii="Verdana" w:hAnsi="Verdana" w:cs="Arial"/>
          <w:sz w:val="20"/>
        </w:rPr>
        <w:t xml:space="preserve">intend to apply as an OFTO to cover areas associated with asset condition monitoring, required planned and unplanned maintenance regime development, asset replacement planning, spares holdings and management and transport logistics. </w:t>
      </w:r>
    </w:p>
    <w:p w:rsidR="00351954" w:rsidRDefault="00935D26" w:rsidP="00351954">
      <w:pPr>
        <w:pStyle w:val="BodyText"/>
        <w:tabs>
          <w:tab w:val="clear" w:pos="709"/>
          <w:tab w:val="clear" w:pos="1559"/>
          <w:tab w:val="clear" w:pos="2268"/>
          <w:tab w:val="clear" w:pos="2977"/>
          <w:tab w:val="clear" w:pos="3686"/>
          <w:tab w:val="clear" w:pos="4394"/>
          <w:tab w:val="left" w:pos="284"/>
        </w:tabs>
        <w:ind w:left="284"/>
        <w:rPr>
          <w:rFonts w:ascii="Verdana" w:hAnsi="Verdana" w:cs="Arial"/>
          <w:sz w:val="20"/>
        </w:rPr>
      </w:pPr>
      <w:r w:rsidRPr="00935D26">
        <w:rPr>
          <w:rFonts w:ascii="Verdana" w:hAnsi="Verdana" w:cs="Arial"/>
          <w:sz w:val="20"/>
        </w:rPr>
        <w:t>The Qualifying Bidder is required to outline what it sees as the advantages of this particular approach and how it would be implemented using the transferred assets and records data.  Details should also be provided in relation to novel and/or innovative solutions that may be applied within the OFTO environment for the particular project.</w:t>
      </w:r>
    </w:p>
    <w:p w:rsidR="00935D26" w:rsidRPr="00351954" w:rsidRDefault="00935D26" w:rsidP="00351954">
      <w:pPr>
        <w:pStyle w:val="BodyText"/>
        <w:tabs>
          <w:tab w:val="clear" w:pos="709"/>
          <w:tab w:val="clear" w:pos="1559"/>
          <w:tab w:val="clear" w:pos="2268"/>
          <w:tab w:val="clear" w:pos="2977"/>
          <w:tab w:val="clear" w:pos="3686"/>
          <w:tab w:val="clear" w:pos="4394"/>
          <w:tab w:val="left" w:pos="284"/>
        </w:tabs>
        <w:ind w:left="284"/>
        <w:rPr>
          <w:rFonts w:ascii="Verdana" w:hAnsi="Verdana" w:cs="Arial"/>
          <w:sz w:val="20"/>
        </w:rPr>
      </w:pPr>
      <w:r w:rsidRPr="00935D26">
        <w:rPr>
          <w:rFonts w:ascii="Verdana" w:hAnsi="Verdana" w:cs="Arial"/>
          <w:sz w:val="20"/>
        </w:rPr>
        <w:t>In addition, Qualifying Bidders are required to provide an overview of the key deliverables of the asset management policy selected (e</w:t>
      </w:r>
      <w:r w:rsidR="00351954">
        <w:rPr>
          <w:rFonts w:ascii="Verdana" w:hAnsi="Verdana" w:cs="Arial"/>
          <w:sz w:val="20"/>
        </w:rPr>
        <w:t>.</w:t>
      </w:r>
      <w:r w:rsidRPr="00935D26">
        <w:rPr>
          <w:rFonts w:ascii="Verdana" w:hAnsi="Verdana" w:cs="Arial"/>
          <w:sz w:val="20"/>
        </w:rPr>
        <w:t>g</w:t>
      </w:r>
      <w:r w:rsidR="00351954">
        <w:rPr>
          <w:rFonts w:ascii="Verdana" w:hAnsi="Verdana" w:cs="Arial"/>
          <w:sz w:val="20"/>
        </w:rPr>
        <w:t>.</w:t>
      </w:r>
      <w:r w:rsidRPr="00935D26">
        <w:rPr>
          <w:rFonts w:ascii="Verdana" w:hAnsi="Verdana" w:cs="Arial"/>
          <w:sz w:val="20"/>
        </w:rPr>
        <w:t xml:space="preserve"> inspection plans, routine maintenance schedules, repair plans, contingency plans for major failures, outage planning, security plans, data management, main stakeholder communications) along with indicative resourcing needs and, where applicable, response time requirements should be described. For each activity and / or deliverable, the key stakeholder interfaces, frequency and level of coordination required should also be clearly identified.</w:t>
      </w:r>
    </w:p>
    <w:p w:rsidR="00935D26" w:rsidRPr="00935D26" w:rsidRDefault="00935D26" w:rsidP="00935D26">
      <w:pPr>
        <w:pStyle w:val="BodyText"/>
        <w:tabs>
          <w:tab w:val="clear" w:pos="709"/>
          <w:tab w:val="left" w:pos="0"/>
        </w:tabs>
        <w:rPr>
          <w:rFonts w:ascii="Verdana" w:hAnsi="Verdana" w:cs="Arial"/>
          <w:i/>
          <w:iCs/>
          <w:sz w:val="20"/>
        </w:rPr>
      </w:pPr>
    </w:p>
    <w:p w:rsidR="00935D26" w:rsidRPr="00351954" w:rsidRDefault="00935D26" w:rsidP="00794CF7">
      <w:pPr>
        <w:numPr>
          <w:ilvl w:val="0"/>
          <w:numId w:val="29"/>
        </w:numPr>
        <w:tabs>
          <w:tab w:val="clear" w:pos="709"/>
          <w:tab w:val="left" w:pos="284"/>
        </w:tabs>
        <w:ind w:left="284" w:hanging="284"/>
        <w:rPr>
          <w:rFonts w:ascii="Verdana" w:hAnsi="Verdana" w:cs="Arial"/>
          <w:iCs/>
          <w:sz w:val="20"/>
          <w:u w:val="single"/>
        </w:rPr>
      </w:pPr>
      <w:r w:rsidRPr="00351954">
        <w:rPr>
          <w:rFonts w:ascii="Verdana" w:hAnsi="Verdana" w:cs="Arial"/>
          <w:iCs/>
          <w:sz w:val="20"/>
          <w:u w:val="single"/>
        </w:rPr>
        <w:t xml:space="preserve">Detailed O&amp;M arrangements and costs </w:t>
      </w:r>
    </w:p>
    <w:p w:rsidR="00935D26" w:rsidRPr="00351954" w:rsidRDefault="006C469F" w:rsidP="006C469F">
      <w:pPr>
        <w:pStyle w:val="BodyText"/>
        <w:tabs>
          <w:tab w:val="clear" w:pos="709"/>
          <w:tab w:val="left" w:pos="0"/>
        </w:tabs>
        <w:rPr>
          <w:rFonts w:ascii="Verdana" w:hAnsi="Verdana" w:cs="Arial"/>
          <w:sz w:val="20"/>
        </w:rPr>
      </w:pPr>
      <w:r w:rsidRPr="00351954">
        <w:rPr>
          <w:rFonts w:ascii="Verdana" w:hAnsi="Verdana" w:cs="Arial"/>
          <w:sz w:val="20"/>
        </w:rPr>
        <w:t>Qualifying Bidders are required to provide t</w:t>
      </w:r>
      <w:r w:rsidR="00935D26" w:rsidRPr="00351954">
        <w:rPr>
          <w:rFonts w:ascii="Verdana" w:hAnsi="Verdana" w:cs="Arial"/>
          <w:sz w:val="20"/>
        </w:rPr>
        <w:t xml:space="preserve">he operations and maintenance </w:t>
      </w:r>
      <w:r w:rsidR="00F804F8">
        <w:rPr>
          <w:rFonts w:ascii="Verdana" w:hAnsi="Verdana" w:cs="Arial"/>
          <w:sz w:val="20"/>
        </w:rPr>
        <w:t xml:space="preserve">(O&amp;M) </w:t>
      </w:r>
      <w:r w:rsidR="00935D26" w:rsidRPr="00351954">
        <w:rPr>
          <w:rFonts w:ascii="Verdana" w:hAnsi="Verdana" w:cs="Arial"/>
          <w:sz w:val="20"/>
        </w:rPr>
        <w:t xml:space="preserve">working arrangements </w:t>
      </w:r>
      <w:r w:rsidRPr="00351954">
        <w:rPr>
          <w:rFonts w:ascii="Verdana" w:hAnsi="Verdana" w:cs="Arial"/>
          <w:sz w:val="20"/>
        </w:rPr>
        <w:t xml:space="preserve">they </w:t>
      </w:r>
      <w:r w:rsidR="00935D26" w:rsidRPr="00351954">
        <w:rPr>
          <w:rFonts w:ascii="Verdana" w:hAnsi="Verdana" w:cs="Arial"/>
          <w:sz w:val="20"/>
        </w:rPr>
        <w:t xml:space="preserve">intend to apply including the procurement approach, management arrangements, </w:t>
      </w:r>
      <w:proofErr w:type="gramStart"/>
      <w:r w:rsidR="00935D26" w:rsidRPr="00351954">
        <w:rPr>
          <w:rFonts w:ascii="Verdana" w:hAnsi="Verdana" w:cs="Arial"/>
          <w:sz w:val="20"/>
        </w:rPr>
        <w:t>core</w:t>
      </w:r>
      <w:proofErr w:type="gramEnd"/>
      <w:r w:rsidR="00935D26" w:rsidRPr="00351954">
        <w:rPr>
          <w:rFonts w:ascii="Verdana" w:hAnsi="Verdana" w:cs="Arial"/>
          <w:sz w:val="20"/>
        </w:rPr>
        <w:t xml:space="preserve"> skills, expected use of operational partners and/or subcontractors, risk management approach and insurance arrangements. In doing so, </w:t>
      </w:r>
      <w:r w:rsidRPr="00351954">
        <w:rPr>
          <w:rFonts w:ascii="Verdana" w:hAnsi="Verdana" w:cs="Arial"/>
          <w:sz w:val="20"/>
        </w:rPr>
        <w:t xml:space="preserve">Qualifying Bidders are required to describe the relationship to the associated </w:t>
      </w:r>
      <w:r w:rsidR="00935D26" w:rsidRPr="00351954">
        <w:rPr>
          <w:rFonts w:ascii="Verdana" w:hAnsi="Verdana" w:cs="Arial"/>
          <w:sz w:val="20"/>
        </w:rPr>
        <w:t xml:space="preserve">O&amp;M assumptions and cost provisions </w:t>
      </w:r>
      <w:r w:rsidRPr="00351954">
        <w:rPr>
          <w:rFonts w:ascii="Verdana" w:hAnsi="Verdana" w:cs="Arial"/>
          <w:sz w:val="20"/>
        </w:rPr>
        <w:t xml:space="preserve">provided in response to Section 10.  </w:t>
      </w:r>
      <w:r w:rsidR="00935D26" w:rsidRPr="00351954">
        <w:rPr>
          <w:rFonts w:ascii="Verdana" w:hAnsi="Verdana" w:cs="Arial"/>
          <w:sz w:val="20"/>
        </w:rPr>
        <w:t xml:space="preserve"> </w:t>
      </w:r>
    </w:p>
    <w:p w:rsidR="00351954" w:rsidRPr="00351954" w:rsidRDefault="00351954" w:rsidP="006C469F">
      <w:pPr>
        <w:pStyle w:val="BodyText"/>
        <w:tabs>
          <w:tab w:val="clear" w:pos="709"/>
          <w:tab w:val="left" w:pos="0"/>
        </w:tabs>
        <w:rPr>
          <w:rFonts w:ascii="Verdana" w:hAnsi="Verdana" w:cs="Arial"/>
          <w:sz w:val="20"/>
        </w:rPr>
      </w:pPr>
      <w:r w:rsidRPr="00351954">
        <w:rPr>
          <w:rFonts w:ascii="Verdana" w:hAnsi="Verdana" w:cs="Arial"/>
          <w:sz w:val="20"/>
        </w:rPr>
        <w:t>In addition, Qualifying Bidders are required to provide:</w:t>
      </w:r>
    </w:p>
    <w:p w:rsidR="00351954" w:rsidRPr="00351954" w:rsidRDefault="00351954" w:rsidP="00794CF7">
      <w:pPr>
        <w:pStyle w:val="BodyText"/>
        <w:numPr>
          <w:ilvl w:val="0"/>
          <w:numId w:val="30"/>
        </w:numPr>
        <w:tabs>
          <w:tab w:val="clear" w:pos="709"/>
          <w:tab w:val="clear" w:pos="1559"/>
          <w:tab w:val="left" w:pos="0"/>
          <w:tab w:val="left" w:pos="1134"/>
        </w:tabs>
        <w:ind w:left="1134" w:hanging="567"/>
        <w:rPr>
          <w:rFonts w:ascii="Verdana" w:hAnsi="Verdana" w:cs="Arial"/>
          <w:sz w:val="20"/>
        </w:rPr>
      </w:pPr>
      <w:r w:rsidRPr="00351954">
        <w:rPr>
          <w:rFonts w:ascii="Verdana" w:hAnsi="Verdana" w:cs="Arial"/>
          <w:sz w:val="20"/>
        </w:rPr>
        <w:t>S</w:t>
      </w:r>
      <w:r w:rsidR="00935D26" w:rsidRPr="00351954">
        <w:rPr>
          <w:rFonts w:ascii="Verdana" w:hAnsi="Verdana" w:cs="Arial"/>
          <w:sz w:val="20"/>
        </w:rPr>
        <w:t xml:space="preserve">ite security requirements including statutory framework, liaison with enforcement agencies and other stakeholders; and </w:t>
      </w:r>
    </w:p>
    <w:p w:rsidR="00935D26" w:rsidRPr="00351954" w:rsidRDefault="00935D26" w:rsidP="00794CF7">
      <w:pPr>
        <w:pStyle w:val="BodyText"/>
        <w:numPr>
          <w:ilvl w:val="0"/>
          <w:numId w:val="30"/>
        </w:numPr>
        <w:tabs>
          <w:tab w:val="clear" w:pos="709"/>
          <w:tab w:val="clear" w:pos="1559"/>
          <w:tab w:val="left" w:pos="0"/>
          <w:tab w:val="left" w:pos="1134"/>
        </w:tabs>
        <w:ind w:left="1134" w:hanging="567"/>
        <w:rPr>
          <w:rFonts w:ascii="Verdana" w:hAnsi="Verdana" w:cs="Arial"/>
          <w:sz w:val="20"/>
        </w:rPr>
      </w:pPr>
      <w:r w:rsidRPr="00351954">
        <w:rPr>
          <w:rFonts w:ascii="Verdana" w:hAnsi="Verdana" w:cs="Arial"/>
          <w:sz w:val="20"/>
        </w:rPr>
        <w:t xml:space="preserve">The </w:t>
      </w:r>
      <w:proofErr w:type="gramStart"/>
      <w:r w:rsidRPr="00351954">
        <w:rPr>
          <w:rFonts w:ascii="Verdana" w:hAnsi="Verdana" w:cs="Arial"/>
          <w:sz w:val="20"/>
        </w:rPr>
        <w:t>emergency cover</w:t>
      </w:r>
      <w:proofErr w:type="gramEnd"/>
      <w:r w:rsidRPr="00351954">
        <w:rPr>
          <w:rFonts w:ascii="Verdana" w:hAnsi="Verdana" w:cs="Arial"/>
          <w:sz w:val="20"/>
        </w:rPr>
        <w:t xml:space="preserve"> requirements distinguishing between normal day to day operation and major failure events. </w:t>
      </w:r>
    </w:p>
    <w:p w:rsidR="00935D26" w:rsidRDefault="00935D26" w:rsidP="00935D26">
      <w:pPr>
        <w:pStyle w:val="BodyText"/>
        <w:tabs>
          <w:tab w:val="clear" w:pos="709"/>
          <w:tab w:val="left" w:pos="0"/>
        </w:tabs>
        <w:rPr>
          <w:rFonts w:ascii="Arial" w:hAnsi="Arial" w:cs="Arial"/>
        </w:rPr>
      </w:pPr>
    </w:p>
    <w:p w:rsidR="00935D26" w:rsidRPr="00351954" w:rsidRDefault="00935D26" w:rsidP="00794CF7">
      <w:pPr>
        <w:numPr>
          <w:ilvl w:val="0"/>
          <w:numId w:val="29"/>
        </w:numPr>
        <w:tabs>
          <w:tab w:val="clear" w:pos="709"/>
          <w:tab w:val="left" w:pos="284"/>
        </w:tabs>
        <w:ind w:left="284" w:hanging="284"/>
        <w:rPr>
          <w:rFonts w:ascii="Verdana" w:hAnsi="Verdana" w:cs="Arial"/>
          <w:iCs/>
          <w:sz w:val="20"/>
          <w:u w:val="single"/>
        </w:rPr>
      </w:pPr>
      <w:r w:rsidRPr="00351954">
        <w:rPr>
          <w:rFonts w:ascii="Verdana" w:hAnsi="Verdana" w:cs="Arial"/>
          <w:iCs/>
          <w:sz w:val="20"/>
          <w:u w:val="single"/>
        </w:rPr>
        <w:t xml:space="preserve">Statutory arrangements and reporting </w:t>
      </w:r>
    </w:p>
    <w:p w:rsidR="00351954" w:rsidRPr="00351954" w:rsidRDefault="00351954" w:rsidP="00935D26">
      <w:pPr>
        <w:rPr>
          <w:rFonts w:ascii="Verdana" w:hAnsi="Verdana" w:cs="Arial"/>
          <w:iCs/>
          <w:sz w:val="20"/>
        </w:rPr>
      </w:pPr>
    </w:p>
    <w:p w:rsidR="00935D26" w:rsidRPr="00351954" w:rsidRDefault="00935D26" w:rsidP="00935D26">
      <w:pPr>
        <w:rPr>
          <w:rFonts w:ascii="Verdana" w:hAnsi="Verdana" w:cs="Arial"/>
          <w:iCs/>
          <w:sz w:val="20"/>
        </w:rPr>
      </w:pPr>
      <w:r w:rsidRPr="00351954">
        <w:rPr>
          <w:rFonts w:ascii="Verdana" w:hAnsi="Verdana" w:cs="Arial"/>
          <w:iCs/>
          <w:sz w:val="20"/>
        </w:rPr>
        <w:t>Qualifying Bidder</w:t>
      </w:r>
      <w:r w:rsidR="00351954" w:rsidRPr="00351954">
        <w:rPr>
          <w:rFonts w:ascii="Verdana" w:hAnsi="Verdana" w:cs="Arial"/>
          <w:iCs/>
          <w:sz w:val="20"/>
        </w:rPr>
        <w:t xml:space="preserve">s are required to </w:t>
      </w:r>
      <w:r w:rsidRPr="00351954">
        <w:rPr>
          <w:rFonts w:ascii="Verdana" w:hAnsi="Verdana" w:cs="Arial"/>
          <w:iCs/>
          <w:sz w:val="20"/>
        </w:rPr>
        <w:t>provide a plan of how it would on a project specific basis manag</w:t>
      </w:r>
      <w:r w:rsidR="00351954" w:rsidRPr="00351954">
        <w:rPr>
          <w:rFonts w:ascii="Verdana" w:hAnsi="Verdana" w:cs="Arial"/>
          <w:iCs/>
          <w:sz w:val="20"/>
        </w:rPr>
        <w:t>e, monitor and review:</w:t>
      </w:r>
    </w:p>
    <w:p w:rsidR="00351954" w:rsidRPr="00351954" w:rsidRDefault="00935D26" w:rsidP="00794CF7">
      <w:pPr>
        <w:pStyle w:val="BodyText"/>
        <w:numPr>
          <w:ilvl w:val="0"/>
          <w:numId w:val="21"/>
        </w:numPr>
        <w:tabs>
          <w:tab w:val="clear" w:pos="709"/>
          <w:tab w:val="clear" w:pos="1559"/>
          <w:tab w:val="left" w:pos="0"/>
          <w:tab w:val="left" w:pos="1134"/>
        </w:tabs>
        <w:ind w:left="1134" w:hanging="567"/>
        <w:rPr>
          <w:rFonts w:ascii="Verdana" w:hAnsi="Verdana" w:cs="Arial"/>
          <w:sz w:val="20"/>
        </w:rPr>
      </w:pPr>
      <w:r w:rsidRPr="00351954">
        <w:rPr>
          <w:rFonts w:ascii="Verdana" w:hAnsi="Verdana" w:cs="Arial"/>
          <w:sz w:val="20"/>
        </w:rPr>
        <w:t xml:space="preserve">Compliance with all applicable health, safety and environmental legislation.   Details </w:t>
      </w:r>
      <w:r w:rsidR="00351954">
        <w:rPr>
          <w:rFonts w:ascii="Verdana" w:hAnsi="Verdana" w:cs="Arial"/>
          <w:sz w:val="20"/>
        </w:rPr>
        <w:t xml:space="preserve">must </w:t>
      </w:r>
      <w:r w:rsidRPr="00351954">
        <w:rPr>
          <w:rFonts w:ascii="Verdana" w:hAnsi="Verdana" w:cs="Arial"/>
          <w:sz w:val="20"/>
        </w:rPr>
        <w:t>be provided in relation to the key regulatory and enforcement bodies involved with safety, health and environmental (SHE) issues and the organisational and management structure (including functional teams such as a compliance team, audit team) that will be put in place to oversee, manage, communicate and review the SHE  compliance related matters of all parties involved (i</w:t>
      </w:r>
      <w:r w:rsidR="00351954">
        <w:rPr>
          <w:rFonts w:ascii="Verdana" w:hAnsi="Verdana" w:cs="Arial"/>
          <w:sz w:val="20"/>
        </w:rPr>
        <w:t>.</w:t>
      </w:r>
      <w:r w:rsidRPr="00351954">
        <w:rPr>
          <w:rFonts w:ascii="Verdana" w:hAnsi="Verdana" w:cs="Arial"/>
          <w:sz w:val="20"/>
        </w:rPr>
        <w:t>e</w:t>
      </w:r>
      <w:r w:rsidR="00351954">
        <w:rPr>
          <w:rFonts w:ascii="Verdana" w:hAnsi="Verdana" w:cs="Arial"/>
          <w:sz w:val="20"/>
        </w:rPr>
        <w:t>.</w:t>
      </w:r>
      <w:r w:rsidRPr="00351954">
        <w:rPr>
          <w:rFonts w:ascii="Verdana" w:hAnsi="Verdana" w:cs="Arial"/>
          <w:sz w:val="20"/>
        </w:rPr>
        <w:t xml:space="preserve"> employees, subcontractors and members of public); and</w:t>
      </w:r>
    </w:p>
    <w:p w:rsidR="00935D26" w:rsidRPr="00351954" w:rsidRDefault="00935D26" w:rsidP="00794CF7">
      <w:pPr>
        <w:pStyle w:val="BodyText"/>
        <w:numPr>
          <w:ilvl w:val="0"/>
          <w:numId w:val="21"/>
        </w:numPr>
        <w:tabs>
          <w:tab w:val="clear" w:pos="709"/>
          <w:tab w:val="clear" w:pos="1559"/>
          <w:tab w:val="left" w:pos="0"/>
          <w:tab w:val="left" w:pos="1134"/>
        </w:tabs>
        <w:ind w:left="1134" w:hanging="567"/>
        <w:rPr>
          <w:rFonts w:ascii="Verdana" w:hAnsi="Verdana" w:cs="Arial"/>
          <w:sz w:val="20"/>
        </w:rPr>
      </w:pPr>
      <w:r w:rsidRPr="00351954">
        <w:rPr>
          <w:rFonts w:ascii="Verdana" w:hAnsi="Verdana" w:cs="Arial"/>
          <w:sz w:val="20"/>
        </w:rPr>
        <w:lastRenderedPageBreak/>
        <w:t>Regulatory compliance (e</w:t>
      </w:r>
      <w:r w:rsidR="00351954">
        <w:rPr>
          <w:rFonts w:ascii="Verdana" w:hAnsi="Verdana" w:cs="Arial"/>
          <w:sz w:val="20"/>
        </w:rPr>
        <w:t>.</w:t>
      </w:r>
      <w:r w:rsidRPr="00351954">
        <w:rPr>
          <w:rFonts w:ascii="Verdana" w:hAnsi="Verdana" w:cs="Arial"/>
          <w:sz w:val="20"/>
        </w:rPr>
        <w:t>g</w:t>
      </w:r>
      <w:r w:rsidR="00351954">
        <w:rPr>
          <w:rFonts w:ascii="Verdana" w:hAnsi="Verdana" w:cs="Arial"/>
          <w:sz w:val="20"/>
        </w:rPr>
        <w:t>.</w:t>
      </w:r>
      <w:r w:rsidRPr="00351954">
        <w:rPr>
          <w:rFonts w:ascii="Verdana" w:hAnsi="Verdana" w:cs="Arial"/>
          <w:sz w:val="20"/>
        </w:rPr>
        <w:t xml:space="preserve"> </w:t>
      </w:r>
      <w:r w:rsidR="00351954">
        <w:rPr>
          <w:rFonts w:ascii="Verdana" w:hAnsi="Verdana" w:cs="Arial"/>
          <w:sz w:val="20"/>
        </w:rPr>
        <w:t xml:space="preserve">with the </w:t>
      </w:r>
      <w:r w:rsidRPr="00351954">
        <w:rPr>
          <w:rFonts w:ascii="Verdana" w:hAnsi="Verdana" w:cs="Arial"/>
          <w:sz w:val="20"/>
        </w:rPr>
        <w:t xml:space="preserve">OFTO licence and </w:t>
      </w:r>
      <w:r w:rsidR="00351954">
        <w:rPr>
          <w:rFonts w:ascii="Verdana" w:hAnsi="Verdana" w:cs="Arial"/>
          <w:sz w:val="20"/>
        </w:rPr>
        <w:t xml:space="preserve">relevant industry </w:t>
      </w:r>
      <w:r w:rsidRPr="00351954">
        <w:rPr>
          <w:rFonts w:ascii="Verdana" w:hAnsi="Verdana" w:cs="Arial"/>
          <w:sz w:val="20"/>
        </w:rPr>
        <w:t xml:space="preserve">codes) and reporting. Details </w:t>
      </w:r>
      <w:r w:rsidR="00351954">
        <w:rPr>
          <w:rFonts w:ascii="Verdana" w:hAnsi="Verdana" w:cs="Arial"/>
          <w:sz w:val="20"/>
        </w:rPr>
        <w:t xml:space="preserve">must </w:t>
      </w:r>
      <w:r w:rsidRPr="00351954">
        <w:rPr>
          <w:rFonts w:ascii="Verdana" w:hAnsi="Verdana" w:cs="Arial"/>
          <w:sz w:val="20"/>
        </w:rPr>
        <w:t xml:space="preserve">be provided in relation to the organisational and management </w:t>
      </w:r>
      <w:r w:rsidR="007E3C98" w:rsidRPr="00351954">
        <w:rPr>
          <w:rFonts w:ascii="Verdana" w:hAnsi="Verdana" w:cs="Arial"/>
          <w:sz w:val="20"/>
        </w:rPr>
        <w:t>structures</w:t>
      </w:r>
      <w:r w:rsidRPr="00351954">
        <w:rPr>
          <w:rFonts w:ascii="Verdana" w:hAnsi="Verdana" w:cs="Arial"/>
          <w:sz w:val="20"/>
        </w:rPr>
        <w:t xml:space="preserve"> for the project and procedures that will be put in place to oversee, manage, communicate and review the regulatory compliance and reporting related matters both internally and externally. </w:t>
      </w:r>
      <w:r w:rsidR="00351954">
        <w:rPr>
          <w:rFonts w:ascii="Verdana" w:hAnsi="Verdana" w:cs="Arial"/>
          <w:sz w:val="20"/>
        </w:rPr>
        <w:t xml:space="preserve"> As part of the response to this, Qualifying Bidders must explain how </w:t>
      </w:r>
      <w:r w:rsidRPr="00351954">
        <w:rPr>
          <w:rFonts w:ascii="Verdana" w:hAnsi="Verdana" w:cs="Arial"/>
          <w:sz w:val="20"/>
        </w:rPr>
        <w:t xml:space="preserve">the O&amp;M </w:t>
      </w:r>
      <w:proofErr w:type="spellStart"/>
      <w:r w:rsidR="00351954">
        <w:rPr>
          <w:rFonts w:ascii="Verdana" w:hAnsi="Verdana" w:cs="Arial"/>
          <w:sz w:val="20"/>
        </w:rPr>
        <w:t>provisons</w:t>
      </w:r>
      <w:proofErr w:type="spellEnd"/>
      <w:r w:rsidR="00351954">
        <w:rPr>
          <w:rFonts w:ascii="Verdana" w:hAnsi="Verdana" w:cs="Arial"/>
          <w:sz w:val="20"/>
        </w:rPr>
        <w:t xml:space="preserve"> </w:t>
      </w:r>
      <w:r w:rsidRPr="00351954">
        <w:rPr>
          <w:rFonts w:ascii="Verdana" w:hAnsi="Verdana" w:cs="Arial"/>
          <w:sz w:val="20"/>
        </w:rPr>
        <w:t xml:space="preserve">will relate to the performance incentive under the </w:t>
      </w:r>
      <w:r w:rsidR="00351954">
        <w:rPr>
          <w:rFonts w:ascii="Verdana" w:hAnsi="Verdana" w:cs="Arial"/>
          <w:sz w:val="20"/>
        </w:rPr>
        <w:t xml:space="preserve">OFTO </w:t>
      </w:r>
      <w:r w:rsidRPr="00351954">
        <w:rPr>
          <w:rFonts w:ascii="Verdana" w:hAnsi="Verdana" w:cs="Arial"/>
          <w:sz w:val="20"/>
        </w:rPr>
        <w:t>licence</w:t>
      </w:r>
      <w:r w:rsidR="00351954">
        <w:rPr>
          <w:rFonts w:ascii="Verdana" w:hAnsi="Verdana" w:cs="Arial"/>
          <w:sz w:val="20"/>
        </w:rPr>
        <w:t>.</w:t>
      </w:r>
    </w:p>
    <w:p w:rsidR="00334514" w:rsidRPr="00176B4C" w:rsidRDefault="00334514" w:rsidP="00935D26">
      <w:pPr>
        <w:pStyle w:val="BodyText"/>
        <w:tabs>
          <w:tab w:val="clear" w:pos="709"/>
          <w:tab w:val="left" w:pos="0"/>
        </w:tabs>
        <w:ind w:left="720"/>
        <w:rPr>
          <w:sz w:val="18"/>
          <w:szCs w:val="18"/>
        </w:rPr>
      </w:pPr>
    </w:p>
    <w:p w:rsidR="00F804F8" w:rsidRDefault="00935D26" w:rsidP="00F804F8">
      <w:pPr>
        <w:rPr>
          <w:rFonts w:ascii="Verdana" w:hAnsi="Verdana" w:cs="Arial"/>
          <w:i/>
          <w:iCs/>
          <w:sz w:val="20"/>
        </w:rPr>
      </w:pPr>
      <w:r w:rsidRPr="00F804F8">
        <w:rPr>
          <w:rFonts w:ascii="Verdana" w:hAnsi="Verdana" w:cs="Arial"/>
          <w:b/>
          <w:bCs/>
          <w:sz w:val="20"/>
        </w:rPr>
        <w:t xml:space="preserve">Section 4: Decommissioning </w:t>
      </w:r>
    </w:p>
    <w:p w:rsidR="00334514" w:rsidRPr="003B0CBC" w:rsidRDefault="00334514" w:rsidP="00334514">
      <w:pPr>
        <w:pStyle w:val="BodyText"/>
        <w:tabs>
          <w:tab w:val="clear" w:pos="709"/>
          <w:tab w:val="left" w:pos="0"/>
        </w:tabs>
        <w:rPr>
          <w:rFonts w:ascii="Verdana" w:hAnsi="Verdana"/>
          <w:i/>
          <w:sz w:val="20"/>
        </w:rPr>
      </w:pPr>
      <w:r w:rsidRPr="003B0CBC">
        <w:rPr>
          <w:rFonts w:ascii="Verdana" w:hAnsi="Verdana"/>
          <w:i/>
          <w:sz w:val="20"/>
        </w:rPr>
        <w:t xml:space="preserve">The response to this section should be provided in no more than </w:t>
      </w:r>
      <w:r>
        <w:rPr>
          <w:rFonts w:ascii="Verdana" w:hAnsi="Verdana"/>
          <w:i/>
          <w:sz w:val="20"/>
        </w:rPr>
        <w:t>6</w:t>
      </w:r>
      <w:r w:rsidRPr="003B0CBC">
        <w:rPr>
          <w:rFonts w:ascii="Verdana" w:hAnsi="Verdana"/>
          <w:i/>
          <w:sz w:val="20"/>
        </w:rPr>
        <w:t xml:space="preserve"> pages.</w:t>
      </w:r>
      <w:r>
        <w:rPr>
          <w:rFonts w:ascii="Verdana" w:hAnsi="Verdana"/>
          <w:i/>
          <w:sz w:val="20"/>
        </w:rPr>
        <w:t xml:space="preserve">  Supporting information may be provided in separate appendices.</w:t>
      </w:r>
    </w:p>
    <w:p w:rsidR="00F804F8" w:rsidRPr="00F804F8" w:rsidRDefault="00F804F8" w:rsidP="00F804F8">
      <w:pPr>
        <w:rPr>
          <w:rFonts w:ascii="Verdana" w:hAnsi="Verdana" w:cs="Arial"/>
          <w:i/>
          <w:iCs/>
          <w:sz w:val="20"/>
        </w:rPr>
      </w:pPr>
      <w:r w:rsidRPr="00935D26">
        <w:rPr>
          <w:rFonts w:ascii="Verdana" w:hAnsi="Verdana" w:cs="Arial"/>
          <w:iCs/>
          <w:sz w:val="20"/>
        </w:rPr>
        <w:t xml:space="preserve">Qualifying Bidders are required to provide the following in relation to the </w:t>
      </w:r>
      <w:r>
        <w:rPr>
          <w:rFonts w:ascii="Verdana" w:hAnsi="Verdana" w:cs="Arial"/>
          <w:iCs/>
          <w:sz w:val="20"/>
        </w:rPr>
        <w:t xml:space="preserve">decommissioning of the </w:t>
      </w:r>
      <w:r w:rsidRPr="00935D26">
        <w:rPr>
          <w:rFonts w:ascii="Verdana" w:hAnsi="Verdana" w:cs="Arial"/>
          <w:iCs/>
          <w:sz w:val="20"/>
        </w:rPr>
        <w:t>OFTO</w:t>
      </w:r>
      <w:r>
        <w:rPr>
          <w:rFonts w:ascii="Verdana" w:hAnsi="Verdana" w:cs="Arial"/>
          <w:iCs/>
          <w:sz w:val="20"/>
        </w:rPr>
        <w:t xml:space="preserve"> assets</w:t>
      </w:r>
      <w:r w:rsidRPr="00935D26">
        <w:rPr>
          <w:rFonts w:ascii="Verdana" w:hAnsi="Verdana" w:cs="Arial"/>
          <w:b/>
          <w:iCs/>
          <w:sz w:val="20"/>
        </w:rPr>
        <w:t>:</w:t>
      </w:r>
    </w:p>
    <w:p w:rsidR="00935D26" w:rsidRPr="00F804F8" w:rsidRDefault="00935D26" w:rsidP="00935D26">
      <w:pPr>
        <w:rPr>
          <w:rFonts w:ascii="Verdana" w:hAnsi="Verdana" w:cs="Arial"/>
          <w:b/>
          <w:bCs/>
          <w:sz w:val="20"/>
        </w:rPr>
      </w:pPr>
    </w:p>
    <w:p w:rsidR="00935D26" w:rsidRPr="00F804F8" w:rsidRDefault="00F804F8" w:rsidP="00794CF7">
      <w:pPr>
        <w:pStyle w:val="ListParagraph"/>
        <w:numPr>
          <w:ilvl w:val="0"/>
          <w:numId w:val="14"/>
        </w:numPr>
        <w:jc w:val="both"/>
        <w:rPr>
          <w:rFonts w:ascii="Verdana" w:hAnsi="Verdana" w:cs="Arial"/>
          <w:sz w:val="20"/>
          <w:szCs w:val="20"/>
        </w:rPr>
      </w:pPr>
      <w:r w:rsidRPr="00F804F8">
        <w:rPr>
          <w:rFonts w:ascii="Verdana" w:hAnsi="Verdana" w:cs="Arial"/>
          <w:sz w:val="20"/>
          <w:szCs w:val="20"/>
        </w:rPr>
        <w:t>Qualifying Bidders are required to p</w:t>
      </w:r>
      <w:r w:rsidR="00935D26" w:rsidRPr="00F804F8">
        <w:rPr>
          <w:rFonts w:ascii="Verdana" w:hAnsi="Verdana" w:cs="Arial"/>
          <w:sz w:val="20"/>
          <w:szCs w:val="20"/>
        </w:rPr>
        <w:t xml:space="preserve">rovide a plan setting out </w:t>
      </w:r>
      <w:r w:rsidRPr="00F804F8">
        <w:rPr>
          <w:rFonts w:ascii="Verdana" w:hAnsi="Verdana" w:cs="Arial"/>
          <w:sz w:val="20"/>
          <w:szCs w:val="20"/>
        </w:rPr>
        <w:t xml:space="preserve">the </w:t>
      </w:r>
      <w:r w:rsidR="00935D26" w:rsidRPr="00F804F8">
        <w:rPr>
          <w:rFonts w:ascii="Verdana" w:hAnsi="Verdana" w:cs="Arial"/>
          <w:sz w:val="20"/>
          <w:szCs w:val="20"/>
        </w:rPr>
        <w:t xml:space="preserve">approach to decommissioning for the relevant Qualifying Project. Details </w:t>
      </w:r>
      <w:r w:rsidRPr="00F804F8">
        <w:rPr>
          <w:rFonts w:ascii="Verdana" w:hAnsi="Verdana" w:cs="Arial"/>
          <w:sz w:val="20"/>
          <w:szCs w:val="20"/>
        </w:rPr>
        <w:t xml:space="preserve">must </w:t>
      </w:r>
      <w:r w:rsidR="00935D26" w:rsidRPr="00F804F8">
        <w:rPr>
          <w:rFonts w:ascii="Verdana" w:hAnsi="Verdana" w:cs="Arial"/>
          <w:sz w:val="20"/>
          <w:szCs w:val="20"/>
        </w:rPr>
        <w:t>be provided in relation to:</w:t>
      </w:r>
    </w:p>
    <w:p w:rsidR="00F804F8" w:rsidRPr="00F804F8" w:rsidRDefault="00F804F8" w:rsidP="00F804F8">
      <w:pPr>
        <w:pStyle w:val="ListParagraph"/>
        <w:ind w:left="360"/>
        <w:jc w:val="both"/>
        <w:rPr>
          <w:rFonts w:ascii="Verdana" w:hAnsi="Verdana" w:cs="Arial"/>
          <w:sz w:val="20"/>
          <w:szCs w:val="20"/>
        </w:rPr>
      </w:pPr>
    </w:p>
    <w:p w:rsidR="00935D26" w:rsidRPr="00F804F8" w:rsidRDefault="00935D26" w:rsidP="00794CF7">
      <w:pPr>
        <w:pStyle w:val="ListParagraph"/>
        <w:numPr>
          <w:ilvl w:val="0"/>
          <w:numId w:val="15"/>
        </w:numPr>
        <w:jc w:val="both"/>
        <w:rPr>
          <w:rFonts w:ascii="Verdana" w:hAnsi="Verdana" w:cs="Arial"/>
          <w:sz w:val="20"/>
          <w:szCs w:val="20"/>
        </w:rPr>
      </w:pPr>
      <w:r w:rsidRPr="00F804F8">
        <w:rPr>
          <w:rFonts w:ascii="Verdana" w:hAnsi="Verdana" w:cs="Arial"/>
          <w:sz w:val="20"/>
          <w:szCs w:val="20"/>
        </w:rPr>
        <w:t xml:space="preserve">the process and stakeholder engagement that the Qualifying Bidder </w:t>
      </w:r>
      <w:r w:rsidR="00F804F8" w:rsidRPr="00F804F8">
        <w:rPr>
          <w:rFonts w:ascii="Verdana" w:hAnsi="Verdana" w:cs="Arial"/>
          <w:sz w:val="20"/>
          <w:szCs w:val="20"/>
        </w:rPr>
        <w:t>would</w:t>
      </w:r>
      <w:r w:rsidRPr="00F804F8">
        <w:rPr>
          <w:rFonts w:ascii="Verdana" w:hAnsi="Verdana" w:cs="Arial"/>
          <w:sz w:val="20"/>
          <w:szCs w:val="20"/>
        </w:rPr>
        <w:t xml:space="preserve"> adopt in its approach to development of a decommissioning plan and its implementation; and </w:t>
      </w:r>
    </w:p>
    <w:p w:rsidR="00F804F8" w:rsidRPr="00F804F8" w:rsidRDefault="00F804F8" w:rsidP="00F804F8">
      <w:pPr>
        <w:pStyle w:val="ListParagraph"/>
        <w:jc w:val="both"/>
        <w:rPr>
          <w:rFonts w:ascii="Verdana" w:hAnsi="Verdana" w:cs="Arial"/>
          <w:sz w:val="20"/>
          <w:szCs w:val="20"/>
        </w:rPr>
      </w:pPr>
    </w:p>
    <w:p w:rsidR="00935D26" w:rsidRPr="00F804F8" w:rsidRDefault="00935D26" w:rsidP="00794CF7">
      <w:pPr>
        <w:pStyle w:val="ListParagraph"/>
        <w:numPr>
          <w:ilvl w:val="0"/>
          <w:numId w:val="15"/>
        </w:numPr>
        <w:jc w:val="both"/>
        <w:rPr>
          <w:rFonts w:ascii="Verdana" w:hAnsi="Verdana" w:cs="Arial"/>
          <w:sz w:val="20"/>
          <w:szCs w:val="20"/>
        </w:rPr>
      </w:pPr>
      <w:proofErr w:type="gramStart"/>
      <w:r w:rsidRPr="00F804F8">
        <w:rPr>
          <w:rFonts w:ascii="Verdana" w:hAnsi="Verdana" w:cs="Arial"/>
          <w:sz w:val="20"/>
          <w:szCs w:val="20"/>
        </w:rPr>
        <w:t>the</w:t>
      </w:r>
      <w:proofErr w:type="gramEnd"/>
      <w:r w:rsidRPr="00F804F8">
        <w:rPr>
          <w:rFonts w:ascii="Verdana" w:hAnsi="Verdana" w:cs="Arial"/>
          <w:sz w:val="20"/>
          <w:szCs w:val="20"/>
        </w:rPr>
        <w:t xml:space="preserve"> existing or proposed (as applicable) technical and environmental approach to decommissioning of </w:t>
      </w:r>
      <w:r w:rsidR="00F804F8" w:rsidRPr="00F804F8">
        <w:rPr>
          <w:rFonts w:ascii="Verdana" w:hAnsi="Verdana" w:cs="Arial"/>
          <w:sz w:val="20"/>
          <w:szCs w:val="20"/>
        </w:rPr>
        <w:t xml:space="preserve">the </w:t>
      </w:r>
      <w:r w:rsidRPr="00F804F8">
        <w:rPr>
          <w:rFonts w:ascii="Verdana" w:hAnsi="Verdana" w:cs="Arial"/>
          <w:sz w:val="20"/>
          <w:szCs w:val="20"/>
        </w:rPr>
        <w:t xml:space="preserve">transmission </w:t>
      </w:r>
      <w:r w:rsidR="00F804F8" w:rsidRPr="00F804F8">
        <w:rPr>
          <w:rFonts w:ascii="Verdana" w:hAnsi="Verdana" w:cs="Arial"/>
          <w:sz w:val="20"/>
          <w:szCs w:val="20"/>
        </w:rPr>
        <w:t xml:space="preserve">assets (both </w:t>
      </w:r>
      <w:r w:rsidRPr="00F804F8">
        <w:rPr>
          <w:rFonts w:ascii="Verdana" w:hAnsi="Verdana" w:cs="Arial"/>
          <w:sz w:val="20"/>
          <w:szCs w:val="20"/>
        </w:rPr>
        <w:t xml:space="preserve">onshore and offshore).  </w:t>
      </w:r>
    </w:p>
    <w:p w:rsidR="00B633EC" w:rsidRDefault="00B633EC" w:rsidP="00B633EC">
      <w:pPr>
        <w:pStyle w:val="ListParagraph"/>
        <w:ind w:left="360"/>
        <w:jc w:val="both"/>
        <w:rPr>
          <w:rFonts w:ascii="Verdana" w:hAnsi="Verdana" w:cs="Arial"/>
          <w:sz w:val="20"/>
          <w:szCs w:val="20"/>
        </w:rPr>
      </w:pPr>
    </w:p>
    <w:p w:rsidR="00935D26" w:rsidRPr="00F804F8" w:rsidRDefault="00935D26" w:rsidP="00794CF7">
      <w:pPr>
        <w:pStyle w:val="ListParagraph"/>
        <w:numPr>
          <w:ilvl w:val="0"/>
          <w:numId w:val="14"/>
        </w:numPr>
        <w:jc w:val="both"/>
        <w:rPr>
          <w:rFonts w:ascii="Verdana" w:hAnsi="Verdana" w:cs="Arial"/>
          <w:sz w:val="20"/>
          <w:szCs w:val="20"/>
        </w:rPr>
      </w:pPr>
      <w:r w:rsidRPr="00F804F8">
        <w:rPr>
          <w:rFonts w:ascii="Verdana" w:hAnsi="Verdana" w:cs="Arial"/>
          <w:sz w:val="20"/>
          <w:szCs w:val="20"/>
        </w:rPr>
        <w:t>Qualifying Bidder</w:t>
      </w:r>
      <w:r w:rsidR="00B97509">
        <w:rPr>
          <w:rFonts w:ascii="Verdana" w:hAnsi="Verdana" w:cs="Arial"/>
          <w:sz w:val="20"/>
          <w:szCs w:val="20"/>
        </w:rPr>
        <w:t>s</w:t>
      </w:r>
      <w:r w:rsidRPr="00F804F8">
        <w:rPr>
          <w:rFonts w:ascii="Verdana" w:hAnsi="Verdana" w:cs="Arial"/>
          <w:sz w:val="20"/>
          <w:szCs w:val="20"/>
        </w:rPr>
        <w:t xml:space="preserve"> </w:t>
      </w:r>
      <w:r w:rsidR="00F804F8" w:rsidRPr="00F804F8">
        <w:rPr>
          <w:rFonts w:ascii="Verdana" w:hAnsi="Verdana" w:cs="Arial"/>
          <w:sz w:val="20"/>
          <w:szCs w:val="20"/>
        </w:rPr>
        <w:t xml:space="preserve">are required, </w:t>
      </w:r>
      <w:r w:rsidRPr="00F804F8">
        <w:rPr>
          <w:rFonts w:ascii="Verdana" w:hAnsi="Verdana" w:cs="Arial"/>
          <w:sz w:val="20"/>
          <w:szCs w:val="20"/>
        </w:rPr>
        <w:t xml:space="preserve">where relevant, </w:t>
      </w:r>
      <w:r w:rsidR="00F804F8" w:rsidRPr="00F804F8">
        <w:rPr>
          <w:rFonts w:ascii="Verdana" w:hAnsi="Verdana" w:cs="Arial"/>
          <w:sz w:val="20"/>
          <w:szCs w:val="20"/>
        </w:rPr>
        <w:t xml:space="preserve">to </w:t>
      </w:r>
      <w:r w:rsidRPr="00F804F8">
        <w:rPr>
          <w:rFonts w:ascii="Verdana" w:hAnsi="Verdana" w:cs="Arial"/>
          <w:sz w:val="20"/>
          <w:szCs w:val="20"/>
        </w:rPr>
        <w:t xml:space="preserve">provide an outline of how and when it would plan and manage any decommissioning liabilities at the end of the 20 year </w:t>
      </w:r>
      <w:r w:rsidR="00F804F8" w:rsidRPr="00F804F8">
        <w:rPr>
          <w:rFonts w:ascii="Verdana" w:hAnsi="Verdana" w:cs="Arial"/>
          <w:sz w:val="20"/>
          <w:szCs w:val="20"/>
        </w:rPr>
        <w:t>revenue</w:t>
      </w:r>
      <w:r w:rsidRPr="00F804F8">
        <w:rPr>
          <w:rFonts w:ascii="Verdana" w:hAnsi="Verdana" w:cs="Arial"/>
          <w:sz w:val="20"/>
          <w:szCs w:val="20"/>
        </w:rPr>
        <w:t xml:space="preserve"> period. </w:t>
      </w:r>
      <w:r w:rsidR="00F804F8" w:rsidRPr="00F804F8">
        <w:rPr>
          <w:rFonts w:ascii="Verdana" w:hAnsi="Verdana" w:cs="Arial"/>
          <w:sz w:val="20"/>
          <w:szCs w:val="20"/>
        </w:rPr>
        <w:t xml:space="preserve"> </w:t>
      </w:r>
      <w:r w:rsidRPr="00F804F8">
        <w:rPr>
          <w:rFonts w:ascii="Verdana" w:hAnsi="Verdana" w:cs="Arial"/>
          <w:sz w:val="20"/>
          <w:szCs w:val="20"/>
        </w:rPr>
        <w:t xml:space="preserve">Details should be provided in relation to the Qualifying Bidder’s proposals for any unlicensed entity required for delivery of decommissioning work at the end of </w:t>
      </w:r>
      <w:r w:rsidR="00F804F8" w:rsidRPr="00F804F8">
        <w:rPr>
          <w:rFonts w:ascii="Verdana" w:hAnsi="Verdana" w:cs="Arial"/>
          <w:sz w:val="20"/>
          <w:szCs w:val="20"/>
        </w:rPr>
        <w:t xml:space="preserve">this </w:t>
      </w:r>
      <w:r w:rsidRPr="00F804F8">
        <w:rPr>
          <w:rFonts w:ascii="Verdana" w:hAnsi="Verdana" w:cs="Arial"/>
          <w:sz w:val="20"/>
          <w:szCs w:val="20"/>
        </w:rPr>
        <w:t xml:space="preserve">period. </w:t>
      </w:r>
    </w:p>
    <w:p w:rsidR="00F804F8" w:rsidRDefault="00F804F8" w:rsidP="00F804F8">
      <w:pPr>
        <w:pStyle w:val="ListParagraph"/>
        <w:ind w:left="0"/>
        <w:jc w:val="both"/>
        <w:rPr>
          <w:rFonts w:ascii="Arial" w:hAnsi="Arial" w:cs="Arial"/>
        </w:rPr>
      </w:pPr>
    </w:p>
    <w:p w:rsidR="007D1133" w:rsidRPr="00757832" w:rsidRDefault="00586100" w:rsidP="00A05AB7">
      <w:pPr>
        <w:pStyle w:val="ListParagraph"/>
        <w:ind w:left="0"/>
        <w:rPr>
          <w:rFonts w:ascii="Verdana" w:hAnsi="Verdana" w:cs="Arial"/>
          <w:b/>
          <w:sz w:val="20"/>
          <w:szCs w:val="20"/>
          <w:u w:val="single"/>
        </w:rPr>
      </w:pPr>
      <w:r>
        <w:rPr>
          <w:rFonts w:ascii="Verdana" w:hAnsi="Verdana" w:cs="Arial"/>
          <w:b/>
          <w:sz w:val="20"/>
          <w:szCs w:val="20"/>
          <w:u w:val="single"/>
        </w:rPr>
        <w:t>FINANCIAL DELIVERABILITY</w:t>
      </w:r>
    </w:p>
    <w:p w:rsidR="00586100" w:rsidRPr="00586100" w:rsidRDefault="00586100" w:rsidP="004C0DD0">
      <w:pPr>
        <w:pStyle w:val="Heading4"/>
        <w:numPr>
          <w:ilvl w:val="0"/>
          <w:numId w:val="0"/>
        </w:numPr>
        <w:tabs>
          <w:tab w:val="clear" w:pos="2268"/>
          <w:tab w:val="left" w:pos="720"/>
          <w:tab w:val="left" w:pos="1560"/>
        </w:tabs>
        <w:rPr>
          <w:rFonts w:ascii="Verdana" w:eastAsia="Times New Roman" w:hAnsi="Verdana"/>
          <w:b/>
          <w:sz w:val="20"/>
        </w:rPr>
      </w:pPr>
      <w:r w:rsidRPr="00586100">
        <w:rPr>
          <w:rFonts w:ascii="Verdana" w:eastAsia="Times New Roman" w:hAnsi="Verdana"/>
          <w:b/>
          <w:sz w:val="20"/>
        </w:rPr>
        <w:t>Section 5: Financial Deliverability</w:t>
      </w:r>
    </w:p>
    <w:p w:rsidR="0097335F" w:rsidRPr="00EE290F" w:rsidRDefault="0097335F" w:rsidP="004C0DD0">
      <w:pPr>
        <w:pStyle w:val="Heading4"/>
        <w:numPr>
          <w:ilvl w:val="0"/>
          <w:numId w:val="0"/>
        </w:numPr>
        <w:tabs>
          <w:tab w:val="clear" w:pos="2268"/>
          <w:tab w:val="left" w:pos="720"/>
          <w:tab w:val="left" w:pos="1560"/>
        </w:tabs>
        <w:rPr>
          <w:rFonts w:ascii="Verdana" w:eastAsia="Times New Roman" w:hAnsi="Verdana"/>
          <w:sz w:val="20"/>
        </w:rPr>
      </w:pPr>
      <w:r w:rsidRPr="00EE290F">
        <w:rPr>
          <w:rFonts w:ascii="Verdana" w:eastAsia="Times New Roman" w:hAnsi="Verdana"/>
          <w:sz w:val="20"/>
        </w:rPr>
        <w:t>All Qualifying Bidders are required to provide respons</w:t>
      </w:r>
      <w:r w:rsidR="00586100" w:rsidRPr="00EE290F">
        <w:rPr>
          <w:rFonts w:ascii="Verdana" w:eastAsia="Times New Roman" w:hAnsi="Verdana"/>
          <w:sz w:val="20"/>
        </w:rPr>
        <w:t>es to the following General Finance section</w:t>
      </w:r>
      <w:r w:rsidRPr="00EE290F">
        <w:rPr>
          <w:rFonts w:ascii="Verdana" w:eastAsia="Times New Roman" w:hAnsi="Verdana"/>
          <w:sz w:val="20"/>
        </w:rPr>
        <w:t>:</w:t>
      </w:r>
    </w:p>
    <w:p w:rsidR="004C0DD0" w:rsidRPr="00EE290F" w:rsidRDefault="00586100" w:rsidP="004C0DD0">
      <w:pPr>
        <w:pStyle w:val="Heading4"/>
        <w:numPr>
          <w:ilvl w:val="0"/>
          <w:numId w:val="0"/>
        </w:numPr>
        <w:tabs>
          <w:tab w:val="clear" w:pos="2268"/>
          <w:tab w:val="left" w:pos="720"/>
          <w:tab w:val="left" w:pos="1560"/>
        </w:tabs>
        <w:rPr>
          <w:rFonts w:ascii="Verdana" w:eastAsia="Times New Roman" w:hAnsi="Verdana"/>
          <w:sz w:val="20"/>
          <w:u w:val="single"/>
        </w:rPr>
      </w:pPr>
      <w:r w:rsidRPr="00EE290F">
        <w:rPr>
          <w:rFonts w:ascii="Verdana" w:eastAsia="Times New Roman" w:hAnsi="Verdana"/>
          <w:sz w:val="20"/>
          <w:u w:val="single"/>
        </w:rPr>
        <w:t>General Finance Requirements</w:t>
      </w:r>
    </w:p>
    <w:p w:rsidR="00586100" w:rsidRPr="00EE290F" w:rsidRDefault="0097335F" w:rsidP="00756CA6">
      <w:pPr>
        <w:pStyle w:val="Heading7"/>
        <w:numPr>
          <w:ilvl w:val="0"/>
          <w:numId w:val="56"/>
        </w:numPr>
        <w:tabs>
          <w:tab w:val="clear" w:pos="4394"/>
          <w:tab w:val="clear" w:pos="8789"/>
          <w:tab w:val="right" w:pos="993"/>
        </w:tabs>
        <w:ind w:left="993" w:hanging="273"/>
        <w:rPr>
          <w:rFonts w:ascii="Verdana" w:hAnsi="Verdana"/>
          <w:sz w:val="20"/>
        </w:rPr>
      </w:pPr>
      <w:r w:rsidRPr="00EE290F">
        <w:rPr>
          <w:rFonts w:ascii="Verdana" w:hAnsi="Verdana"/>
          <w:sz w:val="20"/>
        </w:rPr>
        <w:t xml:space="preserve">Qualifying Bidders must provide a statement that the Tender Revenue Stream is in accordance with the </w:t>
      </w:r>
      <w:r w:rsidR="002562CD">
        <w:rPr>
          <w:rFonts w:ascii="Verdana" w:hAnsi="Verdana"/>
          <w:sz w:val="20"/>
        </w:rPr>
        <w:t>Qualifying B</w:t>
      </w:r>
      <w:r w:rsidRPr="00EE290F">
        <w:rPr>
          <w:rFonts w:ascii="Verdana" w:hAnsi="Verdana"/>
          <w:sz w:val="20"/>
        </w:rPr>
        <w:t>idders</w:t>
      </w:r>
      <w:r w:rsidR="002562CD">
        <w:rPr>
          <w:rFonts w:ascii="Verdana" w:hAnsi="Verdana"/>
          <w:sz w:val="20"/>
        </w:rPr>
        <w:t>’</w:t>
      </w:r>
      <w:r w:rsidRPr="00EE290F">
        <w:rPr>
          <w:rFonts w:ascii="Verdana" w:hAnsi="Verdana"/>
          <w:sz w:val="20"/>
        </w:rPr>
        <w:t xml:space="preserve"> own financial model and </w:t>
      </w:r>
      <w:r w:rsidR="002562CD">
        <w:rPr>
          <w:rFonts w:ascii="Verdana" w:hAnsi="Verdana"/>
          <w:sz w:val="20"/>
        </w:rPr>
        <w:t>that it reflect the t</w:t>
      </w:r>
      <w:r w:rsidRPr="00EE290F">
        <w:rPr>
          <w:rFonts w:ascii="Verdana" w:hAnsi="Verdana"/>
          <w:sz w:val="20"/>
        </w:rPr>
        <w:t xml:space="preserve">erms of funders. </w:t>
      </w:r>
      <w:r w:rsidR="002562CD">
        <w:rPr>
          <w:rFonts w:ascii="Verdana" w:hAnsi="Verdana"/>
          <w:sz w:val="20"/>
        </w:rPr>
        <w:t xml:space="preserve"> </w:t>
      </w:r>
      <w:r w:rsidRPr="00EE290F">
        <w:rPr>
          <w:rFonts w:ascii="Verdana" w:hAnsi="Verdana"/>
          <w:sz w:val="20"/>
        </w:rPr>
        <w:t xml:space="preserve">Any errors on such matters are entirely for the Qualifying Bidders’ own liability.  </w:t>
      </w:r>
    </w:p>
    <w:p w:rsidR="00586100" w:rsidRPr="00EE290F" w:rsidRDefault="0097335F" w:rsidP="00756CA6">
      <w:pPr>
        <w:pStyle w:val="Heading7"/>
        <w:numPr>
          <w:ilvl w:val="0"/>
          <w:numId w:val="56"/>
        </w:numPr>
        <w:tabs>
          <w:tab w:val="clear" w:pos="4394"/>
          <w:tab w:val="clear" w:pos="8789"/>
          <w:tab w:val="right" w:pos="993"/>
        </w:tabs>
        <w:ind w:left="993" w:hanging="273"/>
        <w:rPr>
          <w:rFonts w:ascii="Verdana" w:hAnsi="Verdana"/>
          <w:sz w:val="20"/>
        </w:rPr>
      </w:pPr>
      <w:r w:rsidRPr="00EE290F">
        <w:rPr>
          <w:rFonts w:ascii="Verdana" w:hAnsi="Verdana"/>
          <w:sz w:val="20"/>
        </w:rPr>
        <w:t>Qualifying Bidders must identify the lead bank on any proposed swaps</w:t>
      </w:r>
      <w:r w:rsidR="00434EC0">
        <w:rPr>
          <w:rFonts w:ascii="Verdana" w:hAnsi="Verdana"/>
          <w:sz w:val="20"/>
        </w:rPr>
        <w:t>.</w:t>
      </w:r>
    </w:p>
    <w:p w:rsidR="00AE6854" w:rsidRDefault="0097335F" w:rsidP="00756CA6">
      <w:pPr>
        <w:pStyle w:val="Heading7"/>
        <w:numPr>
          <w:ilvl w:val="0"/>
          <w:numId w:val="56"/>
        </w:numPr>
        <w:tabs>
          <w:tab w:val="clear" w:pos="4394"/>
          <w:tab w:val="clear" w:pos="8789"/>
          <w:tab w:val="right" w:pos="993"/>
        </w:tabs>
        <w:ind w:left="993" w:hanging="273"/>
        <w:rPr>
          <w:rFonts w:ascii="Verdana" w:hAnsi="Verdana"/>
          <w:sz w:val="20"/>
        </w:rPr>
      </w:pPr>
      <w:r w:rsidRPr="00EE290F">
        <w:rPr>
          <w:rFonts w:ascii="Verdana" w:hAnsi="Verdana"/>
          <w:sz w:val="20"/>
        </w:rPr>
        <w:t xml:space="preserve">Qualifying Bidders </w:t>
      </w:r>
      <w:r w:rsidR="00434EC0">
        <w:rPr>
          <w:rFonts w:ascii="Verdana" w:hAnsi="Verdana"/>
          <w:sz w:val="20"/>
        </w:rPr>
        <w:t xml:space="preserve">are required to </w:t>
      </w:r>
      <w:r w:rsidRPr="00EE290F">
        <w:rPr>
          <w:rFonts w:ascii="Verdana" w:hAnsi="Verdana"/>
          <w:sz w:val="20"/>
        </w:rPr>
        <w:t xml:space="preserve">provide a detailed plan for how they will achieve final credit approvals and/or board approvals within the six to eight week period </w:t>
      </w:r>
      <w:r w:rsidR="00DD1F89">
        <w:rPr>
          <w:rFonts w:ascii="Verdana" w:hAnsi="Verdana"/>
          <w:sz w:val="20"/>
        </w:rPr>
        <w:t xml:space="preserve">for all sources of finance </w:t>
      </w:r>
      <w:r w:rsidRPr="00EE290F">
        <w:rPr>
          <w:rFonts w:ascii="Verdana" w:hAnsi="Verdana"/>
          <w:sz w:val="20"/>
        </w:rPr>
        <w:t>(as set out in the Asset Transfer Guidance Note).</w:t>
      </w:r>
    </w:p>
    <w:p w:rsidR="00586100" w:rsidRPr="00EE290F" w:rsidRDefault="00AE6854" w:rsidP="00756CA6">
      <w:pPr>
        <w:pStyle w:val="Heading7"/>
        <w:numPr>
          <w:ilvl w:val="0"/>
          <w:numId w:val="56"/>
        </w:numPr>
        <w:tabs>
          <w:tab w:val="clear" w:pos="4394"/>
          <w:tab w:val="clear" w:pos="8789"/>
          <w:tab w:val="right" w:pos="993"/>
        </w:tabs>
        <w:ind w:left="993" w:hanging="273"/>
        <w:rPr>
          <w:rFonts w:ascii="Verdana" w:hAnsi="Verdana"/>
          <w:sz w:val="20"/>
        </w:rPr>
      </w:pPr>
      <w:r w:rsidRPr="00EE290F">
        <w:rPr>
          <w:rFonts w:ascii="Verdana" w:hAnsi="Verdana"/>
          <w:sz w:val="20"/>
        </w:rPr>
        <w:lastRenderedPageBreak/>
        <w:t>Qualifying Bidders are required to identify the due diligence undertaken.  Ofgem expects that this will include technical, legal and financial due diligence.  Qualifying Bidders must also provide their confirmatory due diligence plan, indicating activities required to be undertaken with appropriate timescales.</w:t>
      </w:r>
      <w:r>
        <w:rPr>
          <w:rFonts w:ascii="Verdana" w:hAnsi="Verdana"/>
          <w:sz w:val="20"/>
        </w:rPr>
        <w:t xml:space="preserve">  </w:t>
      </w:r>
    </w:p>
    <w:p w:rsidR="00586100" w:rsidRPr="00EE290F" w:rsidRDefault="00434EC0" w:rsidP="00756CA6">
      <w:pPr>
        <w:pStyle w:val="Heading7"/>
        <w:numPr>
          <w:ilvl w:val="0"/>
          <w:numId w:val="56"/>
        </w:numPr>
        <w:tabs>
          <w:tab w:val="clear" w:pos="4394"/>
          <w:tab w:val="clear" w:pos="8789"/>
          <w:tab w:val="right" w:pos="993"/>
        </w:tabs>
        <w:ind w:left="993" w:hanging="273"/>
        <w:rPr>
          <w:rFonts w:ascii="Verdana" w:hAnsi="Verdana"/>
          <w:sz w:val="20"/>
        </w:rPr>
      </w:pPr>
      <w:r>
        <w:rPr>
          <w:rFonts w:ascii="Verdana" w:hAnsi="Verdana"/>
          <w:sz w:val="20"/>
        </w:rPr>
        <w:t xml:space="preserve">Qualifying Bidders are required to provide their </w:t>
      </w:r>
      <w:r w:rsidR="0097335F" w:rsidRPr="00EE290F">
        <w:rPr>
          <w:rFonts w:ascii="Verdana" w:hAnsi="Verdana"/>
          <w:sz w:val="20"/>
        </w:rPr>
        <w:t xml:space="preserve">approach to funding contingency related events, such as potential delays to the Estimated Transfer Date and potential liquidity constraints.  </w:t>
      </w:r>
      <w:proofErr w:type="gramStart"/>
      <w:r w:rsidR="0097335F" w:rsidRPr="00EE290F">
        <w:rPr>
          <w:rFonts w:ascii="Verdana" w:hAnsi="Verdana"/>
          <w:sz w:val="20"/>
        </w:rPr>
        <w:t>Where applicable Qualifying Bidders should include reference to Letters of Support which may apply in the response to this question.</w:t>
      </w:r>
      <w:proofErr w:type="gramEnd"/>
      <w:r w:rsidR="0097335F" w:rsidRPr="00EE290F">
        <w:rPr>
          <w:rFonts w:ascii="Verdana" w:hAnsi="Verdana"/>
          <w:sz w:val="20"/>
        </w:rPr>
        <w:t xml:space="preserve">  </w:t>
      </w:r>
    </w:p>
    <w:p w:rsidR="005C335D" w:rsidRPr="00AE6854" w:rsidRDefault="00434EC0" w:rsidP="00756CA6">
      <w:pPr>
        <w:pStyle w:val="Heading7"/>
        <w:numPr>
          <w:ilvl w:val="0"/>
          <w:numId w:val="56"/>
        </w:numPr>
        <w:tabs>
          <w:tab w:val="clear" w:pos="4394"/>
          <w:tab w:val="clear" w:pos="8789"/>
          <w:tab w:val="right" w:pos="993"/>
        </w:tabs>
        <w:ind w:left="993" w:hanging="273"/>
        <w:rPr>
          <w:rFonts w:ascii="Verdana" w:hAnsi="Verdana"/>
          <w:sz w:val="20"/>
        </w:rPr>
      </w:pPr>
      <w:r>
        <w:rPr>
          <w:rFonts w:ascii="Verdana" w:hAnsi="Verdana"/>
          <w:sz w:val="20"/>
        </w:rPr>
        <w:t xml:space="preserve">Qualifying Bidders are required to provide </w:t>
      </w:r>
      <w:r w:rsidR="0097335F" w:rsidRPr="00EE290F">
        <w:rPr>
          <w:rFonts w:ascii="Verdana" w:hAnsi="Verdana"/>
          <w:sz w:val="20"/>
        </w:rPr>
        <w:t xml:space="preserve">a description of how </w:t>
      </w:r>
      <w:r>
        <w:rPr>
          <w:rFonts w:ascii="Verdana" w:hAnsi="Verdana"/>
          <w:sz w:val="20"/>
        </w:rPr>
        <w:t xml:space="preserve">they </w:t>
      </w:r>
      <w:r w:rsidR="0097335F" w:rsidRPr="00EE290F">
        <w:rPr>
          <w:rFonts w:ascii="Verdana" w:hAnsi="Verdana"/>
          <w:sz w:val="20"/>
        </w:rPr>
        <w:t xml:space="preserve">would manage any additional call for debt and or equity based on </w:t>
      </w:r>
      <w:proofErr w:type="spellStart"/>
      <w:r w:rsidR="007E3C98" w:rsidRPr="00EE290F">
        <w:rPr>
          <w:rFonts w:ascii="Verdana" w:hAnsi="Verdana"/>
          <w:sz w:val="20"/>
        </w:rPr>
        <w:t>Ofgem</w:t>
      </w:r>
      <w:r w:rsidR="007E3C98">
        <w:rPr>
          <w:rFonts w:ascii="Verdana" w:hAnsi="Verdana"/>
          <w:sz w:val="20"/>
        </w:rPr>
        <w:t>'</w:t>
      </w:r>
      <w:r w:rsidR="007E3C98" w:rsidRPr="00EE290F">
        <w:rPr>
          <w:rFonts w:ascii="Verdana" w:hAnsi="Verdana"/>
          <w:sz w:val="20"/>
        </w:rPr>
        <w:t>s</w:t>
      </w:r>
      <w:proofErr w:type="spellEnd"/>
      <w:r w:rsidR="0097335F" w:rsidRPr="00EE290F">
        <w:rPr>
          <w:rFonts w:ascii="Verdana" w:hAnsi="Verdana"/>
          <w:sz w:val="20"/>
        </w:rPr>
        <w:t xml:space="preserve"> determination of the </w:t>
      </w:r>
      <w:r w:rsidR="00DD1F89">
        <w:rPr>
          <w:rFonts w:ascii="Verdana" w:hAnsi="Verdana"/>
          <w:sz w:val="20"/>
        </w:rPr>
        <w:t>F</w:t>
      </w:r>
      <w:r w:rsidR="0097335F" w:rsidRPr="00EE290F">
        <w:rPr>
          <w:rFonts w:ascii="Verdana" w:hAnsi="Verdana"/>
          <w:sz w:val="20"/>
        </w:rPr>
        <w:t xml:space="preserve">inal </w:t>
      </w:r>
      <w:r w:rsidR="00DD1F89">
        <w:rPr>
          <w:rFonts w:ascii="Verdana" w:hAnsi="Verdana"/>
          <w:sz w:val="20"/>
        </w:rPr>
        <w:t>T</w:t>
      </w:r>
      <w:r w:rsidR="0097335F" w:rsidRPr="00EE290F">
        <w:rPr>
          <w:rFonts w:ascii="Verdana" w:hAnsi="Verdana"/>
          <w:sz w:val="20"/>
        </w:rPr>
        <w:t xml:space="preserve">ransfer </w:t>
      </w:r>
      <w:r w:rsidR="00DD1F89">
        <w:rPr>
          <w:rFonts w:ascii="Verdana" w:hAnsi="Verdana"/>
          <w:sz w:val="20"/>
        </w:rPr>
        <w:t>V</w:t>
      </w:r>
      <w:r w:rsidR="0097335F" w:rsidRPr="00EE290F">
        <w:rPr>
          <w:rFonts w:ascii="Verdana" w:hAnsi="Verdana"/>
          <w:sz w:val="20"/>
        </w:rPr>
        <w:t>alue post asset transfer.</w:t>
      </w:r>
    </w:p>
    <w:p w:rsidR="002562CD" w:rsidRPr="008F62A8" w:rsidRDefault="005C335D" w:rsidP="00756CA6">
      <w:pPr>
        <w:pStyle w:val="Heading7"/>
        <w:numPr>
          <w:ilvl w:val="0"/>
          <w:numId w:val="56"/>
        </w:numPr>
        <w:tabs>
          <w:tab w:val="clear" w:pos="4394"/>
          <w:tab w:val="clear" w:pos="8789"/>
          <w:tab w:val="right" w:pos="993"/>
        </w:tabs>
        <w:ind w:left="993" w:hanging="273"/>
        <w:rPr>
          <w:rFonts w:ascii="Verdana" w:hAnsi="Verdana"/>
          <w:sz w:val="20"/>
        </w:rPr>
      </w:pPr>
      <w:r>
        <w:rPr>
          <w:rFonts w:ascii="Verdana" w:hAnsi="Verdana"/>
          <w:sz w:val="20"/>
        </w:rPr>
        <w:t xml:space="preserve">Qualifying Bidders are required to set out their approach </w:t>
      </w:r>
      <w:r w:rsidRPr="008F62A8">
        <w:rPr>
          <w:rFonts w:ascii="Verdana" w:hAnsi="Verdana"/>
          <w:sz w:val="20"/>
        </w:rPr>
        <w:t>to</w:t>
      </w:r>
      <w:r w:rsidR="008F62A8" w:rsidRPr="008F62A8">
        <w:rPr>
          <w:rFonts w:ascii="Verdana" w:hAnsi="Verdana"/>
          <w:sz w:val="20"/>
        </w:rPr>
        <w:t xml:space="preserve"> address</w:t>
      </w:r>
      <w:r w:rsidR="00756CA6">
        <w:rPr>
          <w:rFonts w:ascii="Verdana" w:hAnsi="Verdana"/>
          <w:sz w:val="20"/>
        </w:rPr>
        <w:t>ing</w:t>
      </w:r>
      <w:r w:rsidR="008F62A8" w:rsidRPr="008F62A8">
        <w:rPr>
          <w:rFonts w:ascii="Verdana" w:hAnsi="Verdana"/>
          <w:sz w:val="20"/>
        </w:rPr>
        <w:t xml:space="preserve"> licence condition E11 on credit rating and the associated </w:t>
      </w:r>
      <w:r w:rsidR="00AE6854">
        <w:rPr>
          <w:rFonts w:ascii="Verdana" w:hAnsi="Verdana"/>
          <w:sz w:val="20"/>
        </w:rPr>
        <w:t>indebtedness conditions in</w:t>
      </w:r>
      <w:r w:rsidR="008F62A8" w:rsidRPr="008F62A8">
        <w:rPr>
          <w:rFonts w:ascii="Verdana" w:hAnsi="Verdana"/>
          <w:sz w:val="20"/>
        </w:rPr>
        <w:t xml:space="preserve"> E10. In particular the need to enable special administration arrangements by the Secretary of State to be applicable to the proposed licensee company (</w:t>
      </w:r>
      <w:r w:rsidR="007E3C98" w:rsidRPr="008F62A8">
        <w:rPr>
          <w:rFonts w:ascii="Verdana" w:hAnsi="Verdana"/>
          <w:sz w:val="20"/>
        </w:rPr>
        <w:t>e.g.</w:t>
      </w:r>
      <w:r w:rsidR="008F62A8" w:rsidRPr="008F62A8">
        <w:rPr>
          <w:rFonts w:ascii="Verdana" w:hAnsi="Verdana"/>
          <w:sz w:val="20"/>
        </w:rPr>
        <w:t xml:space="preserve"> by the SPV </w:t>
      </w:r>
      <w:r w:rsidR="008F62A8">
        <w:rPr>
          <w:rFonts w:ascii="Verdana" w:hAnsi="Verdana"/>
          <w:sz w:val="20"/>
        </w:rPr>
        <w:t>being a UK registered company).</w:t>
      </w:r>
      <w:r w:rsidR="008F62A8" w:rsidRPr="008F62A8">
        <w:rPr>
          <w:rFonts w:ascii="Verdana" w:hAnsi="Verdana"/>
          <w:sz w:val="20"/>
        </w:rPr>
        <w:t xml:space="preserve">  </w:t>
      </w:r>
      <w:r w:rsidRPr="008F62A8">
        <w:rPr>
          <w:rFonts w:ascii="Verdana" w:hAnsi="Verdana"/>
          <w:sz w:val="20"/>
        </w:rPr>
        <w:t xml:space="preserve">  </w:t>
      </w:r>
    </w:p>
    <w:p w:rsidR="009B794C" w:rsidRDefault="002562CD" w:rsidP="00756CA6">
      <w:pPr>
        <w:pStyle w:val="Heading7"/>
        <w:numPr>
          <w:ilvl w:val="0"/>
          <w:numId w:val="56"/>
        </w:numPr>
        <w:tabs>
          <w:tab w:val="clear" w:pos="4394"/>
          <w:tab w:val="clear" w:pos="8789"/>
          <w:tab w:val="right" w:pos="993"/>
        </w:tabs>
        <w:ind w:left="993" w:hanging="273"/>
        <w:rPr>
          <w:rFonts w:ascii="Verdana" w:hAnsi="Verdana"/>
          <w:sz w:val="20"/>
        </w:rPr>
      </w:pPr>
      <w:r w:rsidRPr="002562CD">
        <w:rPr>
          <w:rFonts w:ascii="Verdana" w:hAnsi="Verdana"/>
          <w:sz w:val="20"/>
        </w:rPr>
        <w:t>Qualifying Bidders are required to set out their approach to satisfying Standard Licence Condition E17 of the Offshore Electricity Transmission Licence</w:t>
      </w:r>
      <w:r>
        <w:rPr>
          <w:rFonts w:ascii="Verdana" w:hAnsi="Verdana"/>
          <w:sz w:val="20"/>
        </w:rPr>
        <w:t>,</w:t>
      </w:r>
      <w:r w:rsidRPr="002562CD">
        <w:rPr>
          <w:rFonts w:ascii="Verdana" w:hAnsi="Verdana"/>
          <w:sz w:val="20"/>
        </w:rPr>
        <w:t xml:space="preserve"> that an OFTO fund incremental investments at any point over the period of the licence, at a value of up to 20% of the Final Transfer Value of the Qualifying Project.</w:t>
      </w:r>
    </w:p>
    <w:p w:rsidR="00FE3E93" w:rsidRDefault="002562CD" w:rsidP="00756CA6">
      <w:pPr>
        <w:pStyle w:val="Heading7"/>
        <w:numPr>
          <w:ilvl w:val="0"/>
          <w:numId w:val="56"/>
        </w:numPr>
        <w:tabs>
          <w:tab w:val="clear" w:pos="4394"/>
          <w:tab w:val="clear" w:pos="8789"/>
          <w:tab w:val="right" w:pos="993"/>
        </w:tabs>
        <w:ind w:left="993" w:hanging="273"/>
        <w:rPr>
          <w:rFonts w:ascii="Verdana" w:hAnsi="Verdana"/>
          <w:sz w:val="20"/>
        </w:rPr>
      </w:pPr>
      <w:r w:rsidRPr="002562CD">
        <w:rPr>
          <w:rFonts w:ascii="Verdana" w:hAnsi="Verdana"/>
          <w:sz w:val="20"/>
        </w:rPr>
        <w:t>Qualifying Bidders are required to set out their approach to complying with Standard Licence Condition E7</w:t>
      </w:r>
      <w:r w:rsidR="00AE6854">
        <w:rPr>
          <w:rFonts w:ascii="Verdana" w:hAnsi="Verdana"/>
          <w:sz w:val="20"/>
        </w:rPr>
        <w:t xml:space="preserve"> financial ring-fencing,</w:t>
      </w:r>
      <w:r w:rsidRPr="002562CD">
        <w:rPr>
          <w:rFonts w:ascii="Verdana" w:hAnsi="Verdana"/>
          <w:sz w:val="20"/>
        </w:rPr>
        <w:t xml:space="preserve"> of the Offshore Electricity Transmission Licence.</w:t>
      </w:r>
      <w:r w:rsidR="00FE3E93">
        <w:rPr>
          <w:rFonts w:ascii="Verdana" w:hAnsi="Verdana"/>
          <w:sz w:val="20"/>
        </w:rPr>
        <w:t xml:space="preserve">   </w:t>
      </w:r>
    </w:p>
    <w:p w:rsidR="00FE3E93" w:rsidRPr="00FE3E93" w:rsidRDefault="00334514" w:rsidP="00756CA6">
      <w:pPr>
        <w:pStyle w:val="Heading7"/>
        <w:numPr>
          <w:ilvl w:val="0"/>
          <w:numId w:val="56"/>
        </w:numPr>
        <w:tabs>
          <w:tab w:val="clear" w:pos="4394"/>
          <w:tab w:val="clear" w:pos="8789"/>
          <w:tab w:val="right" w:pos="993"/>
        </w:tabs>
        <w:ind w:left="993" w:hanging="273"/>
        <w:rPr>
          <w:rFonts w:ascii="Verdana" w:hAnsi="Verdana"/>
          <w:sz w:val="20"/>
        </w:rPr>
      </w:pPr>
      <w:r w:rsidRPr="00A05AB7">
        <w:rPr>
          <w:rFonts w:ascii="Verdana" w:hAnsi="Verdana"/>
          <w:sz w:val="20"/>
        </w:rPr>
        <w:t>Qualifying Bidders are required to provide a statement outlining the approach and principles adopted regarding Accounting treatment and Taxation.</w:t>
      </w:r>
    </w:p>
    <w:p w:rsidR="00FE3E93" w:rsidRPr="00756CA6" w:rsidRDefault="00FE3E93" w:rsidP="00756CA6">
      <w:pPr>
        <w:pStyle w:val="Heading7"/>
        <w:numPr>
          <w:ilvl w:val="0"/>
          <w:numId w:val="56"/>
        </w:numPr>
        <w:tabs>
          <w:tab w:val="clear" w:pos="4394"/>
          <w:tab w:val="clear" w:pos="8789"/>
          <w:tab w:val="right" w:pos="993"/>
        </w:tabs>
        <w:ind w:left="993" w:hanging="273"/>
        <w:rPr>
          <w:rFonts w:ascii="Verdana" w:hAnsi="Verdana"/>
          <w:sz w:val="20"/>
        </w:rPr>
      </w:pPr>
      <w:r w:rsidRPr="00756CA6">
        <w:rPr>
          <w:rFonts w:ascii="Verdana" w:hAnsi="Verdana"/>
          <w:sz w:val="20"/>
        </w:rPr>
        <w:t>All accounting and tax assumptions made by bidders are at their own risk and each bidder must undertake not to pass on any costs of changing its accounting and / or tax assumptions within its Financial Model.</w:t>
      </w:r>
    </w:p>
    <w:p w:rsidR="00FE3E93" w:rsidRPr="00FE3E93" w:rsidRDefault="00FE3E93" w:rsidP="00FE3E93">
      <w:pPr>
        <w:pStyle w:val="BodyText"/>
      </w:pPr>
    </w:p>
    <w:p w:rsidR="0097335F" w:rsidRPr="00EE290F" w:rsidRDefault="0097335F" w:rsidP="0097335F">
      <w:pPr>
        <w:pStyle w:val="BodyText"/>
        <w:rPr>
          <w:rFonts w:ascii="Verdana" w:hAnsi="Verdana"/>
          <w:sz w:val="20"/>
        </w:rPr>
      </w:pPr>
      <w:r w:rsidRPr="00EE290F">
        <w:rPr>
          <w:rFonts w:ascii="Verdana" w:hAnsi="Verdana"/>
          <w:sz w:val="20"/>
        </w:rPr>
        <w:t>In addition to the above, Qualifying Bidders are also required to respond to the relevant sub-sections below:</w:t>
      </w:r>
    </w:p>
    <w:p w:rsidR="0097335F" w:rsidRPr="00EE290F" w:rsidRDefault="00586100" w:rsidP="0097335F">
      <w:pPr>
        <w:pStyle w:val="BodyText"/>
        <w:rPr>
          <w:rFonts w:ascii="Verdana" w:hAnsi="Verdana"/>
          <w:sz w:val="20"/>
          <w:u w:val="single"/>
        </w:rPr>
      </w:pPr>
      <w:r w:rsidRPr="00EE290F">
        <w:rPr>
          <w:rFonts w:ascii="Verdana" w:hAnsi="Verdana"/>
          <w:sz w:val="20"/>
          <w:u w:val="single"/>
        </w:rPr>
        <w:t>Qualifying Project Specific Requirements</w:t>
      </w:r>
    </w:p>
    <w:p w:rsidR="0097335F" w:rsidRDefault="0097335F" w:rsidP="0097335F">
      <w:pPr>
        <w:pStyle w:val="Heading3"/>
        <w:numPr>
          <w:ilvl w:val="0"/>
          <w:numId w:val="0"/>
        </w:numPr>
      </w:pPr>
      <w:r>
        <w:rPr>
          <w:rFonts w:ascii="Verdana" w:hAnsi="Verdana"/>
          <w:sz w:val="20"/>
        </w:rPr>
        <w:t xml:space="preserve">Qualifying Bidders should respond </w:t>
      </w:r>
      <w:r>
        <w:rPr>
          <w:rFonts w:ascii="Verdana" w:hAnsi="Verdana"/>
          <w:b/>
          <w:sz w:val="20"/>
        </w:rPr>
        <w:t xml:space="preserve">only </w:t>
      </w:r>
      <w:r>
        <w:rPr>
          <w:rFonts w:ascii="Verdana" w:hAnsi="Verdana"/>
          <w:sz w:val="20"/>
        </w:rPr>
        <w:t xml:space="preserve">to Part A for </w:t>
      </w:r>
      <w:r w:rsidR="00586100">
        <w:rPr>
          <w:rFonts w:ascii="Verdana" w:hAnsi="Verdana"/>
          <w:sz w:val="20"/>
        </w:rPr>
        <w:t xml:space="preserve">the </w:t>
      </w:r>
      <w:r>
        <w:rPr>
          <w:rFonts w:ascii="Verdana" w:hAnsi="Verdana"/>
          <w:sz w:val="20"/>
        </w:rPr>
        <w:t xml:space="preserve">Qualifying Projects listed below, which </w:t>
      </w:r>
      <w:r w:rsidR="00586100">
        <w:rPr>
          <w:rFonts w:ascii="Verdana" w:hAnsi="Verdana"/>
          <w:sz w:val="20"/>
        </w:rPr>
        <w:t>are</w:t>
      </w:r>
      <w:r>
        <w:rPr>
          <w:rFonts w:ascii="Verdana" w:hAnsi="Verdana"/>
          <w:sz w:val="20"/>
        </w:rPr>
        <w:t xml:space="preserve"> those </w:t>
      </w:r>
      <w:r w:rsidR="00586100">
        <w:rPr>
          <w:rFonts w:ascii="Verdana" w:hAnsi="Verdana"/>
          <w:sz w:val="20"/>
        </w:rPr>
        <w:t xml:space="preserve">Qualifying Projects </w:t>
      </w:r>
      <w:r>
        <w:rPr>
          <w:rFonts w:ascii="Verdana" w:hAnsi="Verdana"/>
          <w:sz w:val="20"/>
        </w:rPr>
        <w:t xml:space="preserve">which are </w:t>
      </w:r>
      <w:r w:rsidR="00586100">
        <w:rPr>
          <w:rFonts w:ascii="Verdana" w:hAnsi="Verdana"/>
          <w:sz w:val="20"/>
        </w:rPr>
        <w:t xml:space="preserve">or </w:t>
      </w:r>
      <w:r w:rsidR="00DD1F89">
        <w:rPr>
          <w:rFonts w:ascii="Verdana" w:hAnsi="Verdana"/>
          <w:sz w:val="20"/>
        </w:rPr>
        <w:t>are expected to b</w:t>
      </w:r>
      <w:r w:rsidR="00586100">
        <w:rPr>
          <w:rFonts w:ascii="Verdana" w:hAnsi="Verdana"/>
          <w:sz w:val="20"/>
        </w:rPr>
        <w:t xml:space="preserve">e </w:t>
      </w:r>
      <w:r>
        <w:rPr>
          <w:rFonts w:ascii="Verdana" w:hAnsi="Verdana"/>
          <w:sz w:val="20"/>
        </w:rPr>
        <w:t xml:space="preserve">commissioned and fully operational at </w:t>
      </w:r>
      <w:r w:rsidR="00586100">
        <w:rPr>
          <w:rFonts w:ascii="Verdana" w:hAnsi="Verdana"/>
          <w:sz w:val="20"/>
        </w:rPr>
        <w:t xml:space="preserve">the </w:t>
      </w:r>
      <w:r>
        <w:rPr>
          <w:rFonts w:ascii="Verdana" w:hAnsi="Verdana"/>
          <w:sz w:val="20"/>
        </w:rPr>
        <w:t>Go Live</w:t>
      </w:r>
      <w:r w:rsidR="00586100">
        <w:rPr>
          <w:rFonts w:ascii="Verdana" w:hAnsi="Verdana"/>
          <w:sz w:val="20"/>
        </w:rPr>
        <w:t xml:space="preserve"> date for the offshore transmission regime:</w:t>
      </w:r>
    </w:p>
    <w:p w:rsidR="0097335F" w:rsidRPr="0097335F" w:rsidRDefault="0097335F" w:rsidP="00794CF7">
      <w:pPr>
        <w:pStyle w:val="BodyText"/>
        <w:numPr>
          <w:ilvl w:val="0"/>
          <w:numId w:val="23"/>
        </w:numPr>
        <w:rPr>
          <w:rFonts w:ascii="Verdana" w:hAnsi="Verdana"/>
          <w:sz w:val="20"/>
        </w:rPr>
      </w:pPr>
      <w:r w:rsidRPr="0097335F">
        <w:rPr>
          <w:rFonts w:ascii="Verdana" w:hAnsi="Verdana"/>
          <w:sz w:val="20"/>
        </w:rPr>
        <w:t>Barrow</w:t>
      </w:r>
    </w:p>
    <w:p w:rsidR="0097335F" w:rsidRPr="0097335F" w:rsidRDefault="0097335F" w:rsidP="00794CF7">
      <w:pPr>
        <w:pStyle w:val="BodyText"/>
        <w:numPr>
          <w:ilvl w:val="0"/>
          <w:numId w:val="23"/>
        </w:numPr>
        <w:rPr>
          <w:rFonts w:ascii="Verdana" w:hAnsi="Verdana"/>
          <w:sz w:val="20"/>
        </w:rPr>
      </w:pPr>
      <w:proofErr w:type="spellStart"/>
      <w:r w:rsidRPr="0097335F">
        <w:rPr>
          <w:rFonts w:ascii="Verdana" w:hAnsi="Verdana"/>
          <w:sz w:val="20"/>
        </w:rPr>
        <w:t>Gunfleet</w:t>
      </w:r>
      <w:proofErr w:type="spellEnd"/>
      <w:r w:rsidRPr="0097335F">
        <w:rPr>
          <w:rFonts w:ascii="Verdana" w:hAnsi="Verdana"/>
          <w:sz w:val="20"/>
        </w:rPr>
        <w:t xml:space="preserve"> Sands</w:t>
      </w:r>
    </w:p>
    <w:p w:rsidR="0097335F" w:rsidRPr="0097335F" w:rsidRDefault="0097335F" w:rsidP="00794CF7">
      <w:pPr>
        <w:pStyle w:val="BodyText"/>
        <w:numPr>
          <w:ilvl w:val="0"/>
          <w:numId w:val="23"/>
        </w:numPr>
        <w:rPr>
          <w:rFonts w:ascii="Verdana" w:hAnsi="Verdana"/>
          <w:sz w:val="20"/>
        </w:rPr>
      </w:pPr>
      <w:r w:rsidRPr="0097335F">
        <w:rPr>
          <w:rFonts w:ascii="Verdana" w:hAnsi="Verdana"/>
          <w:sz w:val="20"/>
        </w:rPr>
        <w:t xml:space="preserve">Robin </w:t>
      </w:r>
      <w:proofErr w:type="spellStart"/>
      <w:r w:rsidRPr="0097335F">
        <w:rPr>
          <w:rFonts w:ascii="Verdana" w:hAnsi="Verdana"/>
          <w:sz w:val="20"/>
        </w:rPr>
        <w:t>Rigg</w:t>
      </w:r>
      <w:proofErr w:type="spellEnd"/>
    </w:p>
    <w:p w:rsidR="0097335F" w:rsidRPr="0097335F" w:rsidRDefault="0097335F" w:rsidP="00794CF7">
      <w:pPr>
        <w:pStyle w:val="BodyText"/>
        <w:numPr>
          <w:ilvl w:val="0"/>
          <w:numId w:val="23"/>
        </w:numPr>
        <w:rPr>
          <w:rFonts w:ascii="Verdana" w:hAnsi="Verdana"/>
          <w:sz w:val="20"/>
        </w:rPr>
      </w:pPr>
      <w:r w:rsidRPr="0097335F">
        <w:rPr>
          <w:rFonts w:ascii="Verdana" w:hAnsi="Verdana"/>
          <w:sz w:val="20"/>
        </w:rPr>
        <w:t>Thanet</w:t>
      </w:r>
    </w:p>
    <w:p w:rsidR="0097335F" w:rsidRDefault="0097335F" w:rsidP="0097335F">
      <w:pPr>
        <w:pStyle w:val="BodyText"/>
      </w:pPr>
    </w:p>
    <w:p w:rsidR="0097335F" w:rsidRPr="0097335F" w:rsidRDefault="0097335F" w:rsidP="0097335F">
      <w:pPr>
        <w:pStyle w:val="BodyText"/>
        <w:rPr>
          <w:rFonts w:ascii="Verdana" w:hAnsi="Verdana"/>
          <w:sz w:val="20"/>
        </w:rPr>
      </w:pPr>
      <w:r w:rsidRPr="0097335F">
        <w:rPr>
          <w:rFonts w:ascii="Verdana" w:hAnsi="Verdana"/>
          <w:sz w:val="20"/>
        </w:rPr>
        <w:t xml:space="preserve">Qualifying Bidders should respond </w:t>
      </w:r>
      <w:r w:rsidRPr="0097335F">
        <w:rPr>
          <w:rFonts w:ascii="Verdana" w:hAnsi="Verdana"/>
          <w:b/>
          <w:sz w:val="20"/>
        </w:rPr>
        <w:t xml:space="preserve">only </w:t>
      </w:r>
      <w:r w:rsidRPr="0097335F">
        <w:rPr>
          <w:rFonts w:ascii="Verdana" w:hAnsi="Verdana"/>
          <w:sz w:val="20"/>
        </w:rPr>
        <w:t>to</w:t>
      </w:r>
      <w:r w:rsidRPr="0097335F">
        <w:rPr>
          <w:rFonts w:ascii="Verdana" w:hAnsi="Verdana"/>
          <w:b/>
          <w:sz w:val="20"/>
        </w:rPr>
        <w:t xml:space="preserve"> </w:t>
      </w:r>
      <w:r>
        <w:rPr>
          <w:rFonts w:ascii="Verdana" w:hAnsi="Verdana"/>
          <w:sz w:val="20"/>
        </w:rPr>
        <w:t>P</w:t>
      </w:r>
      <w:r w:rsidRPr="0097335F">
        <w:rPr>
          <w:rFonts w:ascii="Verdana" w:hAnsi="Verdana"/>
          <w:sz w:val="20"/>
        </w:rPr>
        <w:t xml:space="preserve">art B for </w:t>
      </w:r>
      <w:r w:rsidR="00586100">
        <w:rPr>
          <w:rFonts w:ascii="Verdana" w:hAnsi="Verdana"/>
          <w:sz w:val="20"/>
        </w:rPr>
        <w:t xml:space="preserve">the </w:t>
      </w:r>
      <w:r w:rsidRPr="0097335F">
        <w:rPr>
          <w:rFonts w:ascii="Verdana" w:hAnsi="Verdana"/>
          <w:sz w:val="20"/>
        </w:rPr>
        <w:t xml:space="preserve">Qualifying Projects listed below, which </w:t>
      </w:r>
      <w:r w:rsidR="00586100">
        <w:rPr>
          <w:rFonts w:ascii="Verdana" w:hAnsi="Verdana"/>
          <w:sz w:val="20"/>
        </w:rPr>
        <w:t xml:space="preserve">are </w:t>
      </w:r>
      <w:r w:rsidRPr="0097335F">
        <w:rPr>
          <w:rFonts w:ascii="Verdana" w:hAnsi="Verdana"/>
          <w:sz w:val="20"/>
        </w:rPr>
        <w:t xml:space="preserve">those projects which </w:t>
      </w:r>
      <w:r w:rsidR="00DD1F89">
        <w:rPr>
          <w:rFonts w:ascii="Verdana" w:hAnsi="Verdana"/>
          <w:sz w:val="20"/>
        </w:rPr>
        <w:t xml:space="preserve">are expected to </w:t>
      </w:r>
      <w:r w:rsidR="00586100">
        <w:rPr>
          <w:rFonts w:ascii="Verdana" w:hAnsi="Verdana"/>
          <w:sz w:val="20"/>
        </w:rPr>
        <w:t xml:space="preserve">be </w:t>
      </w:r>
      <w:r w:rsidRPr="0097335F">
        <w:rPr>
          <w:rFonts w:ascii="Verdana" w:hAnsi="Verdana"/>
          <w:sz w:val="20"/>
        </w:rPr>
        <w:t xml:space="preserve">commissioned </w:t>
      </w:r>
      <w:r w:rsidR="00586100">
        <w:rPr>
          <w:rFonts w:ascii="Verdana" w:hAnsi="Verdana"/>
          <w:sz w:val="20"/>
        </w:rPr>
        <w:t>after the Go L</w:t>
      </w:r>
      <w:r w:rsidRPr="0097335F">
        <w:rPr>
          <w:rFonts w:ascii="Verdana" w:hAnsi="Verdana"/>
          <w:sz w:val="20"/>
        </w:rPr>
        <w:t>ive</w:t>
      </w:r>
      <w:r w:rsidR="00586100">
        <w:rPr>
          <w:rFonts w:ascii="Verdana" w:hAnsi="Verdana"/>
          <w:sz w:val="20"/>
        </w:rPr>
        <w:t xml:space="preserve"> date</w:t>
      </w:r>
      <w:r w:rsidR="009B794C">
        <w:rPr>
          <w:rFonts w:ascii="Verdana" w:hAnsi="Verdana"/>
          <w:sz w:val="20"/>
        </w:rPr>
        <w:t>:</w:t>
      </w:r>
      <w:r w:rsidRPr="0097335F">
        <w:rPr>
          <w:rFonts w:ascii="Verdana" w:hAnsi="Verdana"/>
          <w:sz w:val="20"/>
        </w:rPr>
        <w:t xml:space="preserve"> </w:t>
      </w:r>
    </w:p>
    <w:p w:rsidR="0097335F" w:rsidRPr="0097335F" w:rsidRDefault="0097335F" w:rsidP="00794CF7">
      <w:pPr>
        <w:pStyle w:val="BodyText"/>
        <w:numPr>
          <w:ilvl w:val="0"/>
          <w:numId w:val="24"/>
        </w:numPr>
        <w:rPr>
          <w:rFonts w:ascii="Verdana" w:hAnsi="Verdana"/>
          <w:sz w:val="20"/>
        </w:rPr>
      </w:pPr>
      <w:proofErr w:type="spellStart"/>
      <w:r w:rsidRPr="0097335F">
        <w:rPr>
          <w:rFonts w:ascii="Verdana" w:hAnsi="Verdana"/>
          <w:sz w:val="20"/>
        </w:rPr>
        <w:lastRenderedPageBreak/>
        <w:t>Ormonde</w:t>
      </w:r>
      <w:proofErr w:type="spellEnd"/>
    </w:p>
    <w:p w:rsidR="0097335F" w:rsidRPr="0097335F" w:rsidRDefault="0097335F" w:rsidP="00794CF7">
      <w:pPr>
        <w:pStyle w:val="BodyText"/>
        <w:numPr>
          <w:ilvl w:val="0"/>
          <w:numId w:val="24"/>
        </w:numPr>
        <w:rPr>
          <w:rFonts w:ascii="Verdana" w:hAnsi="Verdana"/>
          <w:sz w:val="20"/>
        </w:rPr>
      </w:pPr>
      <w:proofErr w:type="spellStart"/>
      <w:r w:rsidRPr="0097335F">
        <w:rPr>
          <w:rFonts w:ascii="Verdana" w:hAnsi="Verdana"/>
          <w:sz w:val="20"/>
        </w:rPr>
        <w:t>Sheringham</w:t>
      </w:r>
      <w:proofErr w:type="spellEnd"/>
      <w:r w:rsidRPr="0097335F">
        <w:rPr>
          <w:rFonts w:ascii="Verdana" w:hAnsi="Verdana"/>
          <w:sz w:val="20"/>
        </w:rPr>
        <w:t xml:space="preserve"> Shoal</w:t>
      </w:r>
    </w:p>
    <w:p w:rsidR="0097335F" w:rsidRPr="0097335F" w:rsidRDefault="0097335F" w:rsidP="00794CF7">
      <w:pPr>
        <w:pStyle w:val="BodyText"/>
        <w:numPr>
          <w:ilvl w:val="0"/>
          <w:numId w:val="24"/>
        </w:numPr>
        <w:rPr>
          <w:rFonts w:ascii="Verdana" w:hAnsi="Verdana"/>
          <w:sz w:val="20"/>
        </w:rPr>
      </w:pPr>
      <w:proofErr w:type="spellStart"/>
      <w:r w:rsidRPr="0097335F">
        <w:rPr>
          <w:rFonts w:ascii="Verdana" w:hAnsi="Verdana"/>
          <w:sz w:val="20"/>
        </w:rPr>
        <w:t>Walney</w:t>
      </w:r>
      <w:proofErr w:type="spellEnd"/>
      <w:r w:rsidRPr="0097335F">
        <w:rPr>
          <w:rFonts w:ascii="Verdana" w:hAnsi="Verdana"/>
          <w:sz w:val="20"/>
        </w:rPr>
        <w:t xml:space="preserve"> I</w:t>
      </w:r>
    </w:p>
    <w:p w:rsidR="0097335F" w:rsidRPr="0097335F" w:rsidRDefault="0097335F" w:rsidP="00794CF7">
      <w:pPr>
        <w:pStyle w:val="BodyText"/>
        <w:numPr>
          <w:ilvl w:val="0"/>
          <w:numId w:val="24"/>
        </w:numPr>
        <w:rPr>
          <w:rFonts w:ascii="Verdana" w:hAnsi="Verdana"/>
          <w:sz w:val="20"/>
        </w:rPr>
      </w:pPr>
      <w:proofErr w:type="spellStart"/>
      <w:r w:rsidRPr="0097335F">
        <w:rPr>
          <w:rFonts w:ascii="Verdana" w:hAnsi="Verdana"/>
          <w:sz w:val="20"/>
        </w:rPr>
        <w:t>Walney</w:t>
      </w:r>
      <w:proofErr w:type="spellEnd"/>
      <w:r w:rsidRPr="0097335F">
        <w:rPr>
          <w:rFonts w:ascii="Verdana" w:hAnsi="Verdana"/>
          <w:sz w:val="20"/>
        </w:rPr>
        <w:t xml:space="preserve"> II</w:t>
      </w:r>
    </w:p>
    <w:p w:rsidR="00EE290F" w:rsidRDefault="00EE290F" w:rsidP="0097335F">
      <w:pPr>
        <w:pStyle w:val="BodyText"/>
        <w:rPr>
          <w:rFonts w:ascii="Verdana" w:hAnsi="Verdana"/>
          <w:sz w:val="20"/>
        </w:rPr>
      </w:pPr>
    </w:p>
    <w:p w:rsidR="00586100" w:rsidRPr="00586100" w:rsidRDefault="00586100" w:rsidP="0097335F">
      <w:pPr>
        <w:pStyle w:val="BodyText"/>
        <w:rPr>
          <w:rFonts w:ascii="Verdana" w:hAnsi="Verdana"/>
          <w:sz w:val="20"/>
        </w:rPr>
      </w:pPr>
      <w:r w:rsidRPr="00586100">
        <w:rPr>
          <w:rFonts w:ascii="Verdana" w:hAnsi="Verdana"/>
          <w:sz w:val="20"/>
        </w:rPr>
        <w:t xml:space="preserve">Qualifying Bidders should </w:t>
      </w:r>
      <w:r w:rsidRPr="00EE290F">
        <w:rPr>
          <w:rFonts w:ascii="Verdana" w:hAnsi="Verdana"/>
          <w:b/>
          <w:sz w:val="20"/>
        </w:rPr>
        <w:t>only</w:t>
      </w:r>
      <w:r w:rsidR="00EE290F">
        <w:rPr>
          <w:rFonts w:ascii="Verdana" w:hAnsi="Verdana"/>
          <w:sz w:val="20"/>
        </w:rPr>
        <w:t xml:space="preserve"> respond to Part C in respect of Greater </w:t>
      </w:r>
      <w:proofErr w:type="spellStart"/>
      <w:r w:rsidR="00EE290F">
        <w:rPr>
          <w:rFonts w:ascii="Verdana" w:hAnsi="Verdana"/>
          <w:sz w:val="20"/>
        </w:rPr>
        <w:t>Gabbard</w:t>
      </w:r>
      <w:proofErr w:type="spellEnd"/>
      <w:r w:rsidR="00EE290F">
        <w:rPr>
          <w:rFonts w:ascii="Verdana" w:hAnsi="Verdana"/>
          <w:sz w:val="20"/>
        </w:rPr>
        <w:t>.</w:t>
      </w:r>
    </w:p>
    <w:p w:rsidR="00586100" w:rsidRDefault="00586100" w:rsidP="0097335F">
      <w:pPr>
        <w:pStyle w:val="BodyText"/>
        <w:rPr>
          <w:rFonts w:ascii="Verdana" w:hAnsi="Verdana"/>
          <w:b/>
          <w:sz w:val="20"/>
          <w:u w:val="single"/>
        </w:rPr>
      </w:pPr>
    </w:p>
    <w:p w:rsidR="0097335F" w:rsidRPr="0097335F" w:rsidRDefault="0097335F" w:rsidP="0097335F">
      <w:pPr>
        <w:pStyle w:val="BodyText"/>
        <w:rPr>
          <w:rFonts w:ascii="Verdana" w:hAnsi="Verdana"/>
          <w:b/>
          <w:sz w:val="20"/>
          <w:u w:val="single"/>
        </w:rPr>
      </w:pPr>
      <w:r w:rsidRPr="0097335F">
        <w:rPr>
          <w:rFonts w:ascii="Verdana" w:hAnsi="Verdana"/>
          <w:b/>
          <w:sz w:val="20"/>
          <w:u w:val="single"/>
        </w:rPr>
        <w:t>P</w:t>
      </w:r>
      <w:r w:rsidR="00EE290F">
        <w:rPr>
          <w:rFonts w:ascii="Verdana" w:hAnsi="Verdana"/>
          <w:b/>
          <w:sz w:val="20"/>
          <w:u w:val="single"/>
        </w:rPr>
        <w:t>art</w:t>
      </w:r>
      <w:r w:rsidRPr="0097335F">
        <w:rPr>
          <w:rFonts w:ascii="Verdana" w:hAnsi="Verdana"/>
          <w:b/>
          <w:sz w:val="20"/>
          <w:u w:val="single"/>
        </w:rPr>
        <w:t xml:space="preserve"> A</w:t>
      </w:r>
    </w:p>
    <w:p w:rsidR="0097335F" w:rsidRDefault="0097335F" w:rsidP="0097335F">
      <w:pPr>
        <w:pStyle w:val="Heading3"/>
        <w:numPr>
          <w:ilvl w:val="0"/>
          <w:numId w:val="0"/>
        </w:numPr>
        <w:rPr>
          <w:rFonts w:ascii="Verdana" w:hAnsi="Verdana"/>
          <w:sz w:val="20"/>
        </w:rPr>
      </w:pPr>
      <w:r>
        <w:rPr>
          <w:rFonts w:ascii="Verdana" w:hAnsi="Verdana"/>
          <w:sz w:val="20"/>
        </w:rPr>
        <w:t xml:space="preserve">Qualifying Bidders </w:t>
      </w:r>
      <w:r w:rsidR="00EE290F" w:rsidRPr="00EE290F">
        <w:rPr>
          <w:rFonts w:ascii="Verdana" w:hAnsi="Verdana"/>
          <w:sz w:val="20"/>
        </w:rPr>
        <w:t>are required</w:t>
      </w:r>
      <w:r w:rsidR="00EE290F">
        <w:rPr>
          <w:rFonts w:ascii="Verdana" w:hAnsi="Verdana"/>
          <w:sz w:val="20"/>
        </w:rPr>
        <w:t>,</w:t>
      </w:r>
      <w:r w:rsidRPr="00EE290F">
        <w:rPr>
          <w:rFonts w:ascii="Verdana" w:hAnsi="Verdana"/>
          <w:sz w:val="20"/>
        </w:rPr>
        <w:t xml:space="preserve"> as</w:t>
      </w:r>
      <w:r>
        <w:rPr>
          <w:rFonts w:ascii="Verdana" w:hAnsi="Verdana"/>
          <w:sz w:val="20"/>
        </w:rPr>
        <w:t xml:space="preserve"> a minimum</w:t>
      </w:r>
      <w:r w:rsidR="00EE290F">
        <w:rPr>
          <w:rFonts w:ascii="Verdana" w:hAnsi="Verdana"/>
          <w:sz w:val="20"/>
        </w:rPr>
        <w:t xml:space="preserve"> to</w:t>
      </w:r>
      <w:r>
        <w:rPr>
          <w:rFonts w:ascii="Verdana" w:hAnsi="Verdana"/>
          <w:sz w:val="20"/>
        </w:rPr>
        <w:t xml:space="preserve"> provide commitment </w:t>
      </w:r>
      <w:r w:rsidR="00A05AB7">
        <w:rPr>
          <w:rFonts w:ascii="Verdana" w:hAnsi="Verdana"/>
          <w:sz w:val="20"/>
        </w:rPr>
        <w:t xml:space="preserve">for 6 months from the date of the ITT Submission </w:t>
      </w:r>
      <w:r>
        <w:rPr>
          <w:rFonts w:ascii="Verdana" w:hAnsi="Verdana"/>
          <w:sz w:val="20"/>
        </w:rPr>
        <w:t xml:space="preserve">based on 120% of the total funding requirement in the </w:t>
      </w:r>
      <w:r w:rsidR="00AE6854">
        <w:rPr>
          <w:rFonts w:ascii="Verdana" w:hAnsi="Verdana"/>
          <w:sz w:val="20"/>
        </w:rPr>
        <w:t>Base case</w:t>
      </w:r>
      <w:r>
        <w:rPr>
          <w:rFonts w:ascii="Verdana" w:hAnsi="Verdana"/>
          <w:sz w:val="20"/>
        </w:rPr>
        <w:t xml:space="preserve"> financial model of the </w:t>
      </w:r>
      <w:r w:rsidR="00EE290F">
        <w:rPr>
          <w:rFonts w:ascii="Verdana" w:hAnsi="Verdana"/>
          <w:sz w:val="20"/>
        </w:rPr>
        <w:t>r</w:t>
      </w:r>
      <w:r>
        <w:rPr>
          <w:rFonts w:ascii="Verdana" w:hAnsi="Verdana"/>
          <w:sz w:val="20"/>
        </w:rPr>
        <w:t>elevant Qualifying Project</w:t>
      </w:r>
      <w:r w:rsidR="00D6693C">
        <w:rPr>
          <w:rFonts w:ascii="Verdana" w:hAnsi="Verdana"/>
          <w:sz w:val="20"/>
        </w:rPr>
        <w:t xml:space="preserve">. This should be reflected in </w:t>
      </w:r>
      <w:r>
        <w:rPr>
          <w:rFonts w:ascii="Verdana" w:hAnsi="Verdana"/>
          <w:sz w:val="20"/>
        </w:rPr>
        <w:t>the following:</w:t>
      </w:r>
    </w:p>
    <w:p w:rsidR="0097335F" w:rsidRPr="00AD6D64" w:rsidRDefault="00EE290F" w:rsidP="00794CF7">
      <w:pPr>
        <w:pStyle w:val="Heading4"/>
        <w:numPr>
          <w:ilvl w:val="0"/>
          <w:numId w:val="43"/>
        </w:numPr>
        <w:tabs>
          <w:tab w:val="clear" w:pos="2268"/>
          <w:tab w:val="left" w:pos="426"/>
        </w:tabs>
        <w:ind w:hanging="1069"/>
        <w:rPr>
          <w:rFonts w:ascii="Verdana" w:hAnsi="Verdana"/>
          <w:sz w:val="20"/>
          <w:u w:val="single"/>
        </w:rPr>
      </w:pPr>
      <w:r>
        <w:rPr>
          <w:rFonts w:ascii="Verdana" w:hAnsi="Verdana"/>
          <w:sz w:val="20"/>
          <w:u w:val="single"/>
        </w:rPr>
        <w:t xml:space="preserve">For </w:t>
      </w:r>
      <w:r w:rsidR="0097335F" w:rsidRPr="00AD6D64">
        <w:rPr>
          <w:rFonts w:ascii="Verdana" w:hAnsi="Verdana"/>
          <w:sz w:val="20"/>
          <w:u w:val="single"/>
        </w:rPr>
        <w:t>Equity and Corporate Finance</w:t>
      </w:r>
    </w:p>
    <w:p w:rsidR="0097335F" w:rsidRDefault="0097335F" w:rsidP="00794CF7">
      <w:pPr>
        <w:pStyle w:val="BodyText"/>
        <w:numPr>
          <w:ilvl w:val="0"/>
          <w:numId w:val="28"/>
        </w:numPr>
        <w:tabs>
          <w:tab w:val="clear" w:pos="1559"/>
          <w:tab w:val="clear" w:pos="2268"/>
          <w:tab w:val="clear" w:pos="2977"/>
          <w:tab w:val="clear" w:pos="3686"/>
          <w:tab w:val="left" w:pos="1134"/>
        </w:tabs>
        <w:ind w:left="1134" w:hanging="708"/>
        <w:rPr>
          <w:rFonts w:ascii="Verdana" w:hAnsi="Verdana"/>
          <w:sz w:val="20"/>
        </w:rPr>
      </w:pPr>
      <w:r>
        <w:rPr>
          <w:rFonts w:ascii="Verdana" w:hAnsi="Verdana"/>
          <w:sz w:val="20"/>
        </w:rPr>
        <w:t>Letter</w:t>
      </w:r>
      <w:r w:rsidR="00756CA6">
        <w:rPr>
          <w:rFonts w:ascii="Verdana" w:hAnsi="Verdana"/>
          <w:sz w:val="20"/>
        </w:rPr>
        <w:t>s</w:t>
      </w:r>
      <w:r>
        <w:rPr>
          <w:rFonts w:ascii="Verdana" w:hAnsi="Verdana"/>
          <w:sz w:val="20"/>
        </w:rPr>
        <w:t xml:space="preserve"> of </w:t>
      </w:r>
      <w:r w:rsidR="00DD1F89">
        <w:rPr>
          <w:rFonts w:ascii="Verdana" w:hAnsi="Verdana"/>
          <w:sz w:val="20"/>
        </w:rPr>
        <w:t>s</w:t>
      </w:r>
      <w:r>
        <w:rPr>
          <w:rFonts w:ascii="Verdana" w:hAnsi="Verdana"/>
          <w:sz w:val="20"/>
        </w:rPr>
        <w:t>upport evidencing f</w:t>
      </w:r>
      <w:r w:rsidRPr="00DE4ADB">
        <w:rPr>
          <w:rFonts w:ascii="Verdana" w:hAnsi="Verdana"/>
          <w:sz w:val="20"/>
        </w:rPr>
        <w:t>ull board approval of the Equity and/or Corporate Finance in support of the amounts required as set out in the Qualifying Bidders Financial Model multiplied by 120%.</w:t>
      </w:r>
      <w:r w:rsidR="00DD1F89">
        <w:rPr>
          <w:rFonts w:ascii="Verdana" w:hAnsi="Verdana"/>
          <w:sz w:val="20"/>
        </w:rPr>
        <w:t xml:space="preserve">  These letters must identify any constraints imposed by the lender in respect of the regime generally, as well as the particular Qualifying Bidder.</w:t>
      </w:r>
    </w:p>
    <w:p w:rsidR="00E95388" w:rsidRDefault="0097335F" w:rsidP="00794CF7">
      <w:pPr>
        <w:pStyle w:val="BodyText"/>
        <w:numPr>
          <w:ilvl w:val="0"/>
          <w:numId w:val="28"/>
        </w:numPr>
        <w:tabs>
          <w:tab w:val="clear" w:pos="1559"/>
          <w:tab w:val="clear" w:pos="2268"/>
          <w:tab w:val="clear" w:pos="2977"/>
          <w:tab w:val="clear" w:pos="3686"/>
          <w:tab w:val="left" w:pos="1134"/>
        </w:tabs>
        <w:ind w:left="1134" w:hanging="708"/>
        <w:rPr>
          <w:rFonts w:ascii="Verdana" w:hAnsi="Verdana"/>
          <w:sz w:val="20"/>
        </w:rPr>
      </w:pPr>
      <w:r w:rsidRPr="00E95388">
        <w:rPr>
          <w:rFonts w:ascii="Verdana" w:hAnsi="Verdana"/>
          <w:sz w:val="20"/>
        </w:rPr>
        <w:t>Full and complete terms attached to any Equity and/or Corporate Finance including any conditionality placed on the offering of such financing.</w:t>
      </w:r>
    </w:p>
    <w:p w:rsidR="0097335F" w:rsidRDefault="0097335F" w:rsidP="00794CF7">
      <w:pPr>
        <w:pStyle w:val="BodyText"/>
        <w:numPr>
          <w:ilvl w:val="0"/>
          <w:numId w:val="28"/>
        </w:numPr>
        <w:tabs>
          <w:tab w:val="clear" w:pos="1559"/>
          <w:tab w:val="clear" w:pos="2268"/>
          <w:tab w:val="clear" w:pos="2977"/>
          <w:tab w:val="clear" w:pos="3686"/>
          <w:tab w:val="left" w:pos="1134"/>
        </w:tabs>
        <w:ind w:left="1134" w:hanging="708"/>
        <w:rPr>
          <w:rFonts w:ascii="Verdana" w:hAnsi="Verdana"/>
          <w:sz w:val="20"/>
        </w:rPr>
      </w:pPr>
      <w:r w:rsidRPr="00E95388">
        <w:rPr>
          <w:rFonts w:ascii="Verdana" w:hAnsi="Verdana"/>
          <w:sz w:val="20"/>
        </w:rPr>
        <w:t>Copies of Loan Note Documentation and any other Equity and/or Corporate Finance agreements which are proposed by the Qualifying Bidder in agreed form.</w:t>
      </w:r>
    </w:p>
    <w:p w:rsidR="00E95388" w:rsidRPr="00E95388" w:rsidRDefault="00E95388" w:rsidP="00E95388">
      <w:pPr>
        <w:pStyle w:val="BodyText"/>
        <w:tabs>
          <w:tab w:val="clear" w:pos="1559"/>
          <w:tab w:val="clear" w:pos="2268"/>
          <w:tab w:val="clear" w:pos="2977"/>
          <w:tab w:val="clear" w:pos="3686"/>
          <w:tab w:val="left" w:pos="1134"/>
        </w:tabs>
        <w:ind w:left="426"/>
        <w:rPr>
          <w:rFonts w:ascii="Verdana" w:hAnsi="Verdana"/>
          <w:sz w:val="20"/>
        </w:rPr>
      </w:pPr>
    </w:p>
    <w:p w:rsidR="0097335F" w:rsidRPr="00DE4ADB" w:rsidRDefault="00EE290F" w:rsidP="00794CF7">
      <w:pPr>
        <w:pStyle w:val="Heading4"/>
        <w:numPr>
          <w:ilvl w:val="0"/>
          <w:numId w:val="43"/>
        </w:numPr>
        <w:tabs>
          <w:tab w:val="clear" w:pos="2268"/>
          <w:tab w:val="clear" w:pos="2977"/>
          <w:tab w:val="left" w:pos="426"/>
        </w:tabs>
        <w:ind w:hanging="1069"/>
        <w:rPr>
          <w:rFonts w:ascii="Verdana" w:hAnsi="Verdana"/>
          <w:sz w:val="20"/>
          <w:u w:val="single"/>
        </w:rPr>
      </w:pPr>
      <w:r>
        <w:rPr>
          <w:rFonts w:ascii="Verdana" w:hAnsi="Verdana"/>
          <w:sz w:val="20"/>
          <w:u w:val="single"/>
        </w:rPr>
        <w:t xml:space="preserve">For </w:t>
      </w:r>
      <w:r w:rsidR="0097335F" w:rsidRPr="00DE4ADB">
        <w:rPr>
          <w:rFonts w:ascii="Verdana" w:hAnsi="Verdana"/>
          <w:sz w:val="20"/>
          <w:u w:val="single"/>
        </w:rPr>
        <w:t>Debt Finance</w:t>
      </w:r>
    </w:p>
    <w:p w:rsidR="00E95388" w:rsidRDefault="0097335F" w:rsidP="00794CF7">
      <w:pPr>
        <w:pStyle w:val="BodyText"/>
        <w:numPr>
          <w:ilvl w:val="0"/>
          <w:numId w:val="39"/>
        </w:numPr>
        <w:tabs>
          <w:tab w:val="clear" w:pos="1559"/>
          <w:tab w:val="left" w:pos="1134"/>
        </w:tabs>
        <w:ind w:left="1134" w:hanging="708"/>
        <w:rPr>
          <w:rFonts w:ascii="Verdana" w:hAnsi="Verdana"/>
          <w:sz w:val="20"/>
        </w:rPr>
      </w:pPr>
      <w:r w:rsidRPr="00DE4ADB">
        <w:rPr>
          <w:rFonts w:ascii="Verdana" w:hAnsi="Verdana"/>
          <w:sz w:val="20"/>
        </w:rPr>
        <w:t xml:space="preserve">Letter in support of credit approved </w:t>
      </w:r>
      <w:r w:rsidR="00D6693C">
        <w:rPr>
          <w:rFonts w:ascii="Verdana" w:hAnsi="Verdana"/>
          <w:sz w:val="20"/>
        </w:rPr>
        <w:t>t</w:t>
      </w:r>
      <w:r w:rsidRPr="00DE4ADB">
        <w:rPr>
          <w:rFonts w:ascii="Verdana" w:hAnsi="Verdana"/>
          <w:sz w:val="20"/>
        </w:rPr>
        <w:t xml:space="preserve">erm </w:t>
      </w:r>
      <w:r w:rsidR="00D6693C">
        <w:rPr>
          <w:rFonts w:ascii="Verdana" w:hAnsi="Verdana"/>
          <w:sz w:val="20"/>
        </w:rPr>
        <w:t>s</w:t>
      </w:r>
      <w:r w:rsidRPr="00DE4ADB">
        <w:rPr>
          <w:rFonts w:ascii="Verdana" w:hAnsi="Verdana"/>
          <w:sz w:val="20"/>
        </w:rPr>
        <w:t>heet</w:t>
      </w:r>
      <w:r w:rsidR="00756CA6">
        <w:rPr>
          <w:rFonts w:ascii="Verdana" w:hAnsi="Verdana"/>
          <w:sz w:val="20"/>
        </w:rPr>
        <w:t>s</w:t>
      </w:r>
      <w:r w:rsidRPr="00DE4ADB">
        <w:rPr>
          <w:rFonts w:ascii="Verdana" w:hAnsi="Verdana"/>
          <w:sz w:val="20"/>
        </w:rPr>
        <w:t xml:space="preserve"> stating the amounts committed as set out in the Qualifying Bidders Financial Model multiplied by 120% including any conditionality of such credit approved terms.</w:t>
      </w:r>
      <w:r w:rsidR="00A05AB7">
        <w:rPr>
          <w:rFonts w:ascii="Verdana" w:hAnsi="Verdana"/>
          <w:sz w:val="20"/>
        </w:rPr>
        <w:t xml:space="preserve">  These letters must identify any constraints imposed by the lender in respect of the regime generally, as well as the particular Qualifying Bidder.</w:t>
      </w:r>
    </w:p>
    <w:p w:rsidR="0097335F" w:rsidRPr="00E95388" w:rsidRDefault="0097335F" w:rsidP="00794CF7">
      <w:pPr>
        <w:pStyle w:val="BodyText"/>
        <w:numPr>
          <w:ilvl w:val="0"/>
          <w:numId w:val="39"/>
        </w:numPr>
        <w:tabs>
          <w:tab w:val="clear" w:pos="1559"/>
          <w:tab w:val="left" w:pos="1134"/>
        </w:tabs>
        <w:ind w:left="1134" w:hanging="708"/>
        <w:rPr>
          <w:rFonts w:ascii="Verdana" w:hAnsi="Verdana"/>
          <w:sz w:val="20"/>
        </w:rPr>
      </w:pPr>
      <w:r w:rsidRPr="00E95388">
        <w:rPr>
          <w:rFonts w:ascii="Verdana" w:hAnsi="Verdana"/>
          <w:sz w:val="20"/>
        </w:rPr>
        <w:t xml:space="preserve">A credit approved </w:t>
      </w:r>
      <w:r w:rsidR="00D6693C">
        <w:rPr>
          <w:rFonts w:ascii="Verdana" w:hAnsi="Verdana"/>
          <w:sz w:val="20"/>
        </w:rPr>
        <w:t>t</w:t>
      </w:r>
      <w:r w:rsidRPr="00E95388">
        <w:rPr>
          <w:rFonts w:ascii="Verdana" w:hAnsi="Verdana"/>
          <w:sz w:val="20"/>
        </w:rPr>
        <w:t xml:space="preserve">erm </w:t>
      </w:r>
      <w:r w:rsidR="00D6693C">
        <w:rPr>
          <w:rFonts w:ascii="Verdana" w:hAnsi="Verdana"/>
          <w:sz w:val="20"/>
        </w:rPr>
        <w:t>s</w:t>
      </w:r>
      <w:r w:rsidRPr="00E95388">
        <w:rPr>
          <w:rFonts w:ascii="Verdana" w:hAnsi="Verdana"/>
          <w:sz w:val="20"/>
        </w:rPr>
        <w:t>heet, which in the case of proposed club funding solutions will be a conformed Term Sheet, conditional only upon:</w:t>
      </w:r>
    </w:p>
    <w:p w:rsidR="0097335F" w:rsidRDefault="0097335F" w:rsidP="00794CF7">
      <w:pPr>
        <w:pStyle w:val="BodyText"/>
        <w:numPr>
          <w:ilvl w:val="1"/>
          <w:numId w:val="39"/>
        </w:numPr>
        <w:ind w:left="1560" w:hanging="426"/>
        <w:rPr>
          <w:rFonts w:ascii="Verdana" w:hAnsi="Verdana"/>
          <w:sz w:val="20"/>
        </w:rPr>
      </w:pPr>
      <w:r w:rsidRPr="00DE4ADB">
        <w:rPr>
          <w:rFonts w:ascii="Verdana" w:hAnsi="Verdana"/>
          <w:sz w:val="20"/>
        </w:rPr>
        <w:t>Underlying interest and RPI swap rate movements</w:t>
      </w:r>
      <w:r w:rsidR="00EE290F">
        <w:rPr>
          <w:rFonts w:ascii="Verdana" w:hAnsi="Verdana"/>
          <w:sz w:val="20"/>
        </w:rPr>
        <w:t>’</w:t>
      </w:r>
    </w:p>
    <w:p w:rsidR="0097335F" w:rsidRDefault="0097335F" w:rsidP="00794CF7">
      <w:pPr>
        <w:pStyle w:val="BodyText"/>
        <w:numPr>
          <w:ilvl w:val="1"/>
          <w:numId w:val="39"/>
        </w:numPr>
        <w:ind w:left="1560" w:hanging="426"/>
        <w:rPr>
          <w:rFonts w:ascii="Verdana" w:hAnsi="Verdana"/>
          <w:sz w:val="20"/>
        </w:rPr>
      </w:pPr>
      <w:r w:rsidRPr="00C03689">
        <w:rPr>
          <w:rFonts w:ascii="Verdana" w:hAnsi="Verdana"/>
          <w:sz w:val="20"/>
        </w:rPr>
        <w:t>Agreed finance documentation</w:t>
      </w:r>
      <w:r w:rsidR="00EE290F">
        <w:rPr>
          <w:rFonts w:ascii="Verdana" w:hAnsi="Verdana"/>
          <w:sz w:val="20"/>
        </w:rPr>
        <w:t>,</w:t>
      </w:r>
    </w:p>
    <w:p w:rsidR="00A05AB7" w:rsidRDefault="0097335F" w:rsidP="00794CF7">
      <w:pPr>
        <w:pStyle w:val="BodyText"/>
        <w:numPr>
          <w:ilvl w:val="1"/>
          <w:numId w:val="39"/>
        </w:numPr>
        <w:ind w:left="1560" w:hanging="426"/>
        <w:rPr>
          <w:rFonts w:ascii="Verdana" w:hAnsi="Verdana"/>
          <w:sz w:val="20"/>
        </w:rPr>
      </w:pPr>
      <w:r>
        <w:rPr>
          <w:rFonts w:ascii="Verdana" w:hAnsi="Verdana"/>
          <w:sz w:val="20"/>
        </w:rPr>
        <w:t>Confirmatory Due Diligence</w:t>
      </w:r>
      <w:r w:rsidR="00EE290F">
        <w:rPr>
          <w:rFonts w:ascii="Verdana" w:hAnsi="Verdana"/>
          <w:sz w:val="20"/>
        </w:rPr>
        <w:t>, and</w:t>
      </w:r>
    </w:p>
    <w:p w:rsidR="00EE290F" w:rsidRDefault="00EE290F" w:rsidP="00794CF7">
      <w:pPr>
        <w:pStyle w:val="BodyText"/>
        <w:numPr>
          <w:ilvl w:val="1"/>
          <w:numId w:val="39"/>
        </w:numPr>
        <w:ind w:left="1560" w:hanging="426"/>
        <w:rPr>
          <w:rFonts w:ascii="Verdana" w:hAnsi="Verdana"/>
          <w:sz w:val="20"/>
        </w:rPr>
      </w:pPr>
      <w:r>
        <w:rPr>
          <w:rFonts w:ascii="Verdana" w:hAnsi="Verdana"/>
          <w:sz w:val="20"/>
        </w:rPr>
        <w:t xml:space="preserve">EIB funding, </w:t>
      </w:r>
      <w:r w:rsidR="007E3C98">
        <w:rPr>
          <w:rFonts w:ascii="Verdana" w:hAnsi="Verdana"/>
          <w:sz w:val="20"/>
        </w:rPr>
        <w:t>where</w:t>
      </w:r>
      <w:r>
        <w:rPr>
          <w:rFonts w:ascii="Verdana" w:hAnsi="Verdana"/>
          <w:sz w:val="20"/>
        </w:rPr>
        <w:t xml:space="preserve"> applicable</w:t>
      </w:r>
    </w:p>
    <w:p w:rsidR="00EE290F" w:rsidRDefault="00EE290F" w:rsidP="00EE290F">
      <w:pPr>
        <w:pStyle w:val="BodyText"/>
        <w:ind w:left="1560"/>
        <w:rPr>
          <w:rFonts w:ascii="Verdana" w:hAnsi="Verdana"/>
          <w:sz w:val="20"/>
        </w:rPr>
      </w:pPr>
    </w:p>
    <w:p w:rsidR="00A05AB7" w:rsidRDefault="00EE290F" w:rsidP="00EE290F">
      <w:pPr>
        <w:pStyle w:val="BodyText"/>
        <w:tabs>
          <w:tab w:val="clear" w:pos="1559"/>
          <w:tab w:val="left" w:pos="1134"/>
        </w:tabs>
        <w:rPr>
          <w:rFonts w:ascii="Verdana" w:hAnsi="Verdana"/>
          <w:sz w:val="20"/>
        </w:rPr>
      </w:pPr>
      <w:r>
        <w:rPr>
          <w:rFonts w:ascii="Verdana" w:hAnsi="Verdana"/>
          <w:sz w:val="20"/>
        </w:rPr>
        <w:tab/>
      </w:r>
      <w:r>
        <w:rPr>
          <w:rFonts w:ascii="Verdana" w:hAnsi="Verdana"/>
          <w:sz w:val="20"/>
        </w:rPr>
        <w:tab/>
      </w:r>
      <w:r w:rsidR="00A05AB7">
        <w:rPr>
          <w:rFonts w:ascii="Verdana" w:hAnsi="Verdana"/>
          <w:sz w:val="20"/>
        </w:rPr>
        <w:t xml:space="preserve">These </w:t>
      </w:r>
      <w:r w:rsidR="00D6693C">
        <w:rPr>
          <w:rFonts w:ascii="Verdana" w:hAnsi="Verdana"/>
          <w:sz w:val="20"/>
        </w:rPr>
        <w:t>t</w:t>
      </w:r>
      <w:r w:rsidR="00A05AB7">
        <w:rPr>
          <w:rFonts w:ascii="Verdana" w:hAnsi="Verdana"/>
          <w:sz w:val="20"/>
        </w:rPr>
        <w:t xml:space="preserve">erm </w:t>
      </w:r>
      <w:r w:rsidR="00D6693C">
        <w:rPr>
          <w:rFonts w:ascii="Verdana" w:hAnsi="Verdana"/>
          <w:sz w:val="20"/>
        </w:rPr>
        <w:t>s</w:t>
      </w:r>
      <w:r w:rsidR="00A05AB7">
        <w:rPr>
          <w:rFonts w:ascii="Verdana" w:hAnsi="Verdana"/>
          <w:sz w:val="20"/>
        </w:rPr>
        <w:t>heets should include as a minimum:</w:t>
      </w:r>
    </w:p>
    <w:p w:rsidR="00A05AB7" w:rsidRP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Margins on Senior Debt, with any applicable phasing</w:t>
      </w:r>
      <w:r w:rsidR="00EE290F">
        <w:rPr>
          <w:rFonts w:ascii="Verdana" w:hAnsi="Verdana"/>
          <w:sz w:val="20"/>
        </w:rPr>
        <w:t>,</w:t>
      </w:r>
      <w:r w:rsidRPr="00A05AB7">
        <w:rPr>
          <w:rFonts w:ascii="Verdana" w:hAnsi="Verdana"/>
          <w:sz w:val="20"/>
        </w:rPr>
        <w:t xml:space="preserve"> </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Interest Rate Swap Credit Spread</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RPI Rate Swap Credit Spread</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lastRenderedPageBreak/>
        <w:t>Agency Fees</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Cover Ratio Requirements including LLCR, DCSR, ADSCR and respective calculations</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Gearing constraints</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Facility maximum amount</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Loan Tenor</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Debt Tail</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Availability and Grace Period</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Commitment fees for all sources of finance</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Arrangement Fees for all sources of finance</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Cancellation and prepayment fees where applicable</w:t>
      </w:r>
      <w:r w:rsidR="00EE290F">
        <w:rPr>
          <w:rFonts w:ascii="Verdana" w:hAnsi="Verdana"/>
          <w:sz w:val="20"/>
        </w:rPr>
        <w:t>,</w:t>
      </w:r>
    </w:p>
    <w:p w:rsid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 proposed for any proposed RPI Swap instrument</w:t>
      </w:r>
      <w:r w:rsidR="00EE290F">
        <w:rPr>
          <w:rFonts w:ascii="Verdana" w:hAnsi="Verdana"/>
          <w:sz w:val="20"/>
        </w:rPr>
        <w:t>, and</w:t>
      </w:r>
    </w:p>
    <w:p w:rsidR="00A05AB7" w:rsidRPr="00A05AB7" w:rsidRDefault="00A05AB7" w:rsidP="00794CF7">
      <w:pPr>
        <w:pStyle w:val="BodyText"/>
        <w:numPr>
          <w:ilvl w:val="0"/>
          <w:numId w:val="33"/>
        </w:numPr>
        <w:ind w:left="1560" w:hanging="426"/>
        <w:rPr>
          <w:rFonts w:ascii="Verdana" w:hAnsi="Verdana"/>
          <w:sz w:val="20"/>
        </w:rPr>
      </w:pPr>
      <w:r w:rsidRPr="00A05AB7">
        <w:rPr>
          <w:rFonts w:ascii="Verdana" w:hAnsi="Verdana"/>
          <w:sz w:val="20"/>
        </w:rPr>
        <w:t>Other relevant information as would normally be provided for transaction</w:t>
      </w:r>
      <w:r>
        <w:rPr>
          <w:rFonts w:ascii="Verdana" w:hAnsi="Verdana"/>
          <w:sz w:val="20"/>
        </w:rPr>
        <w:t>s</w:t>
      </w:r>
      <w:r w:rsidRPr="00A05AB7">
        <w:rPr>
          <w:rFonts w:ascii="Verdana" w:hAnsi="Verdana"/>
          <w:sz w:val="20"/>
        </w:rPr>
        <w:t xml:space="preserve"> of this nature</w:t>
      </w:r>
    </w:p>
    <w:p w:rsidR="0097335F" w:rsidRDefault="0097335F" w:rsidP="0097335F">
      <w:pPr>
        <w:pStyle w:val="Heading3"/>
        <w:numPr>
          <w:ilvl w:val="0"/>
          <w:numId w:val="0"/>
        </w:numPr>
        <w:rPr>
          <w:rFonts w:ascii="Verdana" w:hAnsi="Verdana"/>
          <w:sz w:val="20"/>
        </w:rPr>
      </w:pPr>
    </w:p>
    <w:p w:rsidR="0097335F" w:rsidRPr="0097335F" w:rsidRDefault="0097335F" w:rsidP="0097335F">
      <w:pPr>
        <w:pStyle w:val="BodyText"/>
        <w:rPr>
          <w:rFonts w:ascii="Verdana" w:hAnsi="Verdana"/>
          <w:b/>
          <w:sz w:val="20"/>
        </w:rPr>
      </w:pPr>
      <w:r w:rsidRPr="0097335F">
        <w:rPr>
          <w:rFonts w:ascii="Verdana" w:hAnsi="Verdana"/>
          <w:b/>
          <w:sz w:val="20"/>
        </w:rPr>
        <w:t>P</w:t>
      </w:r>
      <w:r w:rsidR="00EE290F">
        <w:rPr>
          <w:rFonts w:ascii="Verdana" w:hAnsi="Verdana"/>
          <w:b/>
          <w:sz w:val="20"/>
        </w:rPr>
        <w:t>art</w:t>
      </w:r>
      <w:r w:rsidRPr="0097335F">
        <w:rPr>
          <w:rFonts w:ascii="Verdana" w:hAnsi="Verdana"/>
          <w:b/>
          <w:sz w:val="20"/>
        </w:rPr>
        <w:t xml:space="preserve"> B</w:t>
      </w:r>
    </w:p>
    <w:p w:rsidR="0097335F" w:rsidRDefault="0097335F" w:rsidP="0097335F">
      <w:pPr>
        <w:pStyle w:val="Heading3"/>
        <w:numPr>
          <w:ilvl w:val="0"/>
          <w:numId w:val="0"/>
        </w:numPr>
        <w:rPr>
          <w:rFonts w:ascii="Verdana" w:hAnsi="Verdana"/>
          <w:sz w:val="20"/>
        </w:rPr>
      </w:pPr>
      <w:r>
        <w:rPr>
          <w:rFonts w:ascii="Verdana" w:hAnsi="Verdana"/>
          <w:sz w:val="20"/>
        </w:rPr>
        <w:t xml:space="preserve">Qualifying Bidders </w:t>
      </w:r>
      <w:r w:rsidR="00EE290F">
        <w:rPr>
          <w:rFonts w:ascii="Verdana" w:hAnsi="Verdana"/>
          <w:sz w:val="20"/>
        </w:rPr>
        <w:t xml:space="preserve">are required, </w:t>
      </w:r>
      <w:r>
        <w:rPr>
          <w:rFonts w:ascii="Verdana" w:hAnsi="Verdana"/>
          <w:sz w:val="20"/>
        </w:rPr>
        <w:t xml:space="preserve">as a minimum </w:t>
      </w:r>
      <w:r w:rsidR="00EE290F">
        <w:rPr>
          <w:rFonts w:ascii="Verdana" w:hAnsi="Verdana"/>
          <w:sz w:val="20"/>
        </w:rPr>
        <w:t xml:space="preserve">to </w:t>
      </w:r>
      <w:r>
        <w:rPr>
          <w:rFonts w:ascii="Verdana" w:hAnsi="Verdana"/>
          <w:sz w:val="20"/>
        </w:rPr>
        <w:t xml:space="preserve">provide commitment based on 120% of the total funding requirement in the </w:t>
      </w:r>
      <w:r w:rsidR="00DD1F89">
        <w:rPr>
          <w:rFonts w:ascii="Verdana" w:hAnsi="Verdana"/>
          <w:sz w:val="20"/>
        </w:rPr>
        <w:t>b</w:t>
      </w:r>
      <w:r>
        <w:rPr>
          <w:rFonts w:ascii="Verdana" w:hAnsi="Verdana"/>
          <w:sz w:val="20"/>
        </w:rPr>
        <w:t xml:space="preserve">ase </w:t>
      </w:r>
      <w:r w:rsidR="00DD1F89">
        <w:rPr>
          <w:rFonts w:ascii="Verdana" w:hAnsi="Verdana"/>
          <w:sz w:val="20"/>
        </w:rPr>
        <w:t>c</w:t>
      </w:r>
      <w:r>
        <w:rPr>
          <w:rFonts w:ascii="Verdana" w:hAnsi="Verdana"/>
          <w:sz w:val="20"/>
        </w:rPr>
        <w:t xml:space="preserve">ase financial model of the </w:t>
      </w:r>
      <w:r w:rsidR="00EE290F">
        <w:rPr>
          <w:rFonts w:ascii="Verdana" w:hAnsi="Verdana"/>
          <w:sz w:val="20"/>
        </w:rPr>
        <w:t>r</w:t>
      </w:r>
      <w:r>
        <w:rPr>
          <w:rFonts w:ascii="Verdana" w:hAnsi="Verdana"/>
          <w:sz w:val="20"/>
        </w:rPr>
        <w:t>elevant Qualifying Project</w:t>
      </w:r>
      <w:r w:rsidR="00D6693C">
        <w:rPr>
          <w:rFonts w:ascii="Verdana" w:hAnsi="Verdana"/>
          <w:sz w:val="20"/>
        </w:rPr>
        <w:t>. This should be reflected in</w:t>
      </w:r>
      <w:r>
        <w:rPr>
          <w:rFonts w:ascii="Verdana" w:hAnsi="Verdana"/>
          <w:sz w:val="20"/>
        </w:rPr>
        <w:t xml:space="preserve"> the following:</w:t>
      </w:r>
    </w:p>
    <w:p w:rsidR="0097335F" w:rsidRPr="00AD6D64" w:rsidRDefault="00EE290F" w:rsidP="00794CF7">
      <w:pPr>
        <w:pStyle w:val="Heading4"/>
        <w:numPr>
          <w:ilvl w:val="0"/>
          <w:numId w:val="44"/>
        </w:numPr>
        <w:tabs>
          <w:tab w:val="clear" w:pos="2268"/>
          <w:tab w:val="left" w:pos="426"/>
        </w:tabs>
        <w:ind w:hanging="720"/>
        <w:rPr>
          <w:rFonts w:ascii="Verdana" w:hAnsi="Verdana"/>
          <w:sz w:val="20"/>
          <w:u w:val="single"/>
        </w:rPr>
      </w:pPr>
      <w:r>
        <w:rPr>
          <w:rFonts w:ascii="Verdana" w:hAnsi="Verdana"/>
          <w:sz w:val="20"/>
          <w:u w:val="single"/>
        </w:rPr>
        <w:t xml:space="preserve">For </w:t>
      </w:r>
      <w:r w:rsidR="0097335F" w:rsidRPr="00AD6D64">
        <w:rPr>
          <w:rFonts w:ascii="Verdana" w:hAnsi="Verdana"/>
          <w:sz w:val="20"/>
          <w:u w:val="single"/>
        </w:rPr>
        <w:t>Equity and Corporate Finance</w:t>
      </w:r>
    </w:p>
    <w:p w:rsidR="00E95388" w:rsidRDefault="0097335F" w:rsidP="00794CF7">
      <w:pPr>
        <w:pStyle w:val="BodyText"/>
        <w:numPr>
          <w:ilvl w:val="0"/>
          <w:numId w:val="34"/>
        </w:numPr>
        <w:tabs>
          <w:tab w:val="clear" w:pos="1559"/>
          <w:tab w:val="left" w:pos="1134"/>
        </w:tabs>
        <w:ind w:left="1134" w:hanging="708"/>
        <w:rPr>
          <w:rFonts w:ascii="Verdana" w:hAnsi="Verdana"/>
          <w:sz w:val="20"/>
        </w:rPr>
      </w:pPr>
      <w:r>
        <w:rPr>
          <w:rFonts w:ascii="Verdana" w:hAnsi="Verdana"/>
          <w:sz w:val="20"/>
        </w:rPr>
        <w:t>Letter</w:t>
      </w:r>
      <w:r w:rsidR="00756CA6">
        <w:rPr>
          <w:rFonts w:ascii="Verdana" w:hAnsi="Verdana"/>
          <w:sz w:val="20"/>
        </w:rPr>
        <w:t>s</w:t>
      </w:r>
      <w:r>
        <w:rPr>
          <w:rFonts w:ascii="Verdana" w:hAnsi="Verdana"/>
          <w:sz w:val="20"/>
        </w:rPr>
        <w:t xml:space="preserve"> of </w:t>
      </w:r>
      <w:r w:rsidR="00756CA6">
        <w:rPr>
          <w:rFonts w:ascii="Verdana" w:hAnsi="Verdana"/>
          <w:sz w:val="20"/>
        </w:rPr>
        <w:t>s</w:t>
      </w:r>
      <w:r>
        <w:rPr>
          <w:rFonts w:ascii="Verdana" w:hAnsi="Verdana"/>
          <w:sz w:val="20"/>
        </w:rPr>
        <w:t xml:space="preserve">upport evidencing level of </w:t>
      </w:r>
      <w:r w:rsidRPr="00DE4ADB">
        <w:rPr>
          <w:rFonts w:ascii="Verdana" w:hAnsi="Verdana"/>
          <w:sz w:val="20"/>
        </w:rPr>
        <w:t>board approval</w:t>
      </w:r>
      <w:r>
        <w:rPr>
          <w:rFonts w:ascii="Verdana" w:hAnsi="Verdana"/>
          <w:sz w:val="20"/>
        </w:rPr>
        <w:t xml:space="preserve"> obtained</w:t>
      </w:r>
      <w:r w:rsidRPr="00DE4ADB">
        <w:rPr>
          <w:rFonts w:ascii="Verdana" w:hAnsi="Verdana"/>
          <w:sz w:val="20"/>
        </w:rPr>
        <w:t xml:space="preserve"> </w:t>
      </w:r>
      <w:r>
        <w:rPr>
          <w:rFonts w:ascii="Verdana" w:hAnsi="Verdana"/>
          <w:sz w:val="20"/>
        </w:rPr>
        <w:t>for</w:t>
      </w:r>
      <w:r w:rsidRPr="00DE4ADB">
        <w:rPr>
          <w:rFonts w:ascii="Verdana" w:hAnsi="Verdana"/>
          <w:sz w:val="20"/>
        </w:rPr>
        <w:t xml:space="preserve"> the Equity and/or Corporate Finance in support of the amounts required as set out in the Qualifying Bidders Financial Model multiplied by 120%.</w:t>
      </w:r>
      <w:r w:rsidR="00036F16">
        <w:rPr>
          <w:rFonts w:ascii="Verdana" w:hAnsi="Verdana"/>
          <w:sz w:val="20"/>
        </w:rPr>
        <w:t xml:space="preserve"> </w:t>
      </w:r>
    </w:p>
    <w:p w:rsidR="00E95388" w:rsidRDefault="0097335F" w:rsidP="00794CF7">
      <w:pPr>
        <w:pStyle w:val="BodyText"/>
        <w:numPr>
          <w:ilvl w:val="0"/>
          <w:numId w:val="34"/>
        </w:numPr>
        <w:tabs>
          <w:tab w:val="clear" w:pos="1559"/>
          <w:tab w:val="left" w:pos="1134"/>
        </w:tabs>
        <w:ind w:left="1134" w:hanging="708"/>
        <w:rPr>
          <w:rFonts w:ascii="Verdana" w:hAnsi="Verdana"/>
          <w:sz w:val="20"/>
        </w:rPr>
      </w:pPr>
      <w:r w:rsidRPr="00E95388">
        <w:rPr>
          <w:rFonts w:ascii="Verdana" w:hAnsi="Verdana"/>
          <w:sz w:val="20"/>
        </w:rPr>
        <w:t>Any terms attached to any Equity and/or Corporate Finance including any conditionality placed on the offering of such financing.</w:t>
      </w:r>
    </w:p>
    <w:p w:rsidR="00E95388" w:rsidRDefault="0097335F" w:rsidP="00794CF7">
      <w:pPr>
        <w:pStyle w:val="BodyText"/>
        <w:numPr>
          <w:ilvl w:val="0"/>
          <w:numId w:val="34"/>
        </w:numPr>
        <w:tabs>
          <w:tab w:val="clear" w:pos="1559"/>
          <w:tab w:val="left" w:pos="1134"/>
        </w:tabs>
        <w:ind w:left="1134" w:hanging="708"/>
        <w:rPr>
          <w:rFonts w:ascii="Verdana" w:hAnsi="Verdana"/>
          <w:sz w:val="20"/>
        </w:rPr>
      </w:pPr>
      <w:r w:rsidRPr="00E95388">
        <w:rPr>
          <w:rFonts w:ascii="Verdana" w:hAnsi="Verdana"/>
          <w:sz w:val="20"/>
        </w:rPr>
        <w:t>Copies of Loan Note Documentation and any other Equity and/or Corporate Finance agreements which are proposed by the Qualifying Bidder in agreed form.</w:t>
      </w:r>
    </w:p>
    <w:p w:rsidR="0058207F" w:rsidRDefault="0058207F" w:rsidP="00794CF7">
      <w:pPr>
        <w:pStyle w:val="BodyText"/>
        <w:numPr>
          <w:ilvl w:val="0"/>
          <w:numId w:val="34"/>
        </w:numPr>
        <w:tabs>
          <w:tab w:val="clear" w:pos="1559"/>
          <w:tab w:val="left" w:pos="1134"/>
        </w:tabs>
        <w:ind w:left="1134" w:hanging="708"/>
        <w:rPr>
          <w:rFonts w:ascii="Verdana" w:hAnsi="Verdana"/>
          <w:sz w:val="20"/>
        </w:rPr>
      </w:pPr>
      <w:r w:rsidRPr="00E95388">
        <w:rPr>
          <w:rFonts w:ascii="Verdana" w:hAnsi="Verdana"/>
          <w:sz w:val="20"/>
        </w:rPr>
        <w:t>Where a fund is proposing to raise additional equity for the relevant Qualifying Project, Qualifying Bidders are required to provide the level of commitment and how this prospective funding would be appropriately ring-fenced.</w:t>
      </w:r>
    </w:p>
    <w:p w:rsidR="00E95388" w:rsidRPr="00E95388" w:rsidRDefault="00E95388" w:rsidP="00E95388">
      <w:pPr>
        <w:pStyle w:val="BodyText"/>
        <w:tabs>
          <w:tab w:val="clear" w:pos="1559"/>
          <w:tab w:val="left" w:pos="1134"/>
        </w:tabs>
        <w:ind w:left="1134"/>
        <w:rPr>
          <w:rFonts w:ascii="Verdana" w:hAnsi="Verdana"/>
          <w:sz w:val="20"/>
        </w:rPr>
      </w:pPr>
    </w:p>
    <w:p w:rsidR="0097335F" w:rsidRPr="00DE4ADB" w:rsidRDefault="00EE290F" w:rsidP="00794CF7">
      <w:pPr>
        <w:pStyle w:val="Heading4"/>
        <w:numPr>
          <w:ilvl w:val="0"/>
          <w:numId w:val="44"/>
        </w:numPr>
        <w:tabs>
          <w:tab w:val="clear" w:pos="2268"/>
          <w:tab w:val="clear" w:pos="2977"/>
          <w:tab w:val="left" w:pos="426"/>
        </w:tabs>
        <w:ind w:hanging="720"/>
        <w:rPr>
          <w:rFonts w:ascii="Verdana" w:hAnsi="Verdana"/>
          <w:sz w:val="20"/>
          <w:u w:val="single"/>
        </w:rPr>
      </w:pPr>
      <w:r>
        <w:rPr>
          <w:rFonts w:ascii="Verdana" w:hAnsi="Verdana"/>
          <w:sz w:val="20"/>
          <w:u w:val="single"/>
        </w:rPr>
        <w:t xml:space="preserve">For </w:t>
      </w:r>
      <w:r w:rsidR="0097335F" w:rsidRPr="00DE4ADB">
        <w:rPr>
          <w:rFonts w:ascii="Verdana" w:hAnsi="Verdana"/>
          <w:sz w:val="20"/>
          <w:u w:val="single"/>
        </w:rPr>
        <w:t>Debt Finance</w:t>
      </w:r>
    </w:p>
    <w:p w:rsidR="00E95388" w:rsidRDefault="0097335F" w:rsidP="00794CF7">
      <w:pPr>
        <w:pStyle w:val="BodyText"/>
        <w:numPr>
          <w:ilvl w:val="0"/>
          <w:numId w:val="35"/>
        </w:numPr>
        <w:tabs>
          <w:tab w:val="clear" w:pos="1559"/>
          <w:tab w:val="left" w:pos="1134"/>
        </w:tabs>
        <w:ind w:left="1134" w:hanging="708"/>
        <w:rPr>
          <w:rFonts w:ascii="Verdana" w:hAnsi="Verdana"/>
          <w:sz w:val="20"/>
        </w:rPr>
      </w:pPr>
      <w:r w:rsidRPr="00DE4ADB">
        <w:rPr>
          <w:rFonts w:ascii="Verdana" w:hAnsi="Verdana"/>
          <w:sz w:val="20"/>
        </w:rPr>
        <w:t xml:space="preserve">Letter in support of </w:t>
      </w:r>
      <w:r>
        <w:rPr>
          <w:rFonts w:ascii="Verdana" w:hAnsi="Verdana"/>
          <w:sz w:val="20"/>
        </w:rPr>
        <w:t xml:space="preserve">outline </w:t>
      </w:r>
      <w:r w:rsidR="00D6693C">
        <w:rPr>
          <w:rFonts w:ascii="Verdana" w:hAnsi="Verdana"/>
          <w:sz w:val="20"/>
        </w:rPr>
        <w:t>t</w:t>
      </w:r>
      <w:r>
        <w:rPr>
          <w:rFonts w:ascii="Verdana" w:hAnsi="Verdana"/>
          <w:sz w:val="20"/>
        </w:rPr>
        <w:t xml:space="preserve">erm </w:t>
      </w:r>
      <w:r w:rsidR="00D6693C">
        <w:rPr>
          <w:rFonts w:ascii="Verdana" w:hAnsi="Verdana"/>
          <w:sz w:val="20"/>
        </w:rPr>
        <w:t>s</w:t>
      </w:r>
      <w:r>
        <w:rPr>
          <w:rFonts w:ascii="Verdana" w:hAnsi="Verdana"/>
          <w:sz w:val="20"/>
        </w:rPr>
        <w:t>heet stating the facility size</w:t>
      </w:r>
      <w:r w:rsidRPr="00DE4ADB">
        <w:rPr>
          <w:rFonts w:ascii="Verdana" w:hAnsi="Verdana"/>
          <w:sz w:val="20"/>
        </w:rPr>
        <w:t xml:space="preserve"> as set out in the Qualifying Bidders Financial Model multiplied by 120% including any conditionality of such </w:t>
      </w:r>
      <w:r>
        <w:rPr>
          <w:rFonts w:ascii="Verdana" w:hAnsi="Verdana"/>
          <w:sz w:val="20"/>
        </w:rPr>
        <w:t>outline</w:t>
      </w:r>
      <w:r w:rsidRPr="00DE4ADB">
        <w:rPr>
          <w:rFonts w:ascii="Verdana" w:hAnsi="Verdana"/>
          <w:sz w:val="20"/>
        </w:rPr>
        <w:t xml:space="preserve"> terms.</w:t>
      </w:r>
      <w:r w:rsidR="00036F16">
        <w:rPr>
          <w:rFonts w:ascii="Verdana" w:hAnsi="Verdana"/>
          <w:sz w:val="20"/>
        </w:rPr>
        <w:t xml:space="preserve"> </w:t>
      </w:r>
      <w:r w:rsidR="00036F16" w:rsidRPr="00036F16">
        <w:rPr>
          <w:rFonts w:ascii="Verdana" w:hAnsi="Verdana"/>
          <w:sz w:val="20"/>
        </w:rPr>
        <w:t>These letters must identify any constraints imposed by the lender in respect of the regime generally, as well as the particular Qualifying Bidder.</w:t>
      </w:r>
    </w:p>
    <w:p w:rsidR="0097335F" w:rsidRPr="00E95388" w:rsidRDefault="0097335F" w:rsidP="00794CF7">
      <w:pPr>
        <w:pStyle w:val="BodyText"/>
        <w:numPr>
          <w:ilvl w:val="0"/>
          <w:numId w:val="35"/>
        </w:numPr>
        <w:tabs>
          <w:tab w:val="clear" w:pos="1559"/>
          <w:tab w:val="left" w:pos="1134"/>
        </w:tabs>
        <w:ind w:left="1134" w:hanging="708"/>
        <w:rPr>
          <w:rFonts w:ascii="Verdana" w:hAnsi="Verdana"/>
          <w:sz w:val="20"/>
        </w:rPr>
      </w:pPr>
      <w:r w:rsidRPr="00E95388">
        <w:rPr>
          <w:rFonts w:ascii="Verdana" w:hAnsi="Verdana"/>
          <w:sz w:val="20"/>
        </w:rPr>
        <w:t xml:space="preserve">A credit approved </w:t>
      </w:r>
      <w:r w:rsidR="00D6693C">
        <w:rPr>
          <w:rFonts w:ascii="Verdana" w:hAnsi="Verdana"/>
          <w:sz w:val="20"/>
        </w:rPr>
        <w:t>t</w:t>
      </w:r>
      <w:r w:rsidRPr="00E95388">
        <w:rPr>
          <w:rFonts w:ascii="Verdana" w:hAnsi="Verdana"/>
          <w:sz w:val="20"/>
        </w:rPr>
        <w:t xml:space="preserve">erm </w:t>
      </w:r>
      <w:r w:rsidR="00D6693C">
        <w:rPr>
          <w:rFonts w:ascii="Verdana" w:hAnsi="Verdana"/>
          <w:sz w:val="20"/>
        </w:rPr>
        <w:t>s</w:t>
      </w:r>
      <w:r w:rsidRPr="00E95388">
        <w:rPr>
          <w:rFonts w:ascii="Verdana" w:hAnsi="Verdana"/>
          <w:sz w:val="20"/>
        </w:rPr>
        <w:t xml:space="preserve">heet, which in the case of proposed club funding solutions will be a conformed </w:t>
      </w:r>
      <w:r w:rsidR="00D6693C">
        <w:rPr>
          <w:rFonts w:ascii="Verdana" w:hAnsi="Verdana"/>
          <w:sz w:val="20"/>
        </w:rPr>
        <w:t>t</w:t>
      </w:r>
      <w:r w:rsidRPr="00E95388">
        <w:rPr>
          <w:rFonts w:ascii="Verdana" w:hAnsi="Verdana"/>
          <w:sz w:val="20"/>
        </w:rPr>
        <w:t xml:space="preserve">erm </w:t>
      </w:r>
      <w:r w:rsidR="00D6693C">
        <w:rPr>
          <w:rFonts w:ascii="Verdana" w:hAnsi="Verdana"/>
          <w:sz w:val="20"/>
        </w:rPr>
        <w:t>s</w:t>
      </w:r>
      <w:r w:rsidRPr="00E95388">
        <w:rPr>
          <w:rFonts w:ascii="Verdana" w:hAnsi="Verdana"/>
          <w:sz w:val="20"/>
        </w:rPr>
        <w:t>heet, conditional only upon:</w:t>
      </w:r>
    </w:p>
    <w:p w:rsidR="0097335F" w:rsidRDefault="0097335F" w:rsidP="00794CF7">
      <w:pPr>
        <w:pStyle w:val="BodyText"/>
        <w:numPr>
          <w:ilvl w:val="1"/>
          <w:numId w:val="35"/>
        </w:numPr>
        <w:ind w:left="1560" w:hanging="426"/>
        <w:rPr>
          <w:rFonts w:ascii="Verdana" w:hAnsi="Verdana"/>
          <w:sz w:val="20"/>
        </w:rPr>
      </w:pPr>
      <w:r w:rsidRPr="00DE4ADB">
        <w:rPr>
          <w:rFonts w:ascii="Verdana" w:hAnsi="Verdana"/>
          <w:sz w:val="20"/>
        </w:rPr>
        <w:t>Underlying interest and RPI swap rate movements</w:t>
      </w:r>
      <w:r w:rsidR="00EE290F">
        <w:rPr>
          <w:rFonts w:ascii="Verdana" w:hAnsi="Verdana"/>
          <w:sz w:val="20"/>
        </w:rPr>
        <w:t>,</w:t>
      </w:r>
    </w:p>
    <w:p w:rsidR="0097335F" w:rsidRDefault="0097335F" w:rsidP="00794CF7">
      <w:pPr>
        <w:pStyle w:val="BodyText"/>
        <w:numPr>
          <w:ilvl w:val="1"/>
          <w:numId w:val="35"/>
        </w:numPr>
        <w:ind w:left="1560" w:hanging="426"/>
        <w:rPr>
          <w:rFonts w:ascii="Verdana" w:hAnsi="Verdana"/>
          <w:sz w:val="20"/>
        </w:rPr>
      </w:pPr>
      <w:r>
        <w:rPr>
          <w:rFonts w:ascii="Verdana" w:hAnsi="Verdana"/>
          <w:sz w:val="20"/>
        </w:rPr>
        <w:lastRenderedPageBreak/>
        <w:t>Indicative margins with capped market flex</w:t>
      </w:r>
      <w:r w:rsidR="00EE290F">
        <w:rPr>
          <w:rFonts w:ascii="Verdana" w:hAnsi="Verdana"/>
          <w:sz w:val="20"/>
        </w:rPr>
        <w:t>,</w:t>
      </w:r>
    </w:p>
    <w:p w:rsidR="0097335F" w:rsidRDefault="0097335F" w:rsidP="00794CF7">
      <w:pPr>
        <w:pStyle w:val="BodyText"/>
        <w:numPr>
          <w:ilvl w:val="1"/>
          <w:numId w:val="35"/>
        </w:numPr>
        <w:ind w:left="1560" w:hanging="426"/>
        <w:rPr>
          <w:rFonts w:ascii="Verdana" w:hAnsi="Verdana"/>
          <w:sz w:val="20"/>
        </w:rPr>
      </w:pPr>
      <w:r>
        <w:rPr>
          <w:rFonts w:ascii="Verdana" w:hAnsi="Verdana"/>
          <w:sz w:val="20"/>
        </w:rPr>
        <w:t>Material adverse change to the transferring assets</w:t>
      </w:r>
      <w:r w:rsidR="00EE290F">
        <w:rPr>
          <w:rFonts w:ascii="Verdana" w:hAnsi="Verdana"/>
          <w:sz w:val="20"/>
        </w:rPr>
        <w:t>,</w:t>
      </w:r>
    </w:p>
    <w:p w:rsidR="0097335F" w:rsidRDefault="0097335F" w:rsidP="00794CF7">
      <w:pPr>
        <w:pStyle w:val="BodyText"/>
        <w:numPr>
          <w:ilvl w:val="1"/>
          <w:numId w:val="35"/>
        </w:numPr>
        <w:ind w:left="1560" w:hanging="426"/>
        <w:rPr>
          <w:rFonts w:ascii="Verdana" w:hAnsi="Verdana"/>
          <w:sz w:val="20"/>
        </w:rPr>
      </w:pPr>
      <w:r w:rsidRPr="00C03689">
        <w:rPr>
          <w:rFonts w:ascii="Verdana" w:hAnsi="Verdana"/>
          <w:sz w:val="20"/>
        </w:rPr>
        <w:t>Agreed finance documentation</w:t>
      </w:r>
      <w:r w:rsidR="00EE290F">
        <w:rPr>
          <w:rFonts w:ascii="Verdana" w:hAnsi="Verdana"/>
          <w:sz w:val="20"/>
        </w:rPr>
        <w:t>,</w:t>
      </w:r>
    </w:p>
    <w:p w:rsidR="0097335F" w:rsidRDefault="0097335F" w:rsidP="00794CF7">
      <w:pPr>
        <w:pStyle w:val="BodyText"/>
        <w:numPr>
          <w:ilvl w:val="1"/>
          <w:numId w:val="35"/>
        </w:numPr>
        <w:ind w:left="1560" w:hanging="426"/>
        <w:rPr>
          <w:rFonts w:ascii="Verdana" w:hAnsi="Verdana"/>
          <w:sz w:val="20"/>
        </w:rPr>
      </w:pPr>
      <w:r>
        <w:rPr>
          <w:rFonts w:ascii="Verdana" w:hAnsi="Verdana"/>
          <w:sz w:val="20"/>
        </w:rPr>
        <w:t>Confirmatory Due Diligence</w:t>
      </w:r>
      <w:r w:rsidR="00EE290F">
        <w:rPr>
          <w:rFonts w:ascii="Verdana" w:hAnsi="Verdana"/>
          <w:sz w:val="20"/>
        </w:rPr>
        <w:t>, and</w:t>
      </w:r>
    </w:p>
    <w:p w:rsidR="00EE290F" w:rsidRPr="002C063F" w:rsidRDefault="00EE290F" w:rsidP="00794CF7">
      <w:pPr>
        <w:pStyle w:val="BodyText"/>
        <w:numPr>
          <w:ilvl w:val="1"/>
          <w:numId w:val="35"/>
        </w:numPr>
        <w:ind w:left="1560" w:hanging="426"/>
        <w:rPr>
          <w:rFonts w:ascii="Verdana" w:hAnsi="Verdana"/>
          <w:sz w:val="20"/>
        </w:rPr>
      </w:pPr>
      <w:r>
        <w:rPr>
          <w:rFonts w:ascii="Verdana" w:hAnsi="Verdana"/>
          <w:sz w:val="20"/>
        </w:rPr>
        <w:t>EIB funding, where applicable</w:t>
      </w:r>
    </w:p>
    <w:p w:rsidR="0097335F" w:rsidRDefault="0097335F" w:rsidP="0097335F">
      <w:pPr>
        <w:rPr>
          <w:rFonts w:ascii="Verdana" w:hAnsi="Verdana"/>
          <w:b/>
          <w:sz w:val="20"/>
        </w:rPr>
      </w:pPr>
    </w:p>
    <w:p w:rsidR="0097335F" w:rsidRDefault="0097335F" w:rsidP="0097335F">
      <w:pPr>
        <w:rPr>
          <w:rFonts w:ascii="Verdana" w:hAnsi="Verdana"/>
          <w:b/>
          <w:sz w:val="20"/>
        </w:rPr>
      </w:pPr>
      <w:r>
        <w:rPr>
          <w:rFonts w:ascii="Verdana" w:hAnsi="Verdana"/>
          <w:b/>
          <w:sz w:val="20"/>
        </w:rPr>
        <w:t>Part C</w:t>
      </w:r>
    </w:p>
    <w:p w:rsidR="00EE290F" w:rsidRDefault="00EE290F" w:rsidP="0097335F">
      <w:pPr>
        <w:rPr>
          <w:rFonts w:ascii="Verdana" w:hAnsi="Verdana"/>
          <w:sz w:val="20"/>
        </w:rPr>
      </w:pPr>
    </w:p>
    <w:p w:rsidR="00EE290F" w:rsidRDefault="00EE290F" w:rsidP="0097335F">
      <w:pPr>
        <w:rPr>
          <w:rFonts w:ascii="Verdana" w:hAnsi="Verdana"/>
          <w:sz w:val="20"/>
        </w:rPr>
      </w:pPr>
      <w:r>
        <w:rPr>
          <w:rFonts w:ascii="Verdana" w:hAnsi="Verdana"/>
          <w:sz w:val="20"/>
        </w:rPr>
        <w:t>Qualifying Bidders are required, as a minimum, to provide the information requested under Part A.  In providing their response, Qualifying Bidders must assume the following:</w:t>
      </w:r>
    </w:p>
    <w:p w:rsidR="00756CA6" w:rsidRDefault="00756CA6" w:rsidP="0097335F">
      <w:pPr>
        <w:rPr>
          <w:rFonts w:ascii="Verdana" w:hAnsi="Verdana"/>
          <w:sz w:val="20"/>
        </w:rPr>
      </w:pPr>
    </w:p>
    <w:p w:rsidR="00756CA6" w:rsidRDefault="00756CA6" w:rsidP="0097335F">
      <w:pPr>
        <w:rPr>
          <w:rFonts w:ascii="Verdana" w:hAnsi="Verdana"/>
          <w:sz w:val="20"/>
        </w:rPr>
      </w:pPr>
      <w:r>
        <w:rPr>
          <w:rFonts w:ascii="Verdana" w:hAnsi="Verdana"/>
          <w:sz w:val="20"/>
        </w:rPr>
        <w:t>The transfer of assets is exp</w:t>
      </w:r>
      <w:r w:rsidR="001E7439">
        <w:rPr>
          <w:rFonts w:ascii="Verdana" w:hAnsi="Verdana"/>
          <w:sz w:val="20"/>
        </w:rPr>
        <w:t>ected to occur in November 2010</w:t>
      </w:r>
      <w:r>
        <w:rPr>
          <w:rFonts w:ascii="Verdana" w:hAnsi="Verdana"/>
          <w:sz w:val="20"/>
        </w:rPr>
        <w:t xml:space="preserve"> </w:t>
      </w:r>
      <w:r w:rsidR="001E7439">
        <w:rPr>
          <w:rFonts w:ascii="Verdana" w:hAnsi="Verdana"/>
          <w:sz w:val="20"/>
        </w:rPr>
        <w:t>(</w:t>
      </w:r>
      <w:r>
        <w:rPr>
          <w:rFonts w:ascii="Verdana" w:hAnsi="Verdana"/>
          <w:sz w:val="20"/>
        </w:rPr>
        <w:t>the Estimated Transfer Date</w:t>
      </w:r>
      <w:r w:rsidR="001E7439">
        <w:rPr>
          <w:rFonts w:ascii="Verdana" w:hAnsi="Verdana"/>
          <w:sz w:val="20"/>
        </w:rPr>
        <w:t>)</w:t>
      </w:r>
      <w:r>
        <w:rPr>
          <w:rFonts w:ascii="Verdana" w:hAnsi="Verdana"/>
          <w:sz w:val="20"/>
        </w:rPr>
        <w:t xml:space="preserve">.  Licence Grant is </w:t>
      </w:r>
      <w:r w:rsidR="001E7439">
        <w:rPr>
          <w:rFonts w:ascii="Verdana" w:hAnsi="Verdana"/>
          <w:sz w:val="20"/>
        </w:rPr>
        <w:t>expected</w:t>
      </w:r>
      <w:r>
        <w:rPr>
          <w:rFonts w:ascii="Verdana" w:hAnsi="Verdana"/>
          <w:sz w:val="20"/>
        </w:rPr>
        <w:t xml:space="preserve"> to occur at or before </w:t>
      </w:r>
      <w:r w:rsidR="001E7439">
        <w:rPr>
          <w:rFonts w:ascii="Verdana" w:hAnsi="Verdana"/>
          <w:sz w:val="20"/>
        </w:rPr>
        <w:t>Go Live (</w:t>
      </w:r>
      <w:r>
        <w:rPr>
          <w:rFonts w:ascii="Verdana" w:hAnsi="Verdana"/>
          <w:sz w:val="20"/>
        </w:rPr>
        <w:t>June 2010</w:t>
      </w:r>
      <w:r w:rsidR="001E7439">
        <w:rPr>
          <w:rFonts w:ascii="Verdana" w:hAnsi="Verdana"/>
          <w:sz w:val="20"/>
        </w:rPr>
        <w:t>)</w:t>
      </w:r>
      <w:r>
        <w:rPr>
          <w:rFonts w:ascii="Verdana" w:hAnsi="Verdana"/>
          <w:sz w:val="20"/>
        </w:rPr>
        <w:t xml:space="preserve"> with a Pre Transfer Revenue Stream in </w:t>
      </w:r>
      <w:r w:rsidR="00283DBA">
        <w:rPr>
          <w:rFonts w:ascii="Verdana" w:hAnsi="Verdana"/>
          <w:sz w:val="20"/>
        </w:rPr>
        <w:t>place until the assets transfer and is replaced by the full Tender Revenue Stream.</w:t>
      </w:r>
    </w:p>
    <w:p w:rsidR="00EE290F" w:rsidRDefault="00EE290F" w:rsidP="0097335F">
      <w:pPr>
        <w:rPr>
          <w:rFonts w:ascii="Verdana" w:hAnsi="Verdana"/>
          <w:sz w:val="20"/>
        </w:rPr>
      </w:pPr>
    </w:p>
    <w:p w:rsidR="00EE290F" w:rsidRDefault="00EE290F" w:rsidP="00794CF7">
      <w:pPr>
        <w:numPr>
          <w:ilvl w:val="3"/>
          <w:numId w:val="39"/>
        </w:numPr>
        <w:ind w:hanging="3731"/>
        <w:rPr>
          <w:rFonts w:ascii="Verdana" w:hAnsi="Verdana"/>
          <w:sz w:val="20"/>
          <w:u w:val="single"/>
        </w:rPr>
      </w:pPr>
      <w:r w:rsidRPr="00EE290F">
        <w:rPr>
          <w:rFonts w:ascii="Verdana" w:hAnsi="Verdana"/>
          <w:sz w:val="20"/>
          <w:u w:val="single"/>
        </w:rPr>
        <w:t>Pre Asset Transfer Revenue Stream</w:t>
      </w:r>
    </w:p>
    <w:p w:rsidR="00EE290F" w:rsidRPr="00EE290F" w:rsidRDefault="00EE290F" w:rsidP="00EE290F">
      <w:pPr>
        <w:rPr>
          <w:rFonts w:ascii="Verdana" w:hAnsi="Verdana"/>
          <w:sz w:val="20"/>
          <w:u w:val="single"/>
        </w:rPr>
      </w:pPr>
    </w:p>
    <w:p w:rsidR="00283DBA" w:rsidRDefault="00EE290F" w:rsidP="00283DBA">
      <w:pPr>
        <w:ind w:left="709"/>
        <w:rPr>
          <w:rFonts w:ascii="Verdana" w:hAnsi="Verdana"/>
          <w:sz w:val="20"/>
        </w:rPr>
      </w:pPr>
      <w:r>
        <w:rPr>
          <w:rFonts w:ascii="Verdana" w:hAnsi="Verdana"/>
          <w:sz w:val="20"/>
        </w:rPr>
        <w:t xml:space="preserve">From the period of June 2010 (Go Live) until November 2010 (the Estimated Transfer Date for Greater </w:t>
      </w:r>
      <w:proofErr w:type="spellStart"/>
      <w:r>
        <w:rPr>
          <w:rFonts w:ascii="Verdana" w:hAnsi="Verdana"/>
          <w:sz w:val="20"/>
        </w:rPr>
        <w:t>Gabbard</w:t>
      </w:r>
      <w:proofErr w:type="spellEnd"/>
      <w:r>
        <w:rPr>
          <w:rFonts w:ascii="Verdana" w:hAnsi="Verdana"/>
          <w:sz w:val="20"/>
        </w:rPr>
        <w:t>), Qualifying Bidders will be required to model a Pre-Transfer Tender Revenue Stream which should include for any costs which the OFTO will incur between Licence Grant and asset transfer.</w:t>
      </w:r>
      <w:r w:rsidR="00283DBA">
        <w:rPr>
          <w:rFonts w:ascii="Verdana" w:hAnsi="Verdana"/>
          <w:sz w:val="20"/>
        </w:rPr>
        <w:t xml:space="preserve"> </w:t>
      </w:r>
    </w:p>
    <w:p w:rsidR="00283DBA" w:rsidRDefault="00283DBA" w:rsidP="00283DBA">
      <w:pPr>
        <w:ind w:left="709"/>
        <w:rPr>
          <w:rFonts w:ascii="Verdana" w:hAnsi="Verdana"/>
          <w:sz w:val="20"/>
        </w:rPr>
      </w:pPr>
    </w:p>
    <w:p w:rsidR="00283DBA" w:rsidRDefault="00283DBA" w:rsidP="00283DBA">
      <w:pPr>
        <w:ind w:left="709"/>
        <w:rPr>
          <w:rFonts w:ascii="Verdana" w:hAnsi="Verdana"/>
          <w:sz w:val="20"/>
        </w:rPr>
      </w:pPr>
      <w:r>
        <w:rPr>
          <w:rFonts w:ascii="Verdana" w:hAnsi="Verdana"/>
          <w:sz w:val="20"/>
        </w:rPr>
        <w:t>For the avoidance of doubt, commitment for 100% of the Estimated Transfer Value should be in place on Licence Grant and the assumptions regarding cost categories to be included in the Pre Transfer Revenue Stream are set out in Appendix 2, Section 6.</w:t>
      </w:r>
    </w:p>
    <w:p w:rsidR="00EE290F" w:rsidRDefault="00EE290F" w:rsidP="00EE290F">
      <w:pPr>
        <w:rPr>
          <w:rFonts w:ascii="Verdana" w:hAnsi="Verdana"/>
          <w:sz w:val="20"/>
        </w:rPr>
      </w:pPr>
    </w:p>
    <w:p w:rsidR="00EE290F" w:rsidRDefault="00EE290F" w:rsidP="00794CF7">
      <w:pPr>
        <w:numPr>
          <w:ilvl w:val="3"/>
          <w:numId w:val="39"/>
        </w:numPr>
        <w:ind w:hanging="3731"/>
        <w:rPr>
          <w:rFonts w:ascii="Verdana" w:hAnsi="Verdana"/>
          <w:sz w:val="20"/>
          <w:u w:val="single"/>
        </w:rPr>
      </w:pPr>
      <w:r w:rsidRPr="00EE290F">
        <w:rPr>
          <w:rFonts w:ascii="Verdana" w:hAnsi="Verdana"/>
          <w:sz w:val="20"/>
          <w:u w:val="single"/>
        </w:rPr>
        <w:t>Full Tender Revenue Stream</w:t>
      </w:r>
    </w:p>
    <w:p w:rsidR="00EE290F" w:rsidRPr="00EE290F" w:rsidRDefault="00EE290F" w:rsidP="00EE290F">
      <w:pPr>
        <w:rPr>
          <w:rFonts w:ascii="Verdana" w:hAnsi="Verdana"/>
          <w:sz w:val="20"/>
          <w:u w:val="single"/>
        </w:rPr>
      </w:pPr>
    </w:p>
    <w:p w:rsidR="00036F16" w:rsidRDefault="00EE290F" w:rsidP="00E95388">
      <w:pPr>
        <w:ind w:left="709"/>
        <w:rPr>
          <w:rFonts w:ascii="Verdana" w:hAnsi="Verdana"/>
          <w:sz w:val="20"/>
        </w:rPr>
      </w:pPr>
      <w:r>
        <w:rPr>
          <w:rFonts w:ascii="Verdana" w:hAnsi="Verdana"/>
          <w:sz w:val="20"/>
        </w:rPr>
        <w:t xml:space="preserve">From November 2010, Qualifying Bidders will be required to assume that 75% of the Estimated Transfer Value is payable to the Developer of Greater </w:t>
      </w:r>
      <w:proofErr w:type="spellStart"/>
      <w:r>
        <w:rPr>
          <w:rFonts w:ascii="Verdana" w:hAnsi="Verdana"/>
          <w:sz w:val="20"/>
        </w:rPr>
        <w:t>Gabbard</w:t>
      </w:r>
      <w:proofErr w:type="spellEnd"/>
      <w:r>
        <w:rPr>
          <w:rFonts w:ascii="Verdana" w:hAnsi="Verdana"/>
          <w:sz w:val="20"/>
        </w:rPr>
        <w:t xml:space="preserve">, with the amount for Deferred Consideration being 25% of the Estimated Transfer Value, payable 6 months post asset transfer.  </w:t>
      </w:r>
    </w:p>
    <w:p w:rsidR="00036F16" w:rsidRDefault="00036F16" w:rsidP="00E95388">
      <w:pPr>
        <w:ind w:left="709"/>
        <w:rPr>
          <w:rFonts w:ascii="Verdana" w:hAnsi="Verdana"/>
          <w:sz w:val="20"/>
        </w:rPr>
      </w:pPr>
    </w:p>
    <w:p w:rsidR="00D926BA" w:rsidRPr="00757832" w:rsidRDefault="00D926BA" w:rsidP="00D926BA">
      <w:pPr>
        <w:rPr>
          <w:rFonts w:ascii="Verdana" w:hAnsi="Verdana"/>
          <w:b/>
          <w:sz w:val="20"/>
          <w:u w:val="single"/>
        </w:rPr>
      </w:pPr>
      <w:r w:rsidRPr="00AD6D64">
        <w:rPr>
          <w:rFonts w:ascii="Verdana" w:hAnsi="Verdana"/>
          <w:sz w:val="20"/>
        </w:rPr>
        <w:t xml:space="preserve"> </w:t>
      </w:r>
      <w:r w:rsidR="002562CD" w:rsidRPr="00757832">
        <w:rPr>
          <w:rFonts w:ascii="Verdana" w:hAnsi="Verdana"/>
          <w:b/>
          <w:sz w:val="20"/>
          <w:u w:val="single"/>
        </w:rPr>
        <w:t xml:space="preserve">TENDER REVENUE STREAM AND </w:t>
      </w:r>
      <w:r w:rsidR="00BD3E8D">
        <w:rPr>
          <w:rFonts w:ascii="Verdana" w:hAnsi="Verdana"/>
          <w:b/>
          <w:sz w:val="20"/>
          <w:u w:val="single"/>
        </w:rPr>
        <w:t xml:space="preserve">QUALITY OF </w:t>
      </w:r>
      <w:r w:rsidR="002562CD" w:rsidRPr="00757832">
        <w:rPr>
          <w:rFonts w:ascii="Verdana" w:hAnsi="Verdana"/>
          <w:b/>
          <w:sz w:val="20"/>
          <w:u w:val="single"/>
        </w:rPr>
        <w:t xml:space="preserve">UNDERLYING ASSUMPTIONS </w:t>
      </w:r>
    </w:p>
    <w:p w:rsidR="00D926BA" w:rsidRPr="00757832" w:rsidRDefault="00D926BA" w:rsidP="00D926BA">
      <w:pPr>
        <w:pStyle w:val="BodyText"/>
        <w:rPr>
          <w:rFonts w:ascii="Verdana" w:hAnsi="Verdana"/>
          <w:b/>
          <w:sz w:val="20"/>
        </w:rPr>
      </w:pPr>
      <w:r w:rsidRPr="00757832">
        <w:rPr>
          <w:rFonts w:ascii="Verdana" w:hAnsi="Verdana"/>
          <w:b/>
          <w:sz w:val="20"/>
        </w:rPr>
        <w:t>Section</w:t>
      </w:r>
      <w:r>
        <w:rPr>
          <w:rFonts w:ascii="Verdana" w:hAnsi="Verdana"/>
          <w:b/>
          <w:sz w:val="20"/>
        </w:rPr>
        <w:t xml:space="preserve"> </w:t>
      </w:r>
      <w:r w:rsidR="0093166A">
        <w:rPr>
          <w:rFonts w:ascii="Verdana" w:hAnsi="Verdana"/>
          <w:b/>
          <w:sz w:val="20"/>
        </w:rPr>
        <w:t>6</w:t>
      </w:r>
      <w:r w:rsidRPr="00757832">
        <w:rPr>
          <w:rFonts w:ascii="Verdana" w:hAnsi="Verdana"/>
          <w:b/>
          <w:sz w:val="20"/>
        </w:rPr>
        <w:t>: Tender Revenue Stream</w:t>
      </w:r>
    </w:p>
    <w:p w:rsidR="00780875" w:rsidRDefault="00D926BA" w:rsidP="00780875">
      <w:pPr>
        <w:pStyle w:val="Heading3"/>
        <w:numPr>
          <w:ilvl w:val="0"/>
          <w:numId w:val="32"/>
        </w:numPr>
        <w:tabs>
          <w:tab w:val="clear" w:pos="2268"/>
          <w:tab w:val="left" w:pos="426"/>
        </w:tabs>
        <w:ind w:left="426" w:hanging="426"/>
        <w:rPr>
          <w:rFonts w:ascii="Verdana" w:hAnsi="Verdana"/>
          <w:sz w:val="20"/>
        </w:rPr>
      </w:pPr>
      <w:r w:rsidRPr="00ED4CF9">
        <w:rPr>
          <w:rFonts w:ascii="Verdana" w:hAnsi="Verdana"/>
          <w:sz w:val="20"/>
        </w:rPr>
        <w:t>Qualifying Bidders are required to provide a Tender Revenue Stream bid</w:t>
      </w:r>
      <w:r w:rsidR="001E7439">
        <w:rPr>
          <w:rFonts w:ascii="Verdana" w:hAnsi="Verdana"/>
          <w:sz w:val="20"/>
        </w:rPr>
        <w:t xml:space="preserve"> (the base case)</w:t>
      </w:r>
      <w:r w:rsidR="00CB3D99">
        <w:rPr>
          <w:rFonts w:ascii="Verdana" w:hAnsi="Verdana"/>
          <w:sz w:val="20"/>
        </w:rPr>
        <w:t xml:space="preserve"> for the relevant Qualifying Project</w:t>
      </w:r>
      <w:r>
        <w:rPr>
          <w:rFonts w:ascii="Verdana" w:hAnsi="Verdana"/>
          <w:sz w:val="20"/>
        </w:rPr>
        <w:t xml:space="preserve">.  This must assume a constant revenue stream in </w:t>
      </w:r>
      <w:r w:rsidRPr="00ED4CF9">
        <w:rPr>
          <w:rFonts w:ascii="Verdana" w:hAnsi="Verdana"/>
          <w:sz w:val="20"/>
        </w:rPr>
        <w:t xml:space="preserve">real terms as at the </w:t>
      </w:r>
      <w:r w:rsidR="001E7439">
        <w:rPr>
          <w:rFonts w:ascii="Verdana" w:hAnsi="Verdana"/>
          <w:sz w:val="20"/>
        </w:rPr>
        <w:t>Estimated Transfer Date</w:t>
      </w:r>
      <w:r w:rsidRPr="00ED4CF9">
        <w:rPr>
          <w:rFonts w:ascii="Verdana" w:hAnsi="Verdana"/>
          <w:sz w:val="20"/>
        </w:rPr>
        <w:t xml:space="preserve"> for </w:t>
      </w:r>
      <w:r>
        <w:rPr>
          <w:rFonts w:ascii="Verdana" w:hAnsi="Verdana"/>
          <w:sz w:val="20"/>
        </w:rPr>
        <w:t xml:space="preserve">the relevant Qualifying Project and must be based on </w:t>
      </w:r>
      <w:r w:rsidR="00723E05">
        <w:rPr>
          <w:rFonts w:ascii="Verdana" w:hAnsi="Verdana"/>
          <w:sz w:val="20"/>
        </w:rPr>
        <w:t>the d</w:t>
      </w:r>
      <w:r w:rsidR="00DD1F89">
        <w:rPr>
          <w:rFonts w:ascii="Verdana" w:hAnsi="Verdana"/>
          <w:sz w:val="20"/>
        </w:rPr>
        <w:t xml:space="preserve">raft Project </w:t>
      </w:r>
      <w:r w:rsidRPr="00ED4CF9">
        <w:rPr>
          <w:rFonts w:ascii="Verdana" w:hAnsi="Verdana"/>
          <w:sz w:val="20"/>
        </w:rPr>
        <w:t>Availability Standard.</w:t>
      </w:r>
      <w:r>
        <w:rPr>
          <w:rFonts w:ascii="Verdana" w:hAnsi="Verdana"/>
          <w:sz w:val="20"/>
        </w:rPr>
        <w:t xml:space="preserve">  It must be based on a 20-year term </w:t>
      </w:r>
      <w:r w:rsidR="002562CD">
        <w:rPr>
          <w:rFonts w:ascii="Verdana" w:hAnsi="Verdana"/>
          <w:sz w:val="20"/>
        </w:rPr>
        <w:t>from asset transfer</w:t>
      </w:r>
      <w:r>
        <w:rPr>
          <w:rFonts w:ascii="Verdana" w:hAnsi="Verdana"/>
          <w:sz w:val="20"/>
        </w:rPr>
        <w:t>.</w:t>
      </w:r>
    </w:p>
    <w:p w:rsidR="00780875" w:rsidRDefault="00780875" w:rsidP="00780875">
      <w:pPr>
        <w:pStyle w:val="Heading3"/>
        <w:numPr>
          <w:ilvl w:val="0"/>
          <w:numId w:val="32"/>
        </w:numPr>
        <w:tabs>
          <w:tab w:val="clear" w:pos="2268"/>
          <w:tab w:val="left" w:pos="426"/>
        </w:tabs>
        <w:ind w:left="426" w:hanging="426"/>
        <w:rPr>
          <w:rFonts w:ascii="Verdana" w:hAnsi="Verdana"/>
          <w:sz w:val="20"/>
        </w:rPr>
      </w:pPr>
      <w:r w:rsidRPr="00780875">
        <w:rPr>
          <w:rFonts w:ascii="Verdana" w:hAnsi="Verdana"/>
          <w:sz w:val="20"/>
        </w:rPr>
        <w:t xml:space="preserve">Qualifying Bidders are required to provide </w:t>
      </w:r>
      <w:r>
        <w:rPr>
          <w:rFonts w:ascii="Verdana" w:hAnsi="Verdana"/>
          <w:sz w:val="20"/>
        </w:rPr>
        <w:t>a</w:t>
      </w:r>
      <w:r w:rsidRPr="00780875">
        <w:rPr>
          <w:rFonts w:ascii="Verdana" w:hAnsi="Verdana"/>
          <w:sz w:val="20"/>
        </w:rPr>
        <w:t xml:space="preserve"> revised Tender Revenue Stre</w:t>
      </w:r>
      <w:r>
        <w:rPr>
          <w:rFonts w:ascii="Verdana" w:hAnsi="Verdana"/>
          <w:sz w:val="20"/>
        </w:rPr>
        <w:t>am</w:t>
      </w:r>
      <w:r w:rsidRPr="00780875">
        <w:rPr>
          <w:rFonts w:ascii="Verdana" w:hAnsi="Verdana"/>
          <w:sz w:val="20"/>
        </w:rPr>
        <w:t xml:space="preserve">, on the assumption that the </w:t>
      </w:r>
      <w:r w:rsidR="001E7439">
        <w:rPr>
          <w:rFonts w:ascii="Verdana" w:hAnsi="Verdana"/>
          <w:sz w:val="20"/>
        </w:rPr>
        <w:t>Final Transfer Value is</w:t>
      </w:r>
      <w:r w:rsidR="008D5578">
        <w:rPr>
          <w:rFonts w:ascii="Verdana" w:hAnsi="Verdana"/>
          <w:sz w:val="20"/>
        </w:rPr>
        <w:t xml:space="preserve"> up to</w:t>
      </w:r>
      <w:r w:rsidRPr="00780875">
        <w:rPr>
          <w:rFonts w:ascii="Verdana" w:hAnsi="Verdana"/>
          <w:sz w:val="20"/>
        </w:rPr>
        <w:t xml:space="preserve"> 120% of the Estimated Transfer Value.  </w:t>
      </w:r>
      <w:r>
        <w:rPr>
          <w:rFonts w:ascii="Verdana" w:hAnsi="Verdana"/>
          <w:sz w:val="20"/>
        </w:rPr>
        <w:t>Please provide</w:t>
      </w:r>
      <w:r w:rsidRPr="00780875">
        <w:rPr>
          <w:rFonts w:ascii="Verdana" w:hAnsi="Verdana"/>
          <w:sz w:val="20"/>
        </w:rPr>
        <w:t xml:space="preserve"> a detailed breakdown of any changes in assumptions which result in an amendment to the </w:t>
      </w:r>
      <w:r w:rsidR="00AE6854">
        <w:rPr>
          <w:rFonts w:ascii="Verdana" w:hAnsi="Verdana"/>
          <w:sz w:val="20"/>
        </w:rPr>
        <w:t>b</w:t>
      </w:r>
      <w:r w:rsidRPr="00780875">
        <w:rPr>
          <w:rFonts w:ascii="Verdana" w:hAnsi="Verdana"/>
          <w:sz w:val="20"/>
        </w:rPr>
        <w:t xml:space="preserve">ase </w:t>
      </w:r>
      <w:r w:rsidR="00AE6854">
        <w:rPr>
          <w:rFonts w:ascii="Verdana" w:hAnsi="Verdana"/>
          <w:sz w:val="20"/>
        </w:rPr>
        <w:t>c</w:t>
      </w:r>
      <w:r w:rsidRPr="00780875">
        <w:rPr>
          <w:rFonts w:ascii="Verdana" w:hAnsi="Verdana"/>
          <w:sz w:val="20"/>
        </w:rPr>
        <w:t>ase Tender Revenue Stream</w:t>
      </w:r>
      <w:r>
        <w:rPr>
          <w:rFonts w:ascii="Verdana" w:hAnsi="Verdana"/>
          <w:sz w:val="20"/>
        </w:rPr>
        <w:t xml:space="preserve"> coupled with a detailed approach of how any </w:t>
      </w:r>
      <w:r w:rsidR="001E7439">
        <w:rPr>
          <w:rFonts w:ascii="Verdana" w:hAnsi="Verdana"/>
          <w:sz w:val="20"/>
        </w:rPr>
        <w:t>Final Transfer Value</w:t>
      </w:r>
      <w:r>
        <w:rPr>
          <w:rFonts w:ascii="Verdana" w:hAnsi="Verdana"/>
          <w:sz w:val="20"/>
        </w:rPr>
        <w:t xml:space="preserve"> varia</w:t>
      </w:r>
      <w:r w:rsidR="001E7439">
        <w:rPr>
          <w:rFonts w:ascii="Verdana" w:hAnsi="Verdana"/>
          <w:sz w:val="20"/>
        </w:rPr>
        <w:t>tion will be managed.</w:t>
      </w:r>
    </w:p>
    <w:p w:rsidR="00780875" w:rsidRDefault="00780875" w:rsidP="00780875">
      <w:pPr>
        <w:pStyle w:val="Heading3"/>
        <w:numPr>
          <w:ilvl w:val="0"/>
          <w:numId w:val="32"/>
        </w:numPr>
        <w:tabs>
          <w:tab w:val="clear" w:pos="2268"/>
          <w:tab w:val="left" w:pos="426"/>
        </w:tabs>
        <w:ind w:left="426" w:hanging="426"/>
        <w:rPr>
          <w:rFonts w:ascii="Verdana" w:hAnsi="Verdana"/>
          <w:sz w:val="20"/>
        </w:rPr>
      </w:pPr>
      <w:r>
        <w:rPr>
          <w:rFonts w:ascii="Verdana" w:hAnsi="Verdana"/>
          <w:sz w:val="20"/>
        </w:rPr>
        <w:lastRenderedPageBreak/>
        <w:t xml:space="preserve">Qualified Bidders are required to provide </w:t>
      </w:r>
      <w:r w:rsidR="00AE6854">
        <w:rPr>
          <w:rFonts w:ascii="Verdana" w:hAnsi="Verdana"/>
          <w:sz w:val="20"/>
        </w:rPr>
        <w:t>a</w:t>
      </w:r>
      <w:r>
        <w:rPr>
          <w:rFonts w:ascii="Verdana" w:hAnsi="Verdana"/>
          <w:sz w:val="20"/>
        </w:rPr>
        <w:t xml:space="preserve"> revised Tender Revenue Stream, on the assumption that the </w:t>
      </w:r>
      <w:r w:rsidR="001E7439">
        <w:rPr>
          <w:rFonts w:ascii="Verdana" w:hAnsi="Verdana"/>
          <w:sz w:val="20"/>
        </w:rPr>
        <w:t>Final Transfer Value</w:t>
      </w:r>
      <w:r>
        <w:rPr>
          <w:rFonts w:ascii="Verdana" w:hAnsi="Verdana"/>
          <w:sz w:val="20"/>
        </w:rPr>
        <w:t xml:space="preserve"> i</w:t>
      </w:r>
      <w:r w:rsidR="001E7439">
        <w:rPr>
          <w:rFonts w:ascii="Verdana" w:hAnsi="Verdana"/>
          <w:sz w:val="20"/>
        </w:rPr>
        <w:t>s</w:t>
      </w:r>
      <w:r>
        <w:rPr>
          <w:rFonts w:ascii="Verdana" w:hAnsi="Verdana"/>
          <w:sz w:val="20"/>
        </w:rPr>
        <w:t xml:space="preserve"> </w:t>
      </w:r>
      <w:r w:rsidR="008D5578">
        <w:rPr>
          <w:rFonts w:ascii="Verdana" w:hAnsi="Verdana"/>
          <w:sz w:val="20"/>
        </w:rPr>
        <w:t xml:space="preserve">down to </w:t>
      </w:r>
      <w:r>
        <w:rPr>
          <w:rFonts w:ascii="Verdana" w:hAnsi="Verdana"/>
          <w:sz w:val="20"/>
        </w:rPr>
        <w:t>90% of the Estimated Transfer Value. Please</w:t>
      </w:r>
      <w:r w:rsidRPr="00780875">
        <w:rPr>
          <w:rFonts w:ascii="Verdana" w:hAnsi="Verdana"/>
          <w:sz w:val="20"/>
        </w:rPr>
        <w:t xml:space="preserve"> provide a detailed breakdown of any changes in assumptions which resu</w:t>
      </w:r>
      <w:r w:rsidR="00AE6854">
        <w:rPr>
          <w:rFonts w:ascii="Verdana" w:hAnsi="Verdana"/>
          <w:sz w:val="20"/>
        </w:rPr>
        <w:t>lt in an amendment to the base c</w:t>
      </w:r>
      <w:r w:rsidRPr="00780875">
        <w:rPr>
          <w:rFonts w:ascii="Verdana" w:hAnsi="Verdana"/>
          <w:sz w:val="20"/>
        </w:rPr>
        <w:t>ase Tender Rev</w:t>
      </w:r>
      <w:r w:rsidR="008D5578">
        <w:rPr>
          <w:rFonts w:ascii="Verdana" w:hAnsi="Verdana"/>
          <w:sz w:val="20"/>
        </w:rPr>
        <w:t>enue Stream.</w:t>
      </w:r>
    </w:p>
    <w:p w:rsidR="000956F9" w:rsidRPr="000956F9" w:rsidRDefault="000956F9" w:rsidP="000956F9">
      <w:pPr>
        <w:pStyle w:val="BodyText"/>
        <w:rPr>
          <w:rFonts w:ascii="Verdana" w:hAnsi="Verdana"/>
          <w:b/>
          <w:sz w:val="20"/>
        </w:rPr>
      </w:pPr>
      <w:r w:rsidRPr="000956F9">
        <w:rPr>
          <w:rFonts w:ascii="Verdana" w:hAnsi="Verdana"/>
          <w:b/>
          <w:sz w:val="20"/>
        </w:rPr>
        <w:t xml:space="preserve">Greater </w:t>
      </w:r>
      <w:proofErr w:type="spellStart"/>
      <w:r w:rsidRPr="000956F9">
        <w:rPr>
          <w:rFonts w:ascii="Verdana" w:hAnsi="Verdana"/>
          <w:b/>
          <w:sz w:val="20"/>
        </w:rPr>
        <w:t>Gabbard</w:t>
      </w:r>
      <w:proofErr w:type="spellEnd"/>
    </w:p>
    <w:p w:rsidR="000956F9" w:rsidRPr="00FE3E93" w:rsidRDefault="000956F9" w:rsidP="000956F9">
      <w:pPr>
        <w:pStyle w:val="BodyText"/>
        <w:numPr>
          <w:ilvl w:val="0"/>
          <w:numId w:val="32"/>
        </w:numPr>
        <w:tabs>
          <w:tab w:val="clear" w:pos="709"/>
          <w:tab w:val="left" w:pos="426"/>
        </w:tabs>
        <w:ind w:left="426" w:hanging="426"/>
        <w:rPr>
          <w:rFonts w:ascii="Verdana" w:hAnsi="Verdana"/>
          <w:sz w:val="20"/>
        </w:rPr>
      </w:pPr>
      <w:r w:rsidRPr="00FE3E93">
        <w:rPr>
          <w:rFonts w:ascii="Verdana" w:hAnsi="Verdana"/>
          <w:sz w:val="20"/>
        </w:rPr>
        <w:t xml:space="preserve">In addition to providing the above requirements, Qualifying Bidders must also provide a Pre-Transfer Tender Revenue Stream for Greater </w:t>
      </w:r>
      <w:proofErr w:type="spellStart"/>
      <w:r w:rsidRPr="00FE3E93">
        <w:rPr>
          <w:rFonts w:ascii="Verdana" w:hAnsi="Verdana"/>
          <w:sz w:val="20"/>
        </w:rPr>
        <w:t>Gabbard</w:t>
      </w:r>
      <w:proofErr w:type="spellEnd"/>
      <w:r w:rsidRPr="00FE3E93">
        <w:rPr>
          <w:rFonts w:ascii="Verdana" w:hAnsi="Verdana"/>
          <w:sz w:val="20"/>
        </w:rPr>
        <w:t xml:space="preserve">.  </w:t>
      </w:r>
      <w:r w:rsidR="00FE3E93" w:rsidRPr="00FE3E93">
        <w:rPr>
          <w:rFonts w:ascii="Verdana" w:hAnsi="Verdana"/>
          <w:sz w:val="20"/>
        </w:rPr>
        <w:t xml:space="preserve">This will represent the period between “Go Live”/Licence Grant and the point at which the assets transfer (the Estimated Transfer Date).  </w:t>
      </w:r>
      <w:r w:rsidRPr="00FE3E93">
        <w:rPr>
          <w:rFonts w:ascii="Verdana" w:hAnsi="Verdana"/>
          <w:sz w:val="20"/>
        </w:rPr>
        <w:t>Items should include for any costs which the OFTO will incur from Licence Grant to asset transfer but not necessarily be limited to the following:</w:t>
      </w:r>
    </w:p>
    <w:p w:rsidR="000956F9" w:rsidRDefault="000956F9" w:rsidP="000956F9">
      <w:pPr>
        <w:rPr>
          <w:rFonts w:ascii="Verdana" w:hAnsi="Verdana"/>
          <w:sz w:val="20"/>
        </w:rPr>
      </w:pPr>
    </w:p>
    <w:p w:rsidR="000956F9" w:rsidRDefault="000956F9" w:rsidP="000956F9">
      <w:pPr>
        <w:pStyle w:val="ListParagraph"/>
        <w:numPr>
          <w:ilvl w:val="0"/>
          <w:numId w:val="36"/>
        </w:numPr>
        <w:spacing w:after="0" w:line="240" w:lineRule="auto"/>
        <w:ind w:left="1418" w:hanging="709"/>
        <w:contextualSpacing w:val="0"/>
        <w:rPr>
          <w:rFonts w:ascii="Verdana" w:hAnsi="Verdana"/>
          <w:sz w:val="20"/>
          <w:szCs w:val="20"/>
        </w:rPr>
      </w:pPr>
      <w:r>
        <w:rPr>
          <w:rFonts w:ascii="Verdana" w:hAnsi="Verdana"/>
          <w:sz w:val="20"/>
          <w:szCs w:val="20"/>
        </w:rPr>
        <w:t>Cost of securing financing with a delayed drawdown (Arrangement Fees, Equity Bridge Facilities, Commitment Fees on undrawn amounts, Bank Agency Fees);</w:t>
      </w:r>
    </w:p>
    <w:p w:rsidR="000956F9" w:rsidRDefault="000956F9" w:rsidP="000956F9">
      <w:pPr>
        <w:pStyle w:val="ListParagraph"/>
        <w:numPr>
          <w:ilvl w:val="0"/>
          <w:numId w:val="36"/>
        </w:numPr>
        <w:spacing w:after="0" w:line="240" w:lineRule="auto"/>
        <w:ind w:left="1418" w:hanging="709"/>
        <w:contextualSpacing w:val="0"/>
        <w:rPr>
          <w:rFonts w:ascii="Verdana" w:hAnsi="Verdana"/>
          <w:sz w:val="20"/>
          <w:szCs w:val="20"/>
        </w:rPr>
      </w:pPr>
      <w:r w:rsidRPr="00E95388">
        <w:rPr>
          <w:rFonts w:ascii="Verdana" w:hAnsi="Verdana"/>
          <w:sz w:val="20"/>
          <w:szCs w:val="20"/>
        </w:rPr>
        <w:t>Any applicable Insurances to cov</w:t>
      </w:r>
      <w:r>
        <w:rPr>
          <w:rFonts w:ascii="Verdana" w:hAnsi="Verdana"/>
          <w:sz w:val="20"/>
          <w:szCs w:val="20"/>
        </w:rPr>
        <w:t>er the period to Asset Transfer;</w:t>
      </w:r>
    </w:p>
    <w:p w:rsidR="000956F9" w:rsidRDefault="000956F9" w:rsidP="000956F9">
      <w:pPr>
        <w:pStyle w:val="ListParagraph"/>
        <w:numPr>
          <w:ilvl w:val="0"/>
          <w:numId w:val="36"/>
        </w:numPr>
        <w:spacing w:after="0" w:line="240" w:lineRule="auto"/>
        <w:ind w:left="1418" w:hanging="709"/>
        <w:contextualSpacing w:val="0"/>
        <w:rPr>
          <w:rFonts w:ascii="Verdana" w:hAnsi="Verdana"/>
          <w:sz w:val="20"/>
          <w:szCs w:val="20"/>
        </w:rPr>
      </w:pPr>
      <w:r>
        <w:rPr>
          <w:rFonts w:ascii="Verdana" w:hAnsi="Verdana"/>
          <w:sz w:val="20"/>
          <w:szCs w:val="20"/>
        </w:rPr>
        <w:t>SPV Management costs;</w:t>
      </w:r>
      <w:r w:rsidRPr="00E95388">
        <w:rPr>
          <w:rFonts w:ascii="Verdana" w:hAnsi="Verdana"/>
          <w:sz w:val="20"/>
          <w:szCs w:val="20"/>
        </w:rPr>
        <w:t xml:space="preserve"> and</w:t>
      </w:r>
    </w:p>
    <w:p w:rsidR="000956F9" w:rsidRPr="00E95388" w:rsidRDefault="008D5578" w:rsidP="000956F9">
      <w:pPr>
        <w:pStyle w:val="ListParagraph"/>
        <w:numPr>
          <w:ilvl w:val="0"/>
          <w:numId w:val="36"/>
        </w:numPr>
        <w:spacing w:after="0" w:line="240" w:lineRule="auto"/>
        <w:ind w:left="1418" w:hanging="709"/>
        <w:contextualSpacing w:val="0"/>
        <w:rPr>
          <w:rFonts w:ascii="Verdana" w:hAnsi="Verdana"/>
          <w:sz w:val="20"/>
          <w:szCs w:val="20"/>
        </w:rPr>
      </w:pPr>
      <w:r>
        <w:rPr>
          <w:rFonts w:ascii="Verdana" w:hAnsi="Verdana"/>
          <w:sz w:val="20"/>
          <w:szCs w:val="20"/>
        </w:rPr>
        <w:t>Any other relevant costs</w:t>
      </w:r>
    </w:p>
    <w:p w:rsidR="000956F9" w:rsidRDefault="000956F9" w:rsidP="000956F9">
      <w:pPr>
        <w:rPr>
          <w:rFonts w:ascii="Verdana" w:hAnsi="Verdana"/>
          <w:sz w:val="20"/>
        </w:rPr>
      </w:pPr>
    </w:p>
    <w:p w:rsidR="000956F9" w:rsidRDefault="000956F9" w:rsidP="00FE3E93">
      <w:pPr>
        <w:ind w:left="426"/>
        <w:rPr>
          <w:rFonts w:ascii="Verdana" w:hAnsi="Verdana"/>
          <w:sz w:val="20"/>
        </w:rPr>
      </w:pPr>
      <w:r>
        <w:rPr>
          <w:rFonts w:ascii="Verdana" w:hAnsi="Verdana"/>
          <w:sz w:val="20"/>
        </w:rPr>
        <w:t>For the avoidance of doubt, the transmission assets should only be depreciated from the point that the assets are transferred to the OFTO.</w:t>
      </w:r>
    </w:p>
    <w:p w:rsidR="000956F9" w:rsidRPr="00FE3E93" w:rsidRDefault="00FE3E93" w:rsidP="000956F9">
      <w:pPr>
        <w:pStyle w:val="BodyText"/>
        <w:tabs>
          <w:tab w:val="clear" w:pos="709"/>
          <w:tab w:val="left" w:pos="426"/>
        </w:tabs>
        <w:rPr>
          <w:rFonts w:ascii="Verdana" w:hAnsi="Verdana"/>
          <w:b/>
          <w:sz w:val="20"/>
        </w:rPr>
      </w:pPr>
      <w:r w:rsidRPr="00FE3E93">
        <w:rPr>
          <w:rFonts w:ascii="Verdana" w:hAnsi="Verdana"/>
          <w:b/>
          <w:sz w:val="20"/>
        </w:rPr>
        <w:t>Financial Model Requirements</w:t>
      </w:r>
    </w:p>
    <w:p w:rsidR="00A05AB7" w:rsidRDefault="00A05AB7" w:rsidP="00794CF7">
      <w:pPr>
        <w:pStyle w:val="BodyText"/>
        <w:numPr>
          <w:ilvl w:val="0"/>
          <w:numId w:val="32"/>
        </w:numPr>
        <w:tabs>
          <w:tab w:val="clear" w:pos="709"/>
          <w:tab w:val="left" w:pos="426"/>
        </w:tabs>
        <w:ind w:left="426" w:hanging="426"/>
        <w:rPr>
          <w:rFonts w:ascii="Verdana" w:hAnsi="Verdana"/>
          <w:sz w:val="20"/>
        </w:rPr>
      </w:pPr>
      <w:r w:rsidRPr="00A05AB7">
        <w:rPr>
          <w:rFonts w:ascii="Verdana" w:hAnsi="Verdana"/>
          <w:sz w:val="20"/>
        </w:rPr>
        <w:t xml:space="preserve">Qualifying Bidders are required to submit their financial model </w:t>
      </w:r>
      <w:r>
        <w:rPr>
          <w:rFonts w:ascii="Verdana" w:hAnsi="Verdana"/>
          <w:sz w:val="20"/>
        </w:rPr>
        <w:t xml:space="preserve">to support their Tender Revenue Stream bid </w:t>
      </w:r>
      <w:r w:rsidRPr="00A05AB7">
        <w:rPr>
          <w:rFonts w:ascii="Verdana" w:hAnsi="Verdana"/>
          <w:sz w:val="20"/>
        </w:rPr>
        <w:t xml:space="preserve">in accordance with the </w:t>
      </w:r>
      <w:r w:rsidR="00CB3D99">
        <w:rPr>
          <w:rFonts w:ascii="Verdana" w:hAnsi="Verdana"/>
          <w:sz w:val="20"/>
        </w:rPr>
        <w:t>Tender Guidance Document for Qualifying Bidder Financial Model.</w:t>
      </w:r>
      <w:r w:rsidRPr="00A05AB7">
        <w:rPr>
          <w:rFonts w:ascii="Verdana" w:hAnsi="Verdana"/>
          <w:sz w:val="20"/>
        </w:rPr>
        <w:t xml:space="preserve"> </w:t>
      </w:r>
      <w:r w:rsidR="00CB3D99">
        <w:rPr>
          <w:rFonts w:ascii="Verdana" w:hAnsi="Verdana"/>
          <w:sz w:val="20"/>
        </w:rPr>
        <w:t xml:space="preserve"> </w:t>
      </w:r>
      <w:r>
        <w:rPr>
          <w:rFonts w:ascii="Verdana" w:hAnsi="Verdana"/>
          <w:sz w:val="20"/>
        </w:rPr>
        <w:t xml:space="preserve">The following </w:t>
      </w:r>
      <w:r w:rsidR="00CB3D99">
        <w:rPr>
          <w:rFonts w:ascii="Verdana" w:hAnsi="Verdana"/>
          <w:sz w:val="20"/>
        </w:rPr>
        <w:t xml:space="preserve">information </w:t>
      </w:r>
      <w:r>
        <w:rPr>
          <w:rFonts w:ascii="Verdana" w:hAnsi="Verdana"/>
          <w:sz w:val="20"/>
        </w:rPr>
        <w:t xml:space="preserve">sets out </w:t>
      </w:r>
      <w:r w:rsidR="002562CD">
        <w:rPr>
          <w:rFonts w:ascii="Verdana" w:hAnsi="Verdana"/>
          <w:sz w:val="20"/>
        </w:rPr>
        <w:t>the specific requirements Ofgem requires f</w:t>
      </w:r>
      <w:r w:rsidR="00E95388">
        <w:rPr>
          <w:rFonts w:ascii="Verdana" w:hAnsi="Verdana"/>
          <w:sz w:val="20"/>
        </w:rPr>
        <w:t>or the model:</w:t>
      </w:r>
    </w:p>
    <w:p w:rsidR="00E61ABE" w:rsidRDefault="00A05AB7" w:rsidP="0041405A">
      <w:pPr>
        <w:pStyle w:val="BodyText"/>
        <w:numPr>
          <w:ilvl w:val="0"/>
          <w:numId w:val="45"/>
        </w:numPr>
        <w:tabs>
          <w:tab w:val="clear" w:pos="709"/>
          <w:tab w:val="clear" w:pos="1559"/>
          <w:tab w:val="clear" w:pos="2268"/>
          <w:tab w:val="left" w:pos="426"/>
          <w:tab w:val="left" w:pos="993"/>
          <w:tab w:val="left" w:pos="1843"/>
        </w:tabs>
        <w:ind w:left="993" w:firstLine="0"/>
        <w:rPr>
          <w:rFonts w:ascii="Verdana" w:hAnsi="Verdana"/>
          <w:iCs/>
          <w:sz w:val="20"/>
        </w:rPr>
      </w:pPr>
      <w:r w:rsidRPr="00E61ABE">
        <w:rPr>
          <w:rFonts w:ascii="Verdana" w:hAnsi="Verdana"/>
          <w:iCs/>
          <w:sz w:val="20"/>
        </w:rPr>
        <w:t>Financial Statements</w:t>
      </w:r>
    </w:p>
    <w:p w:rsidR="00A05AB7" w:rsidRPr="00E61ABE" w:rsidRDefault="002562CD" w:rsidP="00D6693C">
      <w:pPr>
        <w:pStyle w:val="BodyText"/>
        <w:tabs>
          <w:tab w:val="clear" w:pos="709"/>
          <w:tab w:val="clear" w:pos="1559"/>
          <w:tab w:val="left" w:pos="426"/>
          <w:tab w:val="left" w:pos="993"/>
        </w:tabs>
        <w:spacing w:line="240" w:lineRule="auto"/>
        <w:ind w:left="992"/>
        <w:rPr>
          <w:rFonts w:ascii="Verdana" w:hAnsi="Verdana"/>
          <w:iCs/>
          <w:sz w:val="20"/>
        </w:rPr>
      </w:pPr>
      <w:r w:rsidRPr="00E61ABE">
        <w:rPr>
          <w:rFonts w:ascii="Verdana" w:hAnsi="Verdana"/>
          <w:sz w:val="20"/>
        </w:rPr>
        <w:t>Ofgem requires Qualifying Bidders to provide the following accounting and financial statements:</w:t>
      </w:r>
    </w:p>
    <w:p w:rsidR="00E61ABE" w:rsidRDefault="00A05AB7" w:rsidP="00794CF7">
      <w:pPr>
        <w:pStyle w:val="ListParagraph"/>
        <w:numPr>
          <w:ilvl w:val="0"/>
          <w:numId w:val="46"/>
        </w:numPr>
        <w:ind w:hanging="2738"/>
        <w:rPr>
          <w:rFonts w:ascii="Verdana" w:hAnsi="Verdana"/>
          <w:sz w:val="20"/>
          <w:szCs w:val="20"/>
        </w:rPr>
      </w:pPr>
      <w:r w:rsidRPr="00A05AB7">
        <w:rPr>
          <w:rFonts w:ascii="Verdana" w:hAnsi="Verdana"/>
          <w:sz w:val="20"/>
          <w:szCs w:val="20"/>
        </w:rPr>
        <w:t>Profit and Loss Statement or Income Statement;</w:t>
      </w:r>
    </w:p>
    <w:p w:rsidR="00E61ABE" w:rsidRDefault="00E61ABE" w:rsidP="00794CF7">
      <w:pPr>
        <w:pStyle w:val="ListParagraph"/>
        <w:numPr>
          <w:ilvl w:val="0"/>
          <w:numId w:val="46"/>
        </w:numPr>
        <w:ind w:hanging="2738"/>
        <w:rPr>
          <w:rFonts w:ascii="Verdana" w:hAnsi="Verdana"/>
          <w:sz w:val="20"/>
          <w:szCs w:val="20"/>
        </w:rPr>
      </w:pPr>
      <w:r>
        <w:rPr>
          <w:rFonts w:ascii="Verdana" w:hAnsi="Verdana"/>
          <w:sz w:val="20"/>
          <w:szCs w:val="20"/>
        </w:rPr>
        <w:t>Cash Flow Statement;</w:t>
      </w:r>
    </w:p>
    <w:p w:rsidR="00E61ABE" w:rsidRDefault="00A05AB7" w:rsidP="00794CF7">
      <w:pPr>
        <w:pStyle w:val="ListParagraph"/>
        <w:numPr>
          <w:ilvl w:val="0"/>
          <w:numId w:val="46"/>
        </w:numPr>
        <w:ind w:hanging="2738"/>
        <w:rPr>
          <w:rFonts w:ascii="Verdana" w:hAnsi="Verdana"/>
          <w:sz w:val="20"/>
          <w:szCs w:val="20"/>
        </w:rPr>
      </w:pPr>
      <w:r w:rsidRPr="00E61ABE">
        <w:rPr>
          <w:rFonts w:ascii="Verdana" w:hAnsi="Verdana"/>
          <w:sz w:val="20"/>
          <w:szCs w:val="20"/>
        </w:rPr>
        <w:t>Balance Sheet;</w:t>
      </w:r>
    </w:p>
    <w:p w:rsidR="00E61ABE" w:rsidRDefault="00A05AB7" w:rsidP="00794CF7">
      <w:pPr>
        <w:pStyle w:val="ListParagraph"/>
        <w:numPr>
          <w:ilvl w:val="0"/>
          <w:numId w:val="46"/>
        </w:numPr>
        <w:ind w:hanging="2738"/>
        <w:rPr>
          <w:rFonts w:ascii="Verdana" w:hAnsi="Verdana"/>
          <w:sz w:val="20"/>
          <w:szCs w:val="20"/>
        </w:rPr>
      </w:pPr>
      <w:r w:rsidRPr="00E61ABE">
        <w:rPr>
          <w:rFonts w:ascii="Verdana" w:hAnsi="Verdana"/>
          <w:sz w:val="20"/>
          <w:szCs w:val="20"/>
        </w:rPr>
        <w:t>Key financial Ratios (e.g. ADSCR, LLCR, IRR, NPV, WACC);</w:t>
      </w:r>
    </w:p>
    <w:p w:rsidR="00E61ABE" w:rsidRDefault="00A05AB7" w:rsidP="00794CF7">
      <w:pPr>
        <w:pStyle w:val="ListParagraph"/>
        <w:numPr>
          <w:ilvl w:val="0"/>
          <w:numId w:val="46"/>
        </w:numPr>
        <w:ind w:hanging="2738"/>
        <w:rPr>
          <w:rFonts w:ascii="Verdana" w:hAnsi="Verdana"/>
          <w:sz w:val="20"/>
          <w:szCs w:val="20"/>
        </w:rPr>
      </w:pPr>
      <w:r w:rsidRPr="00E61ABE">
        <w:rPr>
          <w:rFonts w:ascii="Verdana" w:hAnsi="Verdana"/>
          <w:sz w:val="20"/>
          <w:szCs w:val="20"/>
        </w:rPr>
        <w:t>All working schedules used in the calculation of 1 to 4 above; and</w:t>
      </w:r>
    </w:p>
    <w:p w:rsidR="00A05AB7" w:rsidRPr="00E61ABE" w:rsidRDefault="00A05AB7" w:rsidP="00794CF7">
      <w:pPr>
        <w:pStyle w:val="ListParagraph"/>
        <w:numPr>
          <w:ilvl w:val="0"/>
          <w:numId w:val="46"/>
        </w:numPr>
        <w:ind w:hanging="2738"/>
        <w:rPr>
          <w:rFonts w:ascii="Verdana" w:hAnsi="Verdana"/>
          <w:sz w:val="20"/>
          <w:szCs w:val="20"/>
        </w:rPr>
      </w:pPr>
      <w:r w:rsidRPr="00E61ABE">
        <w:rPr>
          <w:rFonts w:ascii="Verdana" w:hAnsi="Verdana"/>
          <w:sz w:val="20"/>
          <w:szCs w:val="20"/>
        </w:rPr>
        <w:t>A worksheet detailing the components of their Tender Revenue Stream</w:t>
      </w:r>
    </w:p>
    <w:p w:rsidR="00E61ABE" w:rsidRPr="00E61ABE" w:rsidRDefault="00E61ABE" w:rsidP="0041405A">
      <w:pPr>
        <w:numPr>
          <w:ilvl w:val="0"/>
          <w:numId w:val="45"/>
        </w:numPr>
        <w:tabs>
          <w:tab w:val="clear" w:pos="1559"/>
          <w:tab w:val="clear" w:pos="2268"/>
          <w:tab w:val="left" w:pos="993"/>
          <w:tab w:val="left" w:pos="1843"/>
        </w:tabs>
        <w:ind w:left="1418" w:hanging="425"/>
        <w:rPr>
          <w:rFonts w:ascii="Verdana" w:hAnsi="Verdana"/>
          <w:sz w:val="20"/>
        </w:rPr>
      </w:pPr>
      <w:r w:rsidRPr="00E61ABE">
        <w:rPr>
          <w:rFonts w:ascii="Verdana" w:hAnsi="Verdana"/>
          <w:sz w:val="20"/>
        </w:rPr>
        <w:t>Dis</w:t>
      </w:r>
      <w:r>
        <w:rPr>
          <w:rFonts w:ascii="Verdana" w:hAnsi="Verdana"/>
          <w:sz w:val="20"/>
        </w:rPr>
        <w:t>counted Cash Flow Analysis</w:t>
      </w:r>
    </w:p>
    <w:p w:rsidR="00E61ABE" w:rsidRDefault="00E61ABE" w:rsidP="00E61ABE">
      <w:pPr>
        <w:tabs>
          <w:tab w:val="clear" w:pos="709"/>
          <w:tab w:val="clear" w:pos="1559"/>
          <w:tab w:val="clear" w:pos="2268"/>
          <w:tab w:val="left" w:pos="426"/>
          <w:tab w:val="left" w:pos="993"/>
        </w:tabs>
        <w:ind w:left="993"/>
        <w:rPr>
          <w:rFonts w:ascii="Verdana" w:hAnsi="Verdana"/>
          <w:sz w:val="20"/>
        </w:rPr>
      </w:pPr>
      <w:r w:rsidRPr="00A05AB7">
        <w:rPr>
          <w:rFonts w:ascii="Verdana" w:hAnsi="Verdana"/>
          <w:sz w:val="20"/>
        </w:rPr>
        <w:t>Qualifying Bidder</w:t>
      </w:r>
      <w:r>
        <w:rPr>
          <w:rFonts w:ascii="Verdana" w:hAnsi="Verdana"/>
          <w:sz w:val="20"/>
        </w:rPr>
        <w:t xml:space="preserve">s are required to </w:t>
      </w:r>
      <w:r w:rsidRPr="00A05AB7">
        <w:rPr>
          <w:rFonts w:ascii="Verdana" w:hAnsi="Verdana"/>
          <w:sz w:val="20"/>
        </w:rPr>
        <w:t>have a section in their model providing a full 20</w:t>
      </w:r>
      <w:r>
        <w:rPr>
          <w:rFonts w:ascii="Verdana" w:hAnsi="Verdana"/>
          <w:sz w:val="20"/>
        </w:rPr>
        <w:t>-y</w:t>
      </w:r>
      <w:r w:rsidRPr="00A05AB7">
        <w:rPr>
          <w:rFonts w:ascii="Verdana" w:hAnsi="Verdana"/>
          <w:sz w:val="20"/>
        </w:rPr>
        <w:t>ear Discounted Cash Flow Analysis.  This section should be clearly identified within the contents page</w:t>
      </w:r>
      <w:r>
        <w:rPr>
          <w:rFonts w:ascii="Verdana" w:hAnsi="Verdana"/>
          <w:sz w:val="20"/>
        </w:rPr>
        <w:t xml:space="preserve"> to the model.</w:t>
      </w:r>
    </w:p>
    <w:p w:rsidR="00D6693C" w:rsidRDefault="00D6693C" w:rsidP="00E61ABE">
      <w:pPr>
        <w:tabs>
          <w:tab w:val="clear" w:pos="709"/>
          <w:tab w:val="clear" w:pos="1559"/>
          <w:tab w:val="clear" w:pos="2268"/>
          <w:tab w:val="left" w:pos="426"/>
          <w:tab w:val="left" w:pos="993"/>
        </w:tabs>
        <w:ind w:left="993"/>
        <w:rPr>
          <w:rFonts w:ascii="Verdana" w:hAnsi="Verdana"/>
          <w:sz w:val="20"/>
        </w:rPr>
      </w:pPr>
    </w:p>
    <w:p w:rsidR="00D6693C" w:rsidRDefault="00D6693C" w:rsidP="00D6693C">
      <w:pPr>
        <w:numPr>
          <w:ilvl w:val="0"/>
          <w:numId w:val="45"/>
        </w:numPr>
        <w:tabs>
          <w:tab w:val="clear" w:pos="1559"/>
          <w:tab w:val="left" w:pos="1843"/>
        </w:tabs>
        <w:ind w:left="1353"/>
        <w:rPr>
          <w:rFonts w:ascii="Verdana" w:hAnsi="Verdana"/>
          <w:sz w:val="20"/>
        </w:rPr>
      </w:pPr>
      <w:r w:rsidRPr="00D6693C">
        <w:rPr>
          <w:rFonts w:ascii="Verdana" w:hAnsi="Verdana"/>
          <w:iCs/>
          <w:sz w:val="20"/>
        </w:rPr>
        <w:t>Risk of Error</w:t>
      </w:r>
      <w:r w:rsidRPr="00D6693C">
        <w:rPr>
          <w:rFonts w:ascii="Verdana" w:hAnsi="Verdana"/>
          <w:sz w:val="20"/>
        </w:rPr>
        <w:t xml:space="preserve"> </w:t>
      </w:r>
    </w:p>
    <w:p w:rsidR="00D6693C" w:rsidRDefault="00D6693C" w:rsidP="00D6693C">
      <w:pPr>
        <w:tabs>
          <w:tab w:val="clear" w:pos="1559"/>
          <w:tab w:val="left" w:pos="1843"/>
        </w:tabs>
        <w:ind w:left="993"/>
        <w:rPr>
          <w:rFonts w:ascii="Verdana" w:hAnsi="Verdana"/>
          <w:sz w:val="20"/>
        </w:rPr>
      </w:pPr>
      <w:r w:rsidRPr="00D6693C">
        <w:rPr>
          <w:rFonts w:ascii="Verdana" w:hAnsi="Verdana"/>
          <w:sz w:val="20"/>
        </w:rPr>
        <w:t xml:space="preserve">Any errors (including incorrect assumptions) or omissions discovered in the financial model that result in increased costs will be at the risk of Qualifying Bidders. The Tender Revenue Stream will not be increased to accommodate any errors or omissions post bid submission.  Qualifying Bidders accept that no adverse changes to the Tender Revenue Stream will be accepted arising from any </w:t>
      </w:r>
      <w:r w:rsidRPr="00D6693C">
        <w:rPr>
          <w:rFonts w:ascii="Verdana" w:hAnsi="Verdana"/>
          <w:sz w:val="20"/>
        </w:rPr>
        <w:lastRenderedPageBreak/>
        <w:t xml:space="preserve">amendments to the model with the exception of those specifically agreed with Ofgem post bid submission.   </w:t>
      </w:r>
    </w:p>
    <w:p w:rsidR="00D6693C" w:rsidRPr="00D6693C" w:rsidRDefault="00D6693C" w:rsidP="00D6693C">
      <w:pPr>
        <w:tabs>
          <w:tab w:val="clear" w:pos="1559"/>
          <w:tab w:val="left" w:pos="1843"/>
        </w:tabs>
        <w:ind w:left="993"/>
        <w:rPr>
          <w:rFonts w:ascii="Verdana" w:hAnsi="Verdana"/>
          <w:sz w:val="20"/>
        </w:rPr>
      </w:pPr>
    </w:p>
    <w:p w:rsidR="00D6693C" w:rsidRDefault="00D6693C" w:rsidP="00D6693C">
      <w:pPr>
        <w:numPr>
          <w:ilvl w:val="0"/>
          <w:numId w:val="45"/>
        </w:numPr>
        <w:tabs>
          <w:tab w:val="clear" w:pos="1559"/>
          <w:tab w:val="left" w:pos="1843"/>
        </w:tabs>
        <w:ind w:left="1353"/>
        <w:contextualSpacing/>
        <w:rPr>
          <w:rFonts w:ascii="Verdana" w:hAnsi="Verdana"/>
          <w:sz w:val="20"/>
        </w:rPr>
      </w:pPr>
      <w:r>
        <w:rPr>
          <w:rFonts w:ascii="Verdana" w:hAnsi="Verdana"/>
          <w:iCs/>
          <w:sz w:val="20"/>
        </w:rPr>
        <w:t>Model Integrity</w:t>
      </w:r>
      <w:r w:rsidRPr="00D6693C">
        <w:rPr>
          <w:rFonts w:ascii="Verdana" w:hAnsi="Verdana"/>
          <w:sz w:val="20"/>
        </w:rPr>
        <w:t xml:space="preserve"> </w:t>
      </w:r>
    </w:p>
    <w:p w:rsidR="00D6693C" w:rsidRPr="00D6693C" w:rsidRDefault="00D6693C" w:rsidP="00D6693C">
      <w:pPr>
        <w:pStyle w:val="NormalWeb"/>
        <w:spacing w:before="0" w:beforeAutospacing="0" w:after="0" w:afterAutospacing="0"/>
        <w:ind w:left="993"/>
        <w:contextualSpacing/>
        <w:jc w:val="both"/>
        <w:rPr>
          <w:rFonts w:ascii="Verdana" w:hAnsi="Verdana"/>
          <w:sz w:val="20"/>
          <w:szCs w:val="20"/>
        </w:rPr>
      </w:pPr>
      <w:r w:rsidRPr="00A05AB7">
        <w:rPr>
          <w:rFonts w:ascii="Verdana" w:hAnsi="Verdana"/>
          <w:sz w:val="20"/>
          <w:szCs w:val="20"/>
        </w:rPr>
        <w:t xml:space="preserve">The logical integrity (including, without limitation, all inputs, calculations and outputs) and assumptions used within the Financial Model remain the responsibility of </w:t>
      </w:r>
      <w:r>
        <w:rPr>
          <w:rFonts w:ascii="Verdana" w:hAnsi="Verdana"/>
          <w:sz w:val="20"/>
          <w:szCs w:val="20"/>
        </w:rPr>
        <w:t xml:space="preserve">Qualifying </w:t>
      </w:r>
      <w:r w:rsidRPr="00A05AB7">
        <w:rPr>
          <w:rFonts w:ascii="Verdana" w:hAnsi="Verdana"/>
          <w:sz w:val="20"/>
          <w:szCs w:val="20"/>
        </w:rPr>
        <w:t xml:space="preserve">Bidders.   </w:t>
      </w:r>
    </w:p>
    <w:p w:rsidR="00A05AB7" w:rsidRPr="00A05AB7" w:rsidRDefault="002562CD" w:rsidP="00794CF7">
      <w:pPr>
        <w:pStyle w:val="Paragrapgh"/>
        <w:numPr>
          <w:ilvl w:val="0"/>
          <w:numId w:val="32"/>
        </w:numPr>
        <w:ind w:left="426" w:hanging="426"/>
      </w:pPr>
      <w:r>
        <w:t xml:space="preserve">Qualifying Bidders are required to </w:t>
      </w:r>
      <w:r w:rsidR="00A05AB7" w:rsidRPr="00A05AB7">
        <w:t>provide a detailed manual and supporting data book explaining the operations of the model and the assumptions adopted in the model, to in</w:t>
      </w:r>
      <w:r w:rsidR="00E61ABE">
        <w:t>clude those items set out below:</w:t>
      </w:r>
      <w:r w:rsidR="00A05AB7" w:rsidRPr="00A05AB7">
        <w:t xml:space="preserve">  </w:t>
      </w:r>
    </w:p>
    <w:p w:rsidR="00A05AB7" w:rsidRDefault="00A05AB7" w:rsidP="00794CF7">
      <w:pPr>
        <w:pStyle w:val="ListParagraph"/>
        <w:numPr>
          <w:ilvl w:val="0"/>
          <w:numId w:val="9"/>
        </w:numPr>
        <w:ind w:left="993" w:hanging="567"/>
        <w:rPr>
          <w:rFonts w:ascii="Verdana" w:hAnsi="Verdana"/>
          <w:sz w:val="20"/>
          <w:szCs w:val="20"/>
        </w:rPr>
      </w:pPr>
      <w:r w:rsidRPr="002562CD">
        <w:rPr>
          <w:rFonts w:ascii="Verdana" w:hAnsi="Verdana"/>
          <w:sz w:val="20"/>
          <w:szCs w:val="20"/>
        </w:rPr>
        <w:t>Overview of model and model structure</w:t>
      </w:r>
      <w:r w:rsidR="002562CD">
        <w:rPr>
          <w:rFonts w:ascii="Verdana" w:hAnsi="Verdana"/>
          <w:sz w:val="20"/>
          <w:szCs w:val="20"/>
        </w:rPr>
        <w:t>;</w:t>
      </w:r>
    </w:p>
    <w:p w:rsidR="00E61ABE" w:rsidRDefault="00A05AB7" w:rsidP="00794CF7">
      <w:pPr>
        <w:pStyle w:val="ListParagraph"/>
        <w:numPr>
          <w:ilvl w:val="0"/>
          <w:numId w:val="9"/>
        </w:numPr>
        <w:ind w:left="993" w:hanging="567"/>
        <w:rPr>
          <w:rFonts w:ascii="Verdana" w:hAnsi="Verdana"/>
          <w:sz w:val="20"/>
          <w:szCs w:val="20"/>
        </w:rPr>
      </w:pPr>
      <w:r w:rsidRPr="00E61ABE">
        <w:rPr>
          <w:rFonts w:ascii="Verdana" w:hAnsi="Verdana"/>
          <w:sz w:val="20"/>
          <w:szCs w:val="20"/>
        </w:rPr>
        <w:t xml:space="preserve">Procedure to load the model, including any unusual routines necessary to enable the model to work correctly and </w:t>
      </w:r>
      <w:proofErr w:type="spellStart"/>
      <w:r w:rsidRPr="00E61ABE">
        <w:rPr>
          <w:rFonts w:ascii="Verdana" w:hAnsi="Verdana"/>
          <w:sz w:val="20"/>
          <w:szCs w:val="20"/>
        </w:rPr>
        <w:t>optimised</w:t>
      </w:r>
      <w:proofErr w:type="spellEnd"/>
      <w:r w:rsidRPr="00E61ABE">
        <w:rPr>
          <w:rFonts w:ascii="Verdana" w:hAnsi="Verdana"/>
          <w:sz w:val="20"/>
          <w:szCs w:val="20"/>
        </w:rPr>
        <w:t xml:space="preserve"> appropriately (including stating any 'add-ins' and options that must be activated prior to use of the model)</w:t>
      </w:r>
      <w:r w:rsidR="002562CD" w:rsidRPr="00E61ABE">
        <w:rPr>
          <w:rFonts w:ascii="Verdana" w:hAnsi="Verdana"/>
          <w:sz w:val="20"/>
          <w:szCs w:val="20"/>
        </w:rPr>
        <w:t>;</w:t>
      </w:r>
    </w:p>
    <w:p w:rsidR="00E61ABE" w:rsidRDefault="00A05AB7" w:rsidP="00794CF7">
      <w:pPr>
        <w:pStyle w:val="ListParagraph"/>
        <w:numPr>
          <w:ilvl w:val="0"/>
          <w:numId w:val="9"/>
        </w:numPr>
        <w:ind w:left="993" w:hanging="567"/>
        <w:rPr>
          <w:rFonts w:ascii="Verdana" w:hAnsi="Verdana"/>
          <w:sz w:val="20"/>
          <w:szCs w:val="20"/>
        </w:rPr>
      </w:pPr>
      <w:r w:rsidRPr="00E61ABE">
        <w:rPr>
          <w:rFonts w:ascii="Verdana" w:hAnsi="Verdana"/>
          <w:sz w:val="20"/>
          <w:szCs w:val="20"/>
        </w:rPr>
        <w:t>Explanation of key assumptions in model</w:t>
      </w:r>
      <w:r w:rsidR="002562CD" w:rsidRPr="00E61ABE">
        <w:rPr>
          <w:rFonts w:ascii="Verdana" w:hAnsi="Verdana"/>
          <w:sz w:val="20"/>
          <w:szCs w:val="20"/>
        </w:rPr>
        <w:t>;</w:t>
      </w:r>
    </w:p>
    <w:p w:rsidR="00E61ABE" w:rsidRDefault="00A05AB7" w:rsidP="00794CF7">
      <w:pPr>
        <w:pStyle w:val="ListParagraph"/>
        <w:numPr>
          <w:ilvl w:val="0"/>
          <w:numId w:val="9"/>
        </w:numPr>
        <w:ind w:left="993" w:hanging="567"/>
        <w:rPr>
          <w:rFonts w:ascii="Verdana" w:hAnsi="Verdana"/>
          <w:sz w:val="20"/>
          <w:szCs w:val="20"/>
        </w:rPr>
      </w:pPr>
      <w:r w:rsidRPr="00E61ABE">
        <w:rPr>
          <w:rFonts w:ascii="Verdana" w:hAnsi="Verdana"/>
          <w:sz w:val="20"/>
          <w:szCs w:val="20"/>
        </w:rPr>
        <w:t>Details of Macros and Visual Basic Code (subject to comments below)</w:t>
      </w:r>
      <w:r w:rsidR="002562CD" w:rsidRPr="00E61ABE">
        <w:rPr>
          <w:rFonts w:ascii="Verdana" w:hAnsi="Verdana"/>
          <w:sz w:val="20"/>
          <w:szCs w:val="20"/>
        </w:rPr>
        <w:t>; and</w:t>
      </w:r>
    </w:p>
    <w:p w:rsidR="00A05AB7" w:rsidRPr="00E61ABE" w:rsidRDefault="00A05AB7" w:rsidP="00794CF7">
      <w:pPr>
        <w:pStyle w:val="ListParagraph"/>
        <w:numPr>
          <w:ilvl w:val="0"/>
          <w:numId w:val="9"/>
        </w:numPr>
        <w:ind w:left="993" w:hanging="567"/>
        <w:rPr>
          <w:rFonts w:ascii="Verdana" w:hAnsi="Verdana"/>
          <w:sz w:val="20"/>
          <w:szCs w:val="20"/>
        </w:rPr>
      </w:pPr>
      <w:r w:rsidRPr="00E61ABE">
        <w:rPr>
          <w:rFonts w:ascii="Verdana" w:hAnsi="Verdana"/>
          <w:sz w:val="20"/>
          <w:szCs w:val="20"/>
        </w:rPr>
        <w:t xml:space="preserve">Procedure to </w:t>
      </w:r>
      <w:proofErr w:type="spellStart"/>
      <w:r w:rsidRPr="00E61ABE">
        <w:rPr>
          <w:rFonts w:ascii="Verdana" w:hAnsi="Verdana"/>
          <w:sz w:val="20"/>
          <w:szCs w:val="20"/>
        </w:rPr>
        <w:t>optimise</w:t>
      </w:r>
      <w:proofErr w:type="spellEnd"/>
      <w:r w:rsidRPr="00E61ABE">
        <w:rPr>
          <w:rFonts w:ascii="Verdana" w:hAnsi="Verdana"/>
          <w:sz w:val="20"/>
          <w:szCs w:val="20"/>
        </w:rPr>
        <w:t xml:space="preserve"> the model</w:t>
      </w:r>
    </w:p>
    <w:p w:rsidR="00A05AB7" w:rsidRPr="00A05AB7" w:rsidRDefault="00A05AB7" w:rsidP="00A05AB7">
      <w:pPr>
        <w:pStyle w:val="ListParagraph"/>
        <w:ind w:left="1440"/>
        <w:rPr>
          <w:rFonts w:ascii="Verdana" w:hAnsi="Verdana"/>
          <w:sz w:val="20"/>
          <w:szCs w:val="20"/>
        </w:rPr>
      </w:pPr>
    </w:p>
    <w:p w:rsidR="00D926BA" w:rsidRDefault="00D926BA" w:rsidP="00D926BA">
      <w:pPr>
        <w:rPr>
          <w:rFonts w:ascii="Verdana" w:hAnsi="Verdana"/>
          <w:b/>
          <w:sz w:val="20"/>
        </w:rPr>
      </w:pPr>
      <w:r>
        <w:rPr>
          <w:rFonts w:ascii="Verdana" w:hAnsi="Verdana"/>
          <w:b/>
          <w:sz w:val="20"/>
        </w:rPr>
        <w:t xml:space="preserve">Section </w:t>
      </w:r>
      <w:r w:rsidR="0093166A">
        <w:rPr>
          <w:rFonts w:ascii="Verdana" w:hAnsi="Verdana"/>
          <w:b/>
          <w:sz w:val="20"/>
        </w:rPr>
        <w:t>7</w:t>
      </w:r>
      <w:r>
        <w:rPr>
          <w:rFonts w:ascii="Verdana" w:hAnsi="Verdana"/>
          <w:b/>
          <w:sz w:val="20"/>
        </w:rPr>
        <w:t>: Underlying Assumptions</w:t>
      </w:r>
    </w:p>
    <w:p w:rsidR="00CB3D99" w:rsidRDefault="00CB3D99" w:rsidP="00D926BA"/>
    <w:p w:rsidR="0093166A" w:rsidRDefault="00CB3D99" w:rsidP="00794CF7">
      <w:pPr>
        <w:pStyle w:val="Heading7"/>
        <w:numPr>
          <w:ilvl w:val="6"/>
          <w:numId w:val="37"/>
        </w:numPr>
        <w:tabs>
          <w:tab w:val="num" w:pos="426"/>
        </w:tabs>
        <w:ind w:left="426" w:hanging="426"/>
        <w:rPr>
          <w:rFonts w:ascii="Verdana" w:hAnsi="Verdana"/>
          <w:sz w:val="20"/>
        </w:rPr>
      </w:pPr>
      <w:r w:rsidRPr="0093166A">
        <w:rPr>
          <w:rFonts w:ascii="Verdana" w:hAnsi="Verdana"/>
          <w:sz w:val="20"/>
        </w:rPr>
        <w:t xml:space="preserve">Qualifying </w:t>
      </w:r>
      <w:r w:rsidR="0093166A">
        <w:rPr>
          <w:rFonts w:ascii="Verdana" w:hAnsi="Verdana"/>
          <w:sz w:val="20"/>
        </w:rPr>
        <w:t>Bidders</w:t>
      </w:r>
      <w:r w:rsidRPr="0093166A">
        <w:rPr>
          <w:rFonts w:ascii="Verdana" w:hAnsi="Verdana"/>
          <w:sz w:val="20"/>
        </w:rPr>
        <w:t xml:space="preserve"> are required to </w:t>
      </w:r>
      <w:r w:rsidR="0093166A">
        <w:rPr>
          <w:rFonts w:ascii="Verdana" w:hAnsi="Verdana"/>
          <w:sz w:val="20"/>
        </w:rPr>
        <w:t xml:space="preserve">provide </w:t>
      </w:r>
      <w:r w:rsidRPr="0093166A">
        <w:rPr>
          <w:rFonts w:ascii="Verdana" w:hAnsi="Verdana"/>
          <w:sz w:val="20"/>
        </w:rPr>
        <w:t xml:space="preserve">their assumptions in arriving at the Tender Revenue Stream provided in response to section </w:t>
      </w:r>
      <w:r w:rsidR="0093166A">
        <w:rPr>
          <w:rFonts w:ascii="Verdana" w:hAnsi="Verdana"/>
          <w:sz w:val="20"/>
        </w:rPr>
        <w:t>6</w:t>
      </w:r>
      <w:r w:rsidRPr="0093166A">
        <w:rPr>
          <w:rFonts w:ascii="Verdana" w:hAnsi="Verdana"/>
          <w:sz w:val="20"/>
        </w:rPr>
        <w:t xml:space="preserve">, along with </w:t>
      </w:r>
      <w:r w:rsidR="0093166A">
        <w:rPr>
          <w:rFonts w:ascii="Verdana" w:hAnsi="Verdana"/>
          <w:sz w:val="20"/>
        </w:rPr>
        <w:t xml:space="preserve">a detailed explanation </w:t>
      </w:r>
      <w:r w:rsidRPr="0093166A">
        <w:rPr>
          <w:rFonts w:ascii="Verdana" w:hAnsi="Verdana"/>
          <w:sz w:val="20"/>
        </w:rPr>
        <w:t xml:space="preserve">supporting </w:t>
      </w:r>
      <w:r w:rsidR="007E3C98" w:rsidRPr="0093166A">
        <w:rPr>
          <w:rFonts w:ascii="Verdana" w:hAnsi="Verdana"/>
          <w:sz w:val="20"/>
        </w:rPr>
        <w:t>these assumptions</w:t>
      </w:r>
      <w:r w:rsidRPr="0093166A">
        <w:rPr>
          <w:rFonts w:ascii="Verdana" w:hAnsi="Verdana"/>
          <w:sz w:val="20"/>
        </w:rPr>
        <w:t xml:space="preserve">.  </w:t>
      </w:r>
      <w:r w:rsidR="008B3761">
        <w:rPr>
          <w:rFonts w:ascii="Verdana" w:hAnsi="Verdana"/>
          <w:sz w:val="20"/>
        </w:rPr>
        <w:t>These should include but not be limited to:</w:t>
      </w:r>
    </w:p>
    <w:p w:rsidR="00CB3D99" w:rsidRPr="0093166A" w:rsidRDefault="00CB3D99" w:rsidP="008B3761">
      <w:pPr>
        <w:pStyle w:val="Heading7"/>
        <w:tabs>
          <w:tab w:val="num" w:pos="1134"/>
        </w:tabs>
        <w:rPr>
          <w:rFonts w:ascii="Verdana" w:hAnsi="Verdana"/>
          <w:sz w:val="20"/>
        </w:rPr>
      </w:pPr>
    </w:p>
    <w:p w:rsidR="0093166A" w:rsidRPr="0093166A" w:rsidRDefault="0093166A" w:rsidP="00794CF7">
      <w:pPr>
        <w:pStyle w:val="Default"/>
        <w:numPr>
          <w:ilvl w:val="0"/>
          <w:numId w:val="38"/>
        </w:numPr>
        <w:spacing w:after="122"/>
        <w:rPr>
          <w:sz w:val="20"/>
          <w:szCs w:val="20"/>
        </w:rPr>
      </w:pPr>
      <w:r w:rsidRPr="0093166A">
        <w:rPr>
          <w:sz w:val="20"/>
          <w:szCs w:val="20"/>
        </w:rPr>
        <w:t xml:space="preserve">Operating and maintenance costs </w:t>
      </w:r>
    </w:p>
    <w:p w:rsidR="0093166A" w:rsidRDefault="0093166A" w:rsidP="00794CF7">
      <w:pPr>
        <w:pStyle w:val="Default"/>
        <w:numPr>
          <w:ilvl w:val="0"/>
          <w:numId w:val="38"/>
        </w:numPr>
        <w:spacing w:after="122"/>
        <w:rPr>
          <w:sz w:val="20"/>
          <w:szCs w:val="20"/>
        </w:rPr>
      </w:pPr>
      <w:r w:rsidRPr="0093166A">
        <w:rPr>
          <w:sz w:val="20"/>
          <w:szCs w:val="20"/>
        </w:rPr>
        <w:t xml:space="preserve">Insurance </w:t>
      </w:r>
    </w:p>
    <w:p w:rsidR="0093166A" w:rsidRPr="0093166A" w:rsidRDefault="0093166A" w:rsidP="00794CF7">
      <w:pPr>
        <w:pStyle w:val="Default"/>
        <w:numPr>
          <w:ilvl w:val="0"/>
          <w:numId w:val="38"/>
        </w:numPr>
        <w:spacing w:after="122"/>
        <w:rPr>
          <w:sz w:val="20"/>
          <w:szCs w:val="20"/>
        </w:rPr>
      </w:pPr>
      <w:r w:rsidRPr="0093166A">
        <w:rPr>
          <w:sz w:val="20"/>
          <w:szCs w:val="20"/>
        </w:rPr>
        <w:t xml:space="preserve">Decommissioning costs </w:t>
      </w:r>
    </w:p>
    <w:p w:rsidR="0093166A" w:rsidRPr="0093166A" w:rsidRDefault="0093166A" w:rsidP="00794CF7">
      <w:pPr>
        <w:pStyle w:val="Default"/>
        <w:numPr>
          <w:ilvl w:val="0"/>
          <w:numId w:val="38"/>
        </w:numPr>
        <w:spacing w:after="122"/>
        <w:ind w:left="709" w:hanging="349"/>
        <w:rPr>
          <w:sz w:val="20"/>
          <w:szCs w:val="20"/>
        </w:rPr>
      </w:pPr>
      <w:r w:rsidRPr="0093166A">
        <w:rPr>
          <w:sz w:val="20"/>
          <w:szCs w:val="20"/>
        </w:rPr>
        <w:t>Operational performance security package for the last five years of the project (in accordance with Part 2, Special Licence Condition C4)</w:t>
      </w:r>
    </w:p>
    <w:p w:rsidR="0093166A" w:rsidRPr="0093166A" w:rsidRDefault="0093166A" w:rsidP="00794CF7">
      <w:pPr>
        <w:pStyle w:val="Default"/>
        <w:numPr>
          <w:ilvl w:val="0"/>
          <w:numId w:val="38"/>
        </w:numPr>
        <w:spacing w:after="122"/>
        <w:rPr>
          <w:sz w:val="20"/>
          <w:szCs w:val="20"/>
        </w:rPr>
      </w:pPr>
      <w:r w:rsidRPr="0093166A">
        <w:rPr>
          <w:sz w:val="20"/>
          <w:szCs w:val="20"/>
        </w:rPr>
        <w:t xml:space="preserve">Corporation tax assumptions </w:t>
      </w:r>
    </w:p>
    <w:p w:rsidR="0093166A" w:rsidRPr="0093166A" w:rsidRDefault="0093166A" w:rsidP="00794CF7">
      <w:pPr>
        <w:pStyle w:val="Default"/>
        <w:numPr>
          <w:ilvl w:val="0"/>
          <w:numId w:val="38"/>
        </w:numPr>
        <w:spacing w:after="122"/>
        <w:rPr>
          <w:sz w:val="20"/>
          <w:szCs w:val="20"/>
        </w:rPr>
      </w:pPr>
      <w:r w:rsidRPr="0093166A">
        <w:rPr>
          <w:sz w:val="20"/>
          <w:szCs w:val="20"/>
        </w:rPr>
        <w:t xml:space="preserve">SPV and/or management costs </w:t>
      </w:r>
    </w:p>
    <w:p w:rsidR="0093166A" w:rsidRPr="0093166A" w:rsidRDefault="0093166A" w:rsidP="00794CF7">
      <w:pPr>
        <w:pStyle w:val="Default"/>
        <w:numPr>
          <w:ilvl w:val="0"/>
          <w:numId w:val="38"/>
        </w:numPr>
        <w:spacing w:after="122"/>
        <w:rPr>
          <w:sz w:val="20"/>
          <w:szCs w:val="20"/>
        </w:rPr>
      </w:pPr>
      <w:r w:rsidRPr="0093166A">
        <w:rPr>
          <w:sz w:val="20"/>
          <w:szCs w:val="20"/>
        </w:rPr>
        <w:t xml:space="preserve">Bid cost recoveries and/or development fees </w:t>
      </w:r>
    </w:p>
    <w:p w:rsidR="0093166A" w:rsidRPr="0093166A" w:rsidRDefault="0093166A" w:rsidP="00794CF7">
      <w:pPr>
        <w:pStyle w:val="Default"/>
        <w:numPr>
          <w:ilvl w:val="0"/>
          <w:numId w:val="38"/>
        </w:numPr>
        <w:spacing w:after="122"/>
        <w:ind w:left="709" w:hanging="349"/>
        <w:rPr>
          <w:sz w:val="20"/>
          <w:szCs w:val="20"/>
        </w:rPr>
      </w:pPr>
      <w:r w:rsidRPr="0093166A">
        <w:rPr>
          <w:sz w:val="20"/>
          <w:szCs w:val="20"/>
        </w:rPr>
        <w:t xml:space="preserve">Other income items, including any potential unregulated revenue and terminal values (to be expressed as a “negative cost”); </w:t>
      </w:r>
    </w:p>
    <w:p w:rsidR="0093166A" w:rsidRPr="0093166A" w:rsidRDefault="0093166A" w:rsidP="00794CF7">
      <w:pPr>
        <w:pStyle w:val="Default"/>
        <w:numPr>
          <w:ilvl w:val="0"/>
          <w:numId w:val="38"/>
        </w:numPr>
        <w:spacing w:after="122"/>
        <w:ind w:left="709" w:hanging="349"/>
        <w:rPr>
          <w:sz w:val="20"/>
          <w:szCs w:val="20"/>
        </w:rPr>
      </w:pPr>
      <w:r w:rsidRPr="0093166A">
        <w:rPr>
          <w:sz w:val="20"/>
          <w:szCs w:val="20"/>
        </w:rPr>
        <w:t xml:space="preserve">Cost of Equity Finance, Corporate Finance and Debt Finance service costs including all interest payments and fees (to reflect the Financing Strategy set out in your response to Section 4); and </w:t>
      </w:r>
    </w:p>
    <w:p w:rsidR="0093166A" w:rsidRPr="0093166A" w:rsidRDefault="0093166A" w:rsidP="00794CF7">
      <w:pPr>
        <w:pStyle w:val="Default"/>
        <w:numPr>
          <w:ilvl w:val="0"/>
          <w:numId w:val="38"/>
        </w:numPr>
        <w:spacing w:after="122"/>
        <w:rPr>
          <w:sz w:val="20"/>
          <w:szCs w:val="20"/>
        </w:rPr>
      </w:pPr>
      <w:r w:rsidRPr="0093166A">
        <w:rPr>
          <w:sz w:val="20"/>
          <w:szCs w:val="20"/>
        </w:rPr>
        <w:t xml:space="preserve">Any other relevant foreseen costs. </w:t>
      </w:r>
    </w:p>
    <w:p w:rsidR="005C689A" w:rsidRDefault="005C689A" w:rsidP="0093166A">
      <w:pPr>
        <w:tabs>
          <w:tab w:val="clear" w:pos="709"/>
          <w:tab w:val="left" w:pos="426"/>
        </w:tabs>
        <w:rPr>
          <w:rFonts w:ascii="Verdana" w:hAnsi="Verdana"/>
          <w:sz w:val="20"/>
        </w:rPr>
      </w:pPr>
    </w:p>
    <w:p w:rsidR="008B3761" w:rsidRDefault="008B3761" w:rsidP="00794CF7">
      <w:pPr>
        <w:pStyle w:val="Heading7"/>
        <w:numPr>
          <w:ilvl w:val="6"/>
          <w:numId w:val="37"/>
        </w:numPr>
        <w:tabs>
          <w:tab w:val="num" w:pos="426"/>
        </w:tabs>
        <w:ind w:left="426" w:hanging="426"/>
        <w:rPr>
          <w:rFonts w:ascii="Verdana" w:hAnsi="Verdana"/>
          <w:sz w:val="20"/>
        </w:rPr>
      </w:pPr>
      <w:r w:rsidRPr="0093166A">
        <w:rPr>
          <w:rFonts w:ascii="Verdana" w:hAnsi="Verdana"/>
          <w:sz w:val="20"/>
        </w:rPr>
        <w:lastRenderedPageBreak/>
        <w:t xml:space="preserve">Qualifying Bidders are required populate </w:t>
      </w:r>
      <w:r>
        <w:rPr>
          <w:rFonts w:ascii="Verdana" w:hAnsi="Verdana"/>
          <w:sz w:val="20"/>
        </w:rPr>
        <w:t xml:space="preserve">Ofgem </w:t>
      </w:r>
      <w:proofErr w:type="spellStart"/>
      <w:r w:rsidRPr="0093166A">
        <w:rPr>
          <w:rFonts w:ascii="Verdana" w:hAnsi="Verdana"/>
          <w:sz w:val="20"/>
        </w:rPr>
        <w:t>Proforma</w:t>
      </w:r>
      <w:proofErr w:type="spellEnd"/>
      <w:r>
        <w:rPr>
          <w:rFonts w:ascii="Verdana" w:hAnsi="Verdana"/>
          <w:sz w:val="20"/>
        </w:rPr>
        <w:t xml:space="preserve"> Input Sheets</w:t>
      </w:r>
      <w:r w:rsidRPr="0093166A">
        <w:rPr>
          <w:rFonts w:ascii="Verdana" w:hAnsi="Verdana"/>
          <w:sz w:val="20"/>
        </w:rPr>
        <w:t xml:space="preserve"> 1</w:t>
      </w:r>
      <w:r>
        <w:rPr>
          <w:rFonts w:ascii="Verdana" w:hAnsi="Verdana"/>
          <w:sz w:val="20"/>
        </w:rPr>
        <w:t xml:space="preserve"> to 10 in accordance with the Tender Guidance Note for Ofgem </w:t>
      </w:r>
      <w:proofErr w:type="spellStart"/>
      <w:r>
        <w:rPr>
          <w:rFonts w:ascii="Verdana" w:hAnsi="Verdana"/>
          <w:sz w:val="20"/>
        </w:rPr>
        <w:t>Proforma</w:t>
      </w:r>
      <w:proofErr w:type="spellEnd"/>
      <w:r>
        <w:rPr>
          <w:rFonts w:ascii="Verdana" w:hAnsi="Verdana"/>
          <w:sz w:val="20"/>
        </w:rPr>
        <w:t xml:space="preserve"> Input Sheets.</w:t>
      </w:r>
    </w:p>
    <w:p w:rsidR="0093166A" w:rsidRPr="00CB4432" w:rsidRDefault="001E7439" w:rsidP="002F330E">
      <w:pPr>
        <w:pStyle w:val="Heading7"/>
        <w:numPr>
          <w:ilvl w:val="6"/>
          <w:numId w:val="37"/>
        </w:numPr>
        <w:tabs>
          <w:tab w:val="num" w:pos="426"/>
        </w:tabs>
        <w:ind w:left="426" w:hanging="426"/>
        <w:rPr>
          <w:rFonts w:ascii="Verdana" w:hAnsi="Verdana"/>
          <w:sz w:val="20"/>
        </w:rPr>
      </w:pPr>
      <w:r>
        <w:rPr>
          <w:rFonts w:ascii="Verdana" w:hAnsi="Verdana"/>
          <w:sz w:val="20"/>
        </w:rPr>
        <w:t xml:space="preserve">In responding to Section 7 part 1, </w:t>
      </w:r>
      <w:r w:rsidR="00CB4432" w:rsidRPr="00CB4432">
        <w:rPr>
          <w:rFonts w:ascii="Verdana" w:hAnsi="Verdana"/>
          <w:sz w:val="20"/>
        </w:rPr>
        <w:t>detailed statements in respect of the following cost components</w:t>
      </w:r>
      <w:r w:rsidR="002F330E">
        <w:rPr>
          <w:rFonts w:ascii="Verdana" w:hAnsi="Verdana"/>
          <w:sz w:val="20"/>
        </w:rPr>
        <w:t xml:space="preserve"> </w:t>
      </w:r>
      <w:r>
        <w:rPr>
          <w:rFonts w:ascii="Verdana" w:hAnsi="Verdana"/>
          <w:sz w:val="20"/>
        </w:rPr>
        <w:t xml:space="preserve">should </w:t>
      </w:r>
      <w:proofErr w:type="gramStart"/>
      <w:r>
        <w:rPr>
          <w:rFonts w:ascii="Verdana" w:hAnsi="Verdana"/>
          <w:sz w:val="20"/>
        </w:rPr>
        <w:t>cover</w:t>
      </w:r>
      <w:r w:rsidR="002F330E">
        <w:rPr>
          <w:rFonts w:ascii="Verdana" w:hAnsi="Verdana"/>
          <w:sz w:val="20"/>
        </w:rPr>
        <w:t xml:space="preserve"> </w:t>
      </w:r>
      <w:r w:rsidR="00CB4432" w:rsidRPr="00CB4432">
        <w:rPr>
          <w:rFonts w:ascii="Verdana" w:hAnsi="Verdana"/>
          <w:sz w:val="20"/>
        </w:rPr>
        <w:t>:</w:t>
      </w:r>
      <w:proofErr w:type="gramEnd"/>
    </w:p>
    <w:p w:rsidR="005C689A" w:rsidRPr="00E61ABE" w:rsidRDefault="00AB0EC5" w:rsidP="00794CF7">
      <w:pPr>
        <w:pStyle w:val="Heading4"/>
        <w:tabs>
          <w:tab w:val="clear" w:pos="2268"/>
          <w:tab w:val="clear" w:pos="2694"/>
          <w:tab w:val="clear" w:pos="2977"/>
          <w:tab w:val="clear" w:pos="3686"/>
          <w:tab w:val="left" w:pos="709"/>
          <w:tab w:val="left" w:pos="851"/>
        </w:tabs>
        <w:ind w:left="851" w:hanging="425"/>
        <w:rPr>
          <w:rFonts w:ascii="Verdana" w:hAnsi="Verdana" w:cs="Arial"/>
          <w:iCs/>
          <w:sz w:val="20"/>
          <w:u w:val="single"/>
        </w:rPr>
      </w:pPr>
      <w:r w:rsidRPr="00E61ABE">
        <w:rPr>
          <w:rFonts w:ascii="Verdana" w:hAnsi="Verdana" w:cs="Arial"/>
          <w:iCs/>
          <w:sz w:val="20"/>
          <w:u w:val="single"/>
        </w:rPr>
        <w:t xml:space="preserve">Operating and maintenance </w:t>
      </w:r>
      <w:r w:rsidR="005C689A" w:rsidRPr="00E61ABE">
        <w:rPr>
          <w:rFonts w:ascii="Verdana" w:hAnsi="Verdana" w:cs="Arial"/>
          <w:iCs/>
          <w:sz w:val="20"/>
          <w:u w:val="single"/>
        </w:rPr>
        <w:t xml:space="preserve">costs </w:t>
      </w:r>
    </w:p>
    <w:p w:rsidR="00AB0EC5" w:rsidRDefault="00AB0EC5" w:rsidP="00EE1C44">
      <w:pPr>
        <w:pStyle w:val="BodyText"/>
        <w:tabs>
          <w:tab w:val="clear" w:pos="709"/>
          <w:tab w:val="clear" w:pos="1559"/>
          <w:tab w:val="left" w:pos="851"/>
        </w:tabs>
        <w:ind w:left="851" w:hanging="851"/>
        <w:rPr>
          <w:rFonts w:ascii="Verdana" w:hAnsi="Verdana" w:cs="Arial"/>
          <w:sz w:val="20"/>
        </w:rPr>
      </w:pPr>
      <w:r>
        <w:rPr>
          <w:rFonts w:ascii="Verdana" w:hAnsi="Verdana" w:cs="Arial"/>
          <w:sz w:val="20"/>
        </w:rPr>
        <w:tab/>
      </w:r>
      <w:r w:rsidR="00CB4432" w:rsidRPr="00CB4432">
        <w:rPr>
          <w:rFonts w:ascii="Verdana" w:hAnsi="Verdana" w:cs="Arial"/>
          <w:sz w:val="20"/>
        </w:rPr>
        <w:t>Qualifying Bidders are required to provide a</w:t>
      </w:r>
      <w:r w:rsidR="005C689A" w:rsidRPr="00CB4432">
        <w:rPr>
          <w:rFonts w:ascii="Verdana" w:hAnsi="Verdana" w:cs="Arial"/>
          <w:sz w:val="20"/>
        </w:rPr>
        <w:t xml:space="preserve"> cost appraisal of the proposed operation and maintenance arrangements both in real terms and as a percentage of </w:t>
      </w:r>
      <w:r w:rsidR="00CB4432" w:rsidRPr="00CB4432">
        <w:rPr>
          <w:rFonts w:ascii="Verdana" w:hAnsi="Verdana" w:cs="Arial"/>
          <w:sz w:val="20"/>
        </w:rPr>
        <w:t>estimated transfer v</w:t>
      </w:r>
      <w:r w:rsidR="005C689A" w:rsidRPr="00CB4432">
        <w:rPr>
          <w:rFonts w:ascii="Verdana" w:hAnsi="Verdana" w:cs="Arial"/>
          <w:sz w:val="20"/>
        </w:rPr>
        <w:t>alue. In doing so, Qualifying Bidder</w:t>
      </w:r>
      <w:r w:rsidR="00CB4432" w:rsidRPr="00CB4432">
        <w:rPr>
          <w:rFonts w:ascii="Verdana" w:hAnsi="Verdana" w:cs="Arial"/>
          <w:sz w:val="20"/>
        </w:rPr>
        <w:t xml:space="preserve">s are required to </w:t>
      </w:r>
      <w:r w:rsidR="005C689A" w:rsidRPr="00CB4432">
        <w:rPr>
          <w:rFonts w:ascii="Verdana" w:hAnsi="Verdana" w:cs="Arial"/>
          <w:sz w:val="20"/>
        </w:rPr>
        <w:t xml:space="preserve">state </w:t>
      </w:r>
      <w:r w:rsidR="00CB4432" w:rsidRPr="00CB4432">
        <w:rPr>
          <w:rFonts w:ascii="Verdana" w:hAnsi="Verdana" w:cs="Arial"/>
          <w:sz w:val="20"/>
        </w:rPr>
        <w:t xml:space="preserve">the </w:t>
      </w:r>
      <w:r w:rsidR="005C689A" w:rsidRPr="00CB4432">
        <w:rPr>
          <w:rFonts w:ascii="Verdana" w:hAnsi="Verdana" w:cs="Arial"/>
          <w:sz w:val="20"/>
        </w:rPr>
        <w:t xml:space="preserve">assumptions used in deriving the costs and outline the basis of those assumptions, and explain how elements of O&amp;M costs per annum (including any </w:t>
      </w:r>
      <w:proofErr w:type="spellStart"/>
      <w:r w:rsidR="005C689A" w:rsidRPr="00CB4432">
        <w:rPr>
          <w:rFonts w:ascii="Verdana" w:hAnsi="Verdana" w:cs="Arial"/>
          <w:sz w:val="20"/>
        </w:rPr>
        <w:t>costed</w:t>
      </w:r>
      <w:proofErr w:type="spellEnd"/>
      <w:r w:rsidR="005C689A" w:rsidRPr="00CB4432">
        <w:rPr>
          <w:rFonts w:ascii="Verdana" w:hAnsi="Verdana" w:cs="Arial"/>
          <w:sz w:val="20"/>
        </w:rPr>
        <w:t xml:space="preserve"> heads of terms) relate to 20-year revenue stream in financial model. In particular, Qualifying Bidder</w:t>
      </w:r>
      <w:r w:rsidR="00CB4432" w:rsidRPr="00CB4432">
        <w:rPr>
          <w:rFonts w:ascii="Verdana" w:hAnsi="Verdana" w:cs="Arial"/>
          <w:sz w:val="20"/>
        </w:rPr>
        <w:t>s</w:t>
      </w:r>
      <w:r w:rsidR="005C689A" w:rsidRPr="00CB4432">
        <w:rPr>
          <w:rFonts w:ascii="Verdana" w:hAnsi="Verdana" w:cs="Arial"/>
          <w:sz w:val="20"/>
        </w:rPr>
        <w:t xml:space="preserve"> must distinguish between standard ongoing costs and any amount included to cover events such as major equipment failure.</w:t>
      </w:r>
    </w:p>
    <w:p w:rsidR="005C689A" w:rsidRPr="00CB4432" w:rsidRDefault="00AB0EC5" w:rsidP="00EE1C44">
      <w:pPr>
        <w:pStyle w:val="BodyText"/>
        <w:tabs>
          <w:tab w:val="clear" w:pos="709"/>
          <w:tab w:val="clear" w:pos="1559"/>
          <w:tab w:val="left" w:pos="851"/>
        </w:tabs>
        <w:ind w:left="851" w:hanging="851"/>
        <w:rPr>
          <w:rFonts w:ascii="Verdana" w:hAnsi="Verdana" w:cs="Arial"/>
          <w:sz w:val="20"/>
        </w:rPr>
      </w:pPr>
      <w:r>
        <w:rPr>
          <w:rFonts w:ascii="Verdana" w:hAnsi="Verdana" w:cs="Arial"/>
          <w:sz w:val="20"/>
        </w:rPr>
        <w:tab/>
      </w:r>
      <w:r w:rsidR="00CB4432" w:rsidRPr="00CB4432">
        <w:rPr>
          <w:rFonts w:ascii="Verdana" w:hAnsi="Verdana" w:cs="Arial"/>
          <w:sz w:val="20"/>
        </w:rPr>
        <w:t xml:space="preserve">Qualifying </w:t>
      </w:r>
      <w:r w:rsidR="005C689A" w:rsidRPr="00CB4432">
        <w:rPr>
          <w:rFonts w:ascii="Verdana" w:hAnsi="Verdana" w:cs="Arial"/>
          <w:sz w:val="20"/>
        </w:rPr>
        <w:t>Bidder</w:t>
      </w:r>
      <w:r w:rsidR="00CB4432" w:rsidRPr="00CB4432">
        <w:rPr>
          <w:rFonts w:ascii="Verdana" w:hAnsi="Verdana" w:cs="Arial"/>
          <w:sz w:val="20"/>
        </w:rPr>
        <w:t xml:space="preserve">s are also required to </w:t>
      </w:r>
      <w:r w:rsidR="005C689A" w:rsidRPr="00CB4432">
        <w:rPr>
          <w:rFonts w:ascii="Verdana" w:hAnsi="Verdana" w:cs="Arial"/>
          <w:sz w:val="20"/>
        </w:rPr>
        <w:t xml:space="preserve">state what part of the revenue assumptions are to apply to the last five years of the project and what (if any) implications a change in assumptions may have for the total Tender Revenue Stream (to allow it to comply with  Part 2, Special Licence Condition J4). </w:t>
      </w:r>
    </w:p>
    <w:p w:rsidR="00CB4432" w:rsidRPr="00E61ABE" w:rsidRDefault="005C689A" w:rsidP="00794CF7">
      <w:pPr>
        <w:pStyle w:val="Heading4"/>
        <w:tabs>
          <w:tab w:val="clear" w:pos="2268"/>
          <w:tab w:val="left" w:pos="0"/>
          <w:tab w:val="left" w:pos="851"/>
        </w:tabs>
        <w:ind w:hanging="2268"/>
        <w:rPr>
          <w:rFonts w:ascii="Verdana" w:hAnsi="Verdana" w:cs="Arial"/>
          <w:sz w:val="20"/>
          <w:u w:val="single"/>
        </w:rPr>
      </w:pPr>
      <w:r w:rsidRPr="00E61ABE">
        <w:rPr>
          <w:rFonts w:ascii="Verdana" w:hAnsi="Verdana" w:cs="Arial"/>
          <w:sz w:val="20"/>
          <w:u w:val="single"/>
        </w:rPr>
        <w:t xml:space="preserve">Insurance </w:t>
      </w:r>
    </w:p>
    <w:p w:rsidR="005C689A" w:rsidRPr="00CB4432" w:rsidRDefault="00AB0EC5" w:rsidP="00EE1C44">
      <w:pPr>
        <w:pStyle w:val="BodyText"/>
        <w:tabs>
          <w:tab w:val="clear" w:pos="709"/>
          <w:tab w:val="clear" w:pos="1559"/>
          <w:tab w:val="left" w:pos="851"/>
        </w:tabs>
        <w:ind w:left="851" w:hanging="851"/>
        <w:rPr>
          <w:rFonts w:ascii="Verdana" w:hAnsi="Verdana" w:cs="Arial"/>
          <w:sz w:val="20"/>
        </w:rPr>
      </w:pPr>
      <w:r>
        <w:rPr>
          <w:rFonts w:ascii="Verdana" w:hAnsi="Verdana" w:cs="Arial"/>
          <w:sz w:val="20"/>
        </w:rPr>
        <w:tab/>
      </w:r>
      <w:r w:rsidR="00CB4432" w:rsidRPr="00CB4432">
        <w:rPr>
          <w:rFonts w:ascii="Verdana" w:hAnsi="Verdana" w:cs="Arial"/>
          <w:sz w:val="20"/>
        </w:rPr>
        <w:t xml:space="preserve">Qualifying Bidders are required to detail the proposed insurance </w:t>
      </w:r>
      <w:r w:rsidR="005C689A" w:rsidRPr="00CB4432">
        <w:rPr>
          <w:rFonts w:ascii="Verdana" w:hAnsi="Verdana" w:cs="Arial"/>
          <w:sz w:val="20"/>
        </w:rPr>
        <w:t>arrangements (i</w:t>
      </w:r>
      <w:r w:rsidR="00CB4432" w:rsidRPr="00CB4432">
        <w:rPr>
          <w:rFonts w:ascii="Verdana" w:hAnsi="Verdana" w:cs="Arial"/>
          <w:sz w:val="20"/>
        </w:rPr>
        <w:t>.</w:t>
      </w:r>
      <w:r w:rsidR="005C689A" w:rsidRPr="00CB4432">
        <w:rPr>
          <w:rFonts w:ascii="Verdana" w:hAnsi="Verdana" w:cs="Arial"/>
          <w:sz w:val="20"/>
        </w:rPr>
        <w:t>e</w:t>
      </w:r>
      <w:r w:rsidR="00CB4432" w:rsidRPr="00CB4432">
        <w:rPr>
          <w:rFonts w:ascii="Verdana" w:hAnsi="Verdana" w:cs="Arial"/>
          <w:sz w:val="20"/>
        </w:rPr>
        <w:t>.</w:t>
      </w:r>
      <w:r w:rsidR="005C689A" w:rsidRPr="00CB4432">
        <w:rPr>
          <w:rFonts w:ascii="Verdana" w:hAnsi="Verdana" w:cs="Arial"/>
          <w:sz w:val="20"/>
        </w:rPr>
        <w:t xml:space="preserve"> type and level of cover) for managing main failures and relationship to OFTO performance incentives together with revenue streams required for the insurance cover. In particular, distinguishing between external commercial cover (and its form) and any internal cover (e.g. via self insurance and/or spares clubs between OFTOs).  If spare equipment is purchased </w:t>
      </w:r>
      <w:r w:rsidR="00CB4432" w:rsidRPr="00CB4432">
        <w:rPr>
          <w:rFonts w:ascii="Verdana" w:hAnsi="Verdana" w:cs="Arial"/>
          <w:sz w:val="20"/>
        </w:rPr>
        <w:t xml:space="preserve">over and </w:t>
      </w:r>
      <w:r w:rsidR="005C689A" w:rsidRPr="00CB4432">
        <w:rPr>
          <w:rFonts w:ascii="Verdana" w:hAnsi="Verdana" w:cs="Arial"/>
          <w:sz w:val="20"/>
        </w:rPr>
        <w:t xml:space="preserve">above what is included in the sale transfer value, please include </w:t>
      </w:r>
      <w:r w:rsidR="00CB4432" w:rsidRPr="00CB4432">
        <w:rPr>
          <w:rFonts w:ascii="Verdana" w:hAnsi="Verdana" w:cs="Arial"/>
          <w:sz w:val="20"/>
        </w:rPr>
        <w:t xml:space="preserve">the </w:t>
      </w:r>
      <w:r w:rsidR="005C689A" w:rsidRPr="00CB4432">
        <w:rPr>
          <w:rFonts w:ascii="Verdana" w:hAnsi="Verdana" w:cs="Arial"/>
          <w:sz w:val="20"/>
        </w:rPr>
        <w:t>total cost</w:t>
      </w:r>
      <w:r w:rsidR="00CB4432" w:rsidRPr="00CB4432">
        <w:rPr>
          <w:rFonts w:ascii="Verdana" w:hAnsi="Verdana" w:cs="Arial"/>
          <w:sz w:val="20"/>
        </w:rPr>
        <w:t>s</w:t>
      </w:r>
      <w:r w:rsidR="005C689A" w:rsidRPr="00CB4432">
        <w:rPr>
          <w:rFonts w:ascii="Verdana" w:hAnsi="Verdana" w:cs="Arial"/>
          <w:sz w:val="20"/>
        </w:rPr>
        <w:t xml:space="preserve"> in this section and the consequential Tender Revenue Stream (£/annum) in the self insurance section in the data input sheet to the financial model.</w:t>
      </w:r>
    </w:p>
    <w:p w:rsidR="005C689A" w:rsidRPr="00E61ABE" w:rsidRDefault="005C689A" w:rsidP="00794CF7">
      <w:pPr>
        <w:pStyle w:val="Heading4"/>
        <w:tabs>
          <w:tab w:val="clear" w:pos="2268"/>
          <w:tab w:val="left" w:pos="851"/>
        </w:tabs>
        <w:ind w:hanging="2268"/>
        <w:rPr>
          <w:rFonts w:ascii="Verdana" w:hAnsi="Verdana" w:cs="Arial"/>
          <w:sz w:val="20"/>
          <w:u w:val="single"/>
        </w:rPr>
      </w:pPr>
      <w:r w:rsidRPr="00E61ABE">
        <w:rPr>
          <w:rFonts w:ascii="Verdana" w:hAnsi="Verdana" w:cs="Arial"/>
          <w:sz w:val="20"/>
          <w:u w:val="single"/>
        </w:rPr>
        <w:t xml:space="preserve">Decommissioning </w:t>
      </w:r>
      <w:r w:rsidR="00AB0EC5" w:rsidRPr="00E61ABE">
        <w:rPr>
          <w:rFonts w:ascii="Verdana" w:hAnsi="Verdana" w:cs="Arial"/>
          <w:sz w:val="20"/>
          <w:u w:val="single"/>
        </w:rPr>
        <w:t>costs</w:t>
      </w:r>
    </w:p>
    <w:p w:rsidR="005C689A" w:rsidRPr="00CB4432" w:rsidRDefault="005C689A" w:rsidP="00EE1C44">
      <w:pPr>
        <w:pStyle w:val="ListParagraph"/>
        <w:ind w:left="851"/>
        <w:jc w:val="both"/>
        <w:rPr>
          <w:rFonts w:ascii="Verdana" w:hAnsi="Verdana" w:cs="Arial"/>
          <w:sz w:val="20"/>
          <w:szCs w:val="20"/>
        </w:rPr>
      </w:pPr>
      <w:r w:rsidRPr="00CB4432">
        <w:rPr>
          <w:rFonts w:ascii="Verdana" w:hAnsi="Verdana" w:cs="Arial"/>
          <w:sz w:val="20"/>
          <w:szCs w:val="20"/>
        </w:rPr>
        <w:t>For the technical and environmental approach to decommis</w:t>
      </w:r>
      <w:r w:rsidR="00AB0EC5">
        <w:rPr>
          <w:rFonts w:ascii="Verdana" w:hAnsi="Verdana" w:cs="Arial"/>
          <w:sz w:val="20"/>
          <w:szCs w:val="20"/>
        </w:rPr>
        <w:t xml:space="preserve">sioning detailed in </w:t>
      </w:r>
      <w:r w:rsidRPr="00CB4432">
        <w:rPr>
          <w:rFonts w:ascii="Verdana" w:hAnsi="Verdana" w:cs="Arial"/>
          <w:sz w:val="20"/>
          <w:szCs w:val="20"/>
        </w:rPr>
        <w:t xml:space="preserve">Section </w:t>
      </w:r>
      <w:r w:rsidR="00AB0EC5">
        <w:rPr>
          <w:rFonts w:ascii="Verdana" w:hAnsi="Verdana" w:cs="Arial"/>
          <w:sz w:val="20"/>
          <w:szCs w:val="20"/>
        </w:rPr>
        <w:t>4 above</w:t>
      </w:r>
      <w:r w:rsidRPr="00CB4432">
        <w:rPr>
          <w:rFonts w:ascii="Verdana" w:hAnsi="Verdana" w:cs="Arial"/>
          <w:sz w:val="20"/>
          <w:szCs w:val="20"/>
        </w:rPr>
        <w:t>, the Qualifying Bidder must provide:</w:t>
      </w:r>
    </w:p>
    <w:p w:rsidR="00CB4432" w:rsidRPr="00CB4432" w:rsidRDefault="00CB4432" w:rsidP="00CB4432">
      <w:pPr>
        <w:pStyle w:val="ListParagraph"/>
        <w:ind w:left="0"/>
        <w:jc w:val="both"/>
        <w:rPr>
          <w:rFonts w:ascii="Verdana" w:hAnsi="Verdana" w:cs="Arial"/>
          <w:sz w:val="20"/>
          <w:szCs w:val="20"/>
        </w:rPr>
      </w:pPr>
    </w:p>
    <w:p w:rsidR="00CB4432" w:rsidRDefault="005C689A" w:rsidP="00794CF7">
      <w:pPr>
        <w:pStyle w:val="ListParagraph"/>
        <w:numPr>
          <w:ilvl w:val="0"/>
          <w:numId w:val="22"/>
        </w:numPr>
        <w:jc w:val="both"/>
        <w:rPr>
          <w:rFonts w:ascii="Verdana" w:hAnsi="Verdana" w:cs="Arial"/>
          <w:sz w:val="20"/>
          <w:szCs w:val="20"/>
        </w:rPr>
      </w:pPr>
      <w:r w:rsidRPr="00CB4432">
        <w:rPr>
          <w:rFonts w:ascii="Verdana" w:hAnsi="Verdana" w:cs="Arial"/>
          <w:sz w:val="20"/>
          <w:szCs w:val="20"/>
        </w:rPr>
        <w:t xml:space="preserve">For a Qualifying Project with decommissioning plans already in place, an estimate of associated decommissioning costs as a proportion of the </w:t>
      </w:r>
      <w:r w:rsidR="00AB0EC5">
        <w:rPr>
          <w:rFonts w:ascii="Verdana" w:hAnsi="Verdana" w:cs="Arial"/>
          <w:sz w:val="20"/>
          <w:szCs w:val="20"/>
        </w:rPr>
        <w:t xml:space="preserve">estimated transfer value </w:t>
      </w:r>
      <w:r w:rsidRPr="00CB4432">
        <w:rPr>
          <w:rFonts w:ascii="Verdana" w:hAnsi="Verdana" w:cs="Arial"/>
          <w:sz w:val="20"/>
          <w:szCs w:val="20"/>
        </w:rPr>
        <w:t xml:space="preserve">should be provided. In doing so, the Qualifying Bidder is asked to state assumptions used in deriving the costs and </w:t>
      </w:r>
      <w:proofErr w:type="gramStart"/>
      <w:r w:rsidRPr="00CB4432">
        <w:rPr>
          <w:rFonts w:ascii="Verdana" w:hAnsi="Verdana" w:cs="Arial"/>
          <w:sz w:val="20"/>
          <w:szCs w:val="20"/>
        </w:rPr>
        <w:t>outline</w:t>
      </w:r>
      <w:proofErr w:type="gramEnd"/>
      <w:r w:rsidRPr="00CB4432">
        <w:rPr>
          <w:rFonts w:ascii="Verdana" w:hAnsi="Verdana" w:cs="Arial"/>
          <w:sz w:val="20"/>
          <w:szCs w:val="20"/>
        </w:rPr>
        <w:t xml:space="preserve"> the basis of those assumptions, and explain how decommissioning costs relate to costs included in the Tender Revenue Stream. Qualifying Bidder</w:t>
      </w:r>
      <w:r w:rsidR="00AB0EC5">
        <w:rPr>
          <w:rFonts w:ascii="Verdana" w:hAnsi="Verdana" w:cs="Arial"/>
          <w:sz w:val="20"/>
          <w:szCs w:val="20"/>
        </w:rPr>
        <w:t>s</w:t>
      </w:r>
      <w:r w:rsidRPr="00CB4432">
        <w:rPr>
          <w:rFonts w:ascii="Verdana" w:hAnsi="Verdana" w:cs="Arial"/>
          <w:sz w:val="20"/>
          <w:szCs w:val="20"/>
        </w:rPr>
        <w:t xml:space="preserve"> should make it clear what decommissioning assumptions are used to underpin the</w:t>
      </w:r>
      <w:r w:rsidR="00AB0EC5">
        <w:rPr>
          <w:rFonts w:ascii="Verdana" w:hAnsi="Verdana" w:cs="Arial"/>
          <w:sz w:val="20"/>
          <w:szCs w:val="20"/>
        </w:rPr>
        <w:t>ir</w:t>
      </w:r>
      <w:r w:rsidRPr="00CB4432">
        <w:rPr>
          <w:rFonts w:ascii="Verdana" w:hAnsi="Verdana" w:cs="Arial"/>
          <w:sz w:val="20"/>
          <w:szCs w:val="20"/>
        </w:rPr>
        <w:t xml:space="preserve"> Tender Revenue Stream</w:t>
      </w:r>
      <w:r w:rsidR="00AB0EC5">
        <w:rPr>
          <w:rFonts w:ascii="Verdana" w:hAnsi="Verdana" w:cs="Arial"/>
          <w:sz w:val="20"/>
          <w:szCs w:val="20"/>
        </w:rPr>
        <w:t xml:space="preserve"> bids;</w:t>
      </w:r>
      <w:r w:rsidR="00CB4432">
        <w:rPr>
          <w:rFonts w:ascii="Verdana" w:hAnsi="Verdana" w:cs="Arial"/>
          <w:sz w:val="20"/>
          <w:szCs w:val="20"/>
        </w:rPr>
        <w:t xml:space="preserve"> and</w:t>
      </w:r>
    </w:p>
    <w:p w:rsidR="005C689A" w:rsidRPr="00CB4432" w:rsidRDefault="005C689A" w:rsidP="00CB4432">
      <w:pPr>
        <w:pStyle w:val="ListParagraph"/>
        <w:ind w:left="1080"/>
        <w:jc w:val="both"/>
        <w:rPr>
          <w:rFonts w:ascii="Verdana" w:hAnsi="Verdana" w:cs="Arial"/>
          <w:sz w:val="20"/>
          <w:szCs w:val="20"/>
        </w:rPr>
      </w:pPr>
      <w:r w:rsidRPr="00CB4432">
        <w:rPr>
          <w:rFonts w:ascii="Verdana" w:hAnsi="Verdana" w:cs="Arial"/>
          <w:sz w:val="20"/>
          <w:szCs w:val="20"/>
        </w:rPr>
        <w:t xml:space="preserve"> </w:t>
      </w:r>
    </w:p>
    <w:p w:rsidR="005C689A" w:rsidRPr="00CB4432" w:rsidRDefault="005C689A" w:rsidP="00794CF7">
      <w:pPr>
        <w:pStyle w:val="ListParagraph"/>
        <w:numPr>
          <w:ilvl w:val="0"/>
          <w:numId w:val="22"/>
        </w:numPr>
        <w:jc w:val="both"/>
        <w:rPr>
          <w:rFonts w:ascii="Verdana" w:hAnsi="Verdana" w:cs="Arial"/>
          <w:sz w:val="20"/>
          <w:szCs w:val="20"/>
        </w:rPr>
      </w:pPr>
      <w:r w:rsidRPr="00CB4432">
        <w:rPr>
          <w:rFonts w:ascii="Verdana" w:hAnsi="Verdana" w:cs="Arial"/>
          <w:sz w:val="20"/>
          <w:szCs w:val="20"/>
        </w:rPr>
        <w:t xml:space="preserve">For a Qualifying Project with decommissioning plans and requirements not yet agreed with DECC, an estimate of decommissioning costs based on a 20 year project life with decommissioning after 20 years should be proposed as a base case.  Additionally, any alternative project specific options under Qualifying Bidder’s consideration (i.e. generator replanting at end of twenty years and </w:t>
      </w:r>
      <w:r w:rsidRPr="00CB4432">
        <w:rPr>
          <w:rFonts w:ascii="Verdana" w:hAnsi="Verdana" w:cs="Arial"/>
          <w:sz w:val="20"/>
          <w:szCs w:val="20"/>
        </w:rPr>
        <w:lastRenderedPageBreak/>
        <w:t xml:space="preserve">consequent extension of the transmission asset life beyond the </w:t>
      </w:r>
      <w:proofErr w:type="spellStart"/>
      <w:r w:rsidRPr="00CB4432">
        <w:rPr>
          <w:rFonts w:ascii="Verdana" w:hAnsi="Verdana" w:cs="Arial"/>
          <w:sz w:val="20"/>
          <w:szCs w:val="20"/>
        </w:rPr>
        <w:t>Licence</w:t>
      </w:r>
      <w:proofErr w:type="spellEnd"/>
      <w:r w:rsidRPr="00CB4432">
        <w:rPr>
          <w:rFonts w:ascii="Verdana" w:hAnsi="Verdana" w:cs="Arial"/>
          <w:sz w:val="20"/>
          <w:szCs w:val="20"/>
        </w:rPr>
        <w:t xml:space="preserve"> period) based on a provisional decommissioning plans can be supplied along with any consequential changes in the annual equivalent cost for Tender Revenue Stream from the base decommissioning case. </w:t>
      </w:r>
      <w:r w:rsidR="00AB0EC5">
        <w:rPr>
          <w:rFonts w:ascii="Verdana" w:hAnsi="Verdana" w:cs="Arial"/>
          <w:sz w:val="20"/>
          <w:szCs w:val="20"/>
        </w:rPr>
        <w:t xml:space="preserve"> </w:t>
      </w:r>
      <w:r w:rsidRPr="00CB4432">
        <w:rPr>
          <w:rFonts w:ascii="Verdana" w:hAnsi="Verdana" w:cs="Arial"/>
          <w:sz w:val="20"/>
          <w:szCs w:val="20"/>
        </w:rPr>
        <w:t>Qualifying Bidder</w:t>
      </w:r>
      <w:r w:rsidR="00AB0EC5">
        <w:rPr>
          <w:rFonts w:ascii="Verdana" w:hAnsi="Verdana" w:cs="Arial"/>
          <w:sz w:val="20"/>
          <w:szCs w:val="20"/>
        </w:rPr>
        <w:t>s</w:t>
      </w:r>
      <w:r w:rsidRPr="00CB4432">
        <w:rPr>
          <w:rFonts w:ascii="Verdana" w:hAnsi="Verdana" w:cs="Arial"/>
          <w:sz w:val="20"/>
          <w:szCs w:val="20"/>
        </w:rPr>
        <w:t xml:space="preserve"> should make clear what decommissioning assumptions are used to underpin the</w:t>
      </w:r>
      <w:r w:rsidR="00AB0EC5">
        <w:rPr>
          <w:rFonts w:ascii="Verdana" w:hAnsi="Verdana" w:cs="Arial"/>
          <w:sz w:val="20"/>
          <w:szCs w:val="20"/>
        </w:rPr>
        <w:t>ir</w:t>
      </w:r>
      <w:r w:rsidRPr="00CB4432">
        <w:rPr>
          <w:rFonts w:ascii="Verdana" w:hAnsi="Verdana" w:cs="Arial"/>
          <w:sz w:val="20"/>
          <w:szCs w:val="20"/>
        </w:rPr>
        <w:t xml:space="preserve"> Tender Revenue Stream</w:t>
      </w:r>
      <w:r w:rsidR="00AB0EC5">
        <w:rPr>
          <w:rFonts w:ascii="Verdana" w:hAnsi="Verdana" w:cs="Arial"/>
          <w:sz w:val="20"/>
          <w:szCs w:val="20"/>
        </w:rPr>
        <w:t xml:space="preserve"> bids</w:t>
      </w:r>
      <w:r w:rsidRPr="00CB4432">
        <w:rPr>
          <w:rFonts w:ascii="Verdana" w:hAnsi="Verdana" w:cs="Arial"/>
          <w:sz w:val="20"/>
          <w:szCs w:val="20"/>
        </w:rPr>
        <w:t xml:space="preserve">. </w:t>
      </w:r>
    </w:p>
    <w:p w:rsidR="005C689A" w:rsidRPr="00E61ABE" w:rsidRDefault="00AB0EC5" w:rsidP="00794CF7">
      <w:pPr>
        <w:pStyle w:val="Heading4"/>
        <w:tabs>
          <w:tab w:val="clear" w:pos="2268"/>
          <w:tab w:val="left" w:pos="851"/>
        </w:tabs>
        <w:ind w:hanging="2268"/>
        <w:rPr>
          <w:rFonts w:ascii="Verdana" w:hAnsi="Verdana"/>
          <w:sz w:val="20"/>
          <w:u w:val="single"/>
        </w:rPr>
      </w:pPr>
      <w:r w:rsidRPr="00E61ABE">
        <w:rPr>
          <w:rFonts w:ascii="Verdana" w:hAnsi="Verdana"/>
          <w:sz w:val="20"/>
          <w:u w:val="single"/>
        </w:rPr>
        <w:t>Other i</w:t>
      </w:r>
      <w:r w:rsidR="00CB4432" w:rsidRPr="00E61ABE">
        <w:rPr>
          <w:rFonts w:ascii="Verdana" w:hAnsi="Verdana"/>
          <w:sz w:val="20"/>
          <w:u w:val="single"/>
        </w:rPr>
        <w:t xml:space="preserve">ncome </w:t>
      </w:r>
      <w:r w:rsidRPr="00E61ABE">
        <w:rPr>
          <w:rFonts w:ascii="Verdana" w:hAnsi="Verdana"/>
          <w:sz w:val="20"/>
          <w:u w:val="single"/>
        </w:rPr>
        <w:t>i</w:t>
      </w:r>
      <w:r w:rsidR="00CB4432" w:rsidRPr="00E61ABE">
        <w:rPr>
          <w:rFonts w:ascii="Verdana" w:hAnsi="Verdana"/>
          <w:sz w:val="20"/>
          <w:u w:val="single"/>
        </w:rPr>
        <w:t>tems</w:t>
      </w:r>
    </w:p>
    <w:p w:rsidR="000713B2" w:rsidRDefault="00A05AB7" w:rsidP="00EE1C44">
      <w:pPr>
        <w:tabs>
          <w:tab w:val="clear" w:pos="709"/>
          <w:tab w:val="left" w:pos="851"/>
        </w:tabs>
        <w:ind w:left="851"/>
        <w:rPr>
          <w:rFonts w:ascii="Verdana" w:hAnsi="Verdana"/>
          <w:sz w:val="20"/>
        </w:rPr>
      </w:pPr>
      <w:r>
        <w:rPr>
          <w:rFonts w:ascii="Verdana" w:hAnsi="Verdana"/>
          <w:sz w:val="20"/>
        </w:rPr>
        <w:t xml:space="preserve">Qualifying Bidders are required to </w:t>
      </w:r>
      <w:r w:rsidR="00D926BA" w:rsidRPr="00D926BA">
        <w:rPr>
          <w:rFonts w:ascii="Verdana" w:hAnsi="Verdana"/>
          <w:sz w:val="20"/>
        </w:rPr>
        <w:t xml:space="preserve">provide </w:t>
      </w:r>
      <w:r>
        <w:rPr>
          <w:rFonts w:ascii="Verdana" w:hAnsi="Verdana"/>
          <w:sz w:val="20"/>
        </w:rPr>
        <w:t xml:space="preserve">the </w:t>
      </w:r>
      <w:r w:rsidR="00D926BA" w:rsidRPr="00D926BA">
        <w:rPr>
          <w:rFonts w:ascii="Verdana" w:hAnsi="Verdana"/>
          <w:sz w:val="20"/>
        </w:rPr>
        <w:t xml:space="preserve">assumptions and any supporting documentation in arriving at </w:t>
      </w:r>
      <w:r w:rsidR="00CB3D99">
        <w:rPr>
          <w:rFonts w:ascii="Verdana" w:hAnsi="Verdana"/>
          <w:sz w:val="20"/>
        </w:rPr>
        <w:t xml:space="preserve">any </w:t>
      </w:r>
      <w:r w:rsidR="00AB0EC5">
        <w:rPr>
          <w:rFonts w:ascii="Verdana" w:hAnsi="Verdana"/>
          <w:sz w:val="20"/>
        </w:rPr>
        <w:t>o</w:t>
      </w:r>
      <w:r w:rsidR="00D926BA" w:rsidRPr="00D926BA">
        <w:rPr>
          <w:rFonts w:ascii="Verdana" w:hAnsi="Verdana"/>
          <w:sz w:val="20"/>
        </w:rPr>
        <w:t xml:space="preserve">ther </w:t>
      </w:r>
      <w:r w:rsidR="00AB0EC5">
        <w:rPr>
          <w:rFonts w:ascii="Verdana" w:hAnsi="Verdana"/>
          <w:sz w:val="20"/>
        </w:rPr>
        <w:t>i</w:t>
      </w:r>
      <w:r w:rsidR="00D926BA" w:rsidRPr="00D926BA">
        <w:rPr>
          <w:rFonts w:ascii="Verdana" w:hAnsi="Verdana"/>
          <w:sz w:val="20"/>
        </w:rPr>
        <w:t xml:space="preserve">ncome </w:t>
      </w:r>
      <w:r w:rsidR="00AB0EC5">
        <w:rPr>
          <w:rFonts w:ascii="Verdana" w:hAnsi="Verdana"/>
          <w:sz w:val="20"/>
        </w:rPr>
        <w:t>i</w:t>
      </w:r>
      <w:r w:rsidR="00CB4432">
        <w:rPr>
          <w:rFonts w:ascii="Verdana" w:hAnsi="Verdana"/>
          <w:sz w:val="20"/>
        </w:rPr>
        <w:t xml:space="preserve">tems </w:t>
      </w:r>
      <w:r w:rsidR="000713B2">
        <w:rPr>
          <w:rFonts w:ascii="Verdana" w:hAnsi="Verdana"/>
          <w:sz w:val="20"/>
        </w:rPr>
        <w:t xml:space="preserve">(including terminal values) </w:t>
      </w:r>
      <w:r w:rsidR="00D926BA" w:rsidRPr="00D926BA">
        <w:rPr>
          <w:rFonts w:ascii="Verdana" w:hAnsi="Verdana"/>
          <w:sz w:val="20"/>
        </w:rPr>
        <w:t xml:space="preserve">in </w:t>
      </w:r>
      <w:r w:rsidR="00CB3D99">
        <w:rPr>
          <w:rFonts w:ascii="Verdana" w:hAnsi="Verdana"/>
          <w:sz w:val="20"/>
        </w:rPr>
        <w:t xml:space="preserve">their </w:t>
      </w:r>
      <w:r w:rsidR="00D926BA" w:rsidRPr="00D926BA">
        <w:rPr>
          <w:rFonts w:ascii="Verdana" w:hAnsi="Verdana"/>
          <w:sz w:val="20"/>
        </w:rPr>
        <w:t>Tender Revenue Stream</w:t>
      </w:r>
      <w:r w:rsidR="00AB0EC5">
        <w:rPr>
          <w:rFonts w:ascii="Verdana" w:hAnsi="Verdana"/>
          <w:sz w:val="20"/>
        </w:rPr>
        <w:t xml:space="preserve"> bids</w:t>
      </w:r>
      <w:r w:rsidR="00D926BA" w:rsidRPr="00D926BA">
        <w:rPr>
          <w:rFonts w:ascii="Verdana" w:hAnsi="Verdana"/>
          <w:sz w:val="20"/>
        </w:rPr>
        <w:t xml:space="preserve">.  </w:t>
      </w:r>
      <w:r>
        <w:rPr>
          <w:rFonts w:ascii="Verdana" w:hAnsi="Verdana"/>
          <w:sz w:val="20"/>
        </w:rPr>
        <w:t xml:space="preserve">Qualifying </w:t>
      </w:r>
      <w:r w:rsidR="00D926BA" w:rsidRPr="00D926BA">
        <w:rPr>
          <w:rFonts w:ascii="Verdana" w:hAnsi="Verdana"/>
          <w:sz w:val="20"/>
        </w:rPr>
        <w:t xml:space="preserve">Bidders are required to explain what arrangements are in place should </w:t>
      </w:r>
      <w:r w:rsidR="00AB0EC5">
        <w:rPr>
          <w:rFonts w:ascii="Verdana" w:hAnsi="Verdana"/>
          <w:sz w:val="20"/>
        </w:rPr>
        <w:t>o</w:t>
      </w:r>
      <w:r w:rsidR="00D926BA" w:rsidRPr="00D926BA">
        <w:rPr>
          <w:rFonts w:ascii="Verdana" w:hAnsi="Verdana"/>
          <w:sz w:val="20"/>
        </w:rPr>
        <w:t xml:space="preserve">ther </w:t>
      </w:r>
      <w:r w:rsidR="00AB0EC5">
        <w:rPr>
          <w:rFonts w:ascii="Verdana" w:hAnsi="Verdana"/>
          <w:sz w:val="20"/>
        </w:rPr>
        <w:t>i</w:t>
      </w:r>
      <w:r w:rsidR="00D926BA" w:rsidRPr="00D926BA">
        <w:rPr>
          <w:rFonts w:ascii="Verdana" w:hAnsi="Verdana"/>
          <w:sz w:val="20"/>
        </w:rPr>
        <w:t xml:space="preserve">ncome assumed in their </w:t>
      </w:r>
      <w:r w:rsidR="00AB0EC5">
        <w:rPr>
          <w:rFonts w:ascii="Verdana" w:hAnsi="Verdana"/>
          <w:sz w:val="20"/>
        </w:rPr>
        <w:t>b</w:t>
      </w:r>
      <w:r w:rsidR="00D926BA" w:rsidRPr="00D926BA">
        <w:rPr>
          <w:rFonts w:ascii="Verdana" w:hAnsi="Verdana"/>
          <w:sz w:val="20"/>
        </w:rPr>
        <w:t xml:space="preserve">ase </w:t>
      </w:r>
      <w:r w:rsidR="00AB0EC5">
        <w:rPr>
          <w:rFonts w:ascii="Verdana" w:hAnsi="Verdana"/>
          <w:sz w:val="20"/>
        </w:rPr>
        <w:t>c</w:t>
      </w:r>
      <w:r w:rsidR="00D926BA" w:rsidRPr="00D926BA">
        <w:rPr>
          <w:rFonts w:ascii="Verdana" w:hAnsi="Verdana"/>
          <w:sz w:val="20"/>
        </w:rPr>
        <w:t xml:space="preserve">ase </w:t>
      </w:r>
      <w:r w:rsidR="00AB0EC5">
        <w:rPr>
          <w:rFonts w:ascii="Verdana" w:hAnsi="Verdana"/>
          <w:sz w:val="20"/>
        </w:rPr>
        <w:t xml:space="preserve">financial model not materialise, </w:t>
      </w:r>
      <w:r w:rsidR="000713B2">
        <w:rPr>
          <w:rFonts w:ascii="Verdana" w:hAnsi="Verdana"/>
          <w:sz w:val="20"/>
        </w:rPr>
        <w:t>including the impact</w:t>
      </w:r>
      <w:r w:rsidR="00AB0EC5">
        <w:rPr>
          <w:rFonts w:ascii="Verdana" w:hAnsi="Verdana"/>
          <w:sz w:val="20"/>
        </w:rPr>
        <w:t xml:space="preserve"> on financial ratios</w:t>
      </w:r>
      <w:r w:rsidR="000713B2">
        <w:rPr>
          <w:rFonts w:ascii="Verdana" w:hAnsi="Verdana"/>
          <w:sz w:val="20"/>
        </w:rPr>
        <w:t xml:space="preserve">.  </w:t>
      </w:r>
    </w:p>
    <w:p w:rsidR="000713B2" w:rsidRDefault="000713B2" w:rsidP="00AB0EC5">
      <w:pPr>
        <w:tabs>
          <w:tab w:val="clear" w:pos="709"/>
          <w:tab w:val="left" w:pos="426"/>
        </w:tabs>
        <w:ind w:left="360"/>
        <w:rPr>
          <w:rFonts w:ascii="Verdana" w:hAnsi="Verdana"/>
          <w:sz w:val="20"/>
        </w:rPr>
      </w:pPr>
    </w:p>
    <w:p w:rsidR="002F330E" w:rsidRPr="00723E05" w:rsidRDefault="002F330E" w:rsidP="002F330E">
      <w:pPr>
        <w:pStyle w:val="Heading7"/>
        <w:numPr>
          <w:ilvl w:val="0"/>
          <w:numId w:val="54"/>
        </w:numPr>
        <w:tabs>
          <w:tab w:val="clear" w:pos="4394"/>
          <w:tab w:val="left" w:pos="426"/>
        </w:tabs>
        <w:ind w:left="426" w:hanging="426"/>
        <w:rPr>
          <w:rFonts w:ascii="Verdana" w:hAnsi="Verdana"/>
          <w:sz w:val="20"/>
        </w:rPr>
      </w:pPr>
      <w:r w:rsidRPr="00CB4432">
        <w:rPr>
          <w:rFonts w:ascii="Verdana" w:hAnsi="Verdana"/>
          <w:sz w:val="20"/>
        </w:rPr>
        <w:t xml:space="preserve">Where </w:t>
      </w:r>
      <w:r>
        <w:rPr>
          <w:rFonts w:ascii="Verdana" w:hAnsi="Verdana"/>
          <w:sz w:val="20"/>
        </w:rPr>
        <w:t xml:space="preserve">a </w:t>
      </w:r>
      <w:r w:rsidRPr="00CB4432">
        <w:rPr>
          <w:rFonts w:ascii="Verdana" w:hAnsi="Verdana"/>
          <w:sz w:val="20"/>
        </w:rPr>
        <w:t>Qualifying Bidder</w:t>
      </w:r>
      <w:r>
        <w:rPr>
          <w:rFonts w:ascii="Verdana" w:hAnsi="Verdana"/>
          <w:sz w:val="20"/>
        </w:rPr>
        <w:t>’</w:t>
      </w:r>
      <w:r w:rsidRPr="00CB4432">
        <w:rPr>
          <w:rFonts w:ascii="Verdana" w:hAnsi="Verdana"/>
          <w:sz w:val="20"/>
        </w:rPr>
        <w:t xml:space="preserve">s real Project IRR differs from that </w:t>
      </w:r>
      <w:r>
        <w:rPr>
          <w:rFonts w:ascii="Verdana" w:hAnsi="Verdana"/>
          <w:sz w:val="20"/>
        </w:rPr>
        <w:t xml:space="preserve">provided </w:t>
      </w:r>
      <w:r w:rsidRPr="00CB4432">
        <w:rPr>
          <w:rFonts w:ascii="Verdana" w:hAnsi="Verdana"/>
          <w:sz w:val="20"/>
        </w:rPr>
        <w:t>in the</w:t>
      </w:r>
      <w:r>
        <w:rPr>
          <w:rFonts w:ascii="Verdana" w:hAnsi="Verdana"/>
          <w:sz w:val="20"/>
        </w:rPr>
        <w:t>ir</w:t>
      </w:r>
      <w:r w:rsidRPr="00CB4432">
        <w:rPr>
          <w:rFonts w:ascii="Verdana" w:hAnsi="Verdana"/>
          <w:sz w:val="20"/>
        </w:rPr>
        <w:t xml:space="preserve"> response to the Qualification to Tender, they are required to provide a full</w:t>
      </w:r>
      <w:r>
        <w:rPr>
          <w:rFonts w:ascii="Verdana" w:hAnsi="Verdana"/>
          <w:sz w:val="20"/>
        </w:rPr>
        <w:t xml:space="preserve"> explanation of any movement.  </w:t>
      </w:r>
      <w:r w:rsidRPr="00723E05">
        <w:rPr>
          <w:rFonts w:ascii="Verdana" w:hAnsi="Verdana"/>
          <w:sz w:val="20"/>
        </w:rPr>
        <w:t xml:space="preserve">Qualifying Bidders are reminded that Ofgem set out in the QTT Document that it was minded to treat the Project IRR proposed by Qualifying Applicants in their QTT Submissions as a cap.  On the basis of this, Ofgem does not expect that Project IRRs submitted as part of Qualifying Bidders’ ITT Submissions will be higher than that provided in their QTT Submissions. </w:t>
      </w:r>
      <w:r>
        <w:rPr>
          <w:rFonts w:ascii="Verdana" w:hAnsi="Verdana"/>
          <w:sz w:val="20"/>
        </w:rPr>
        <w:t xml:space="preserve"> </w:t>
      </w:r>
      <w:r w:rsidRPr="00723E05">
        <w:rPr>
          <w:rFonts w:ascii="Verdana" w:hAnsi="Verdana"/>
          <w:sz w:val="20"/>
        </w:rPr>
        <w:t>In instances where Project IRRs are higher than those provided in the QTT Submissions, Ofgem reserves the right to exclude the Qualifying Bidder, as set out in the QTT Document.</w:t>
      </w:r>
    </w:p>
    <w:p w:rsidR="00D926BA" w:rsidRPr="00BD3E8D" w:rsidRDefault="00D926BA" w:rsidP="00D926BA">
      <w:pPr>
        <w:pStyle w:val="Heading3"/>
        <w:numPr>
          <w:ilvl w:val="0"/>
          <w:numId w:val="0"/>
        </w:numPr>
        <w:rPr>
          <w:rFonts w:ascii="Verdana" w:hAnsi="Verdana"/>
          <w:i/>
          <w:sz w:val="20"/>
        </w:rPr>
      </w:pPr>
    </w:p>
    <w:p w:rsidR="00D926BA" w:rsidRDefault="00D926BA" w:rsidP="002F330E">
      <w:pPr>
        <w:pStyle w:val="Heading3"/>
        <w:numPr>
          <w:ilvl w:val="0"/>
          <w:numId w:val="52"/>
        </w:numPr>
        <w:tabs>
          <w:tab w:val="clear" w:pos="2268"/>
          <w:tab w:val="left" w:pos="426"/>
        </w:tabs>
        <w:ind w:left="426" w:hanging="426"/>
        <w:rPr>
          <w:rFonts w:ascii="Verdana" w:hAnsi="Verdana"/>
          <w:sz w:val="20"/>
        </w:rPr>
      </w:pPr>
      <w:r w:rsidRPr="00D926BA">
        <w:rPr>
          <w:rFonts w:ascii="Verdana" w:hAnsi="Verdana"/>
          <w:sz w:val="20"/>
        </w:rPr>
        <w:t xml:space="preserve">Qualifying Bidders are required to provide a copy of the sensitivities which they have performed in support of the proposed finance solution and evidence the due diligence activity carried </w:t>
      </w:r>
      <w:proofErr w:type="gramStart"/>
      <w:r w:rsidRPr="00D926BA">
        <w:rPr>
          <w:rFonts w:ascii="Verdana" w:hAnsi="Verdana"/>
          <w:sz w:val="20"/>
        </w:rPr>
        <w:t>out  by</w:t>
      </w:r>
      <w:proofErr w:type="gramEnd"/>
      <w:r w:rsidRPr="00D926BA">
        <w:rPr>
          <w:rFonts w:ascii="Verdana" w:hAnsi="Verdana"/>
          <w:sz w:val="20"/>
        </w:rPr>
        <w:t xml:space="preserve"> themselves or for their funders.  Ofgem requires Qualifying Bidders to provide these scenarios to understand the effects on the robustness of the Qualifying Bidders’ Submission.  </w:t>
      </w:r>
      <w:r w:rsidR="00434EC0">
        <w:rPr>
          <w:rFonts w:ascii="Verdana" w:hAnsi="Verdana"/>
          <w:sz w:val="20"/>
        </w:rPr>
        <w:t xml:space="preserve">Qualifying Bidders are required to </w:t>
      </w:r>
      <w:r w:rsidRPr="00D926BA">
        <w:rPr>
          <w:rFonts w:ascii="Verdana" w:hAnsi="Verdana"/>
          <w:sz w:val="20"/>
        </w:rPr>
        <w:t xml:space="preserve">provide a table identifying the sensitivities which have been performed on the </w:t>
      </w:r>
      <w:r w:rsidR="00AE6854">
        <w:rPr>
          <w:rFonts w:ascii="Verdana" w:hAnsi="Verdana"/>
          <w:sz w:val="20"/>
        </w:rPr>
        <w:t>Base case</w:t>
      </w:r>
      <w:r w:rsidRPr="00D926BA">
        <w:rPr>
          <w:rFonts w:ascii="Verdana" w:hAnsi="Verdana"/>
          <w:sz w:val="20"/>
        </w:rPr>
        <w:t xml:space="preserve"> financial model and include the key ratio</w:t>
      </w:r>
      <w:r w:rsidR="00CB4432">
        <w:rPr>
          <w:rFonts w:ascii="Verdana" w:hAnsi="Verdana"/>
          <w:sz w:val="20"/>
        </w:rPr>
        <w:t>s and constraints as set out by the providers of any such finance.</w:t>
      </w:r>
    </w:p>
    <w:p w:rsidR="00300364" w:rsidRPr="00300364" w:rsidRDefault="00300364" w:rsidP="00300364">
      <w:pPr>
        <w:pStyle w:val="BodyText"/>
      </w:pPr>
    </w:p>
    <w:p w:rsidR="006F78C9" w:rsidRPr="00D737B1" w:rsidRDefault="00D926BA" w:rsidP="00D926BA">
      <w:pPr>
        <w:pStyle w:val="BodyText"/>
        <w:rPr>
          <w:rFonts w:ascii="Verdana" w:hAnsi="Verdana"/>
          <w:b/>
          <w:sz w:val="20"/>
        </w:rPr>
      </w:pPr>
      <w:r>
        <w:br w:type="page"/>
      </w:r>
      <w:r w:rsidR="00CC6F53">
        <w:rPr>
          <w:rFonts w:ascii="Verdana" w:hAnsi="Verdana"/>
          <w:b/>
          <w:sz w:val="20"/>
        </w:rPr>
        <w:lastRenderedPageBreak/>
        <w:t xml:space="preserve">APPENDIX </w:t>
      </w:r>
      <w:r w:rsidR="00757832">
        <w:rPr>
          <w:rFonts w:ascii="Verdana" w:hAnsi="Verdana"/>
          <w:b/>
          <w:sz w:val="20"/>
        </w:rPr>
        <w:t>3</w:t>
      </w:r>
      <w:r w:rsidR="00B87E55">
        <w:rPr>
          <w:rFonts w:ascii="Verdana" w:hAnsi="Verdana"/>
          <w:b/>
          <w:sz w:val="20"/>
        </w:rPr>
        <w:t>:</w:t>
      </w:r>
      <w:r w:rsidR="00CC6F53">
        <w:rPr>
          <w:rFonts w:ascii="Verdana" w:hAnsi="Verdana"/>
          <w:b/>
          <w:sz w:val="20"/>
        </w:rPr>
        <w:t xml:space="preserve"> QUALIFYING BIDDER </w:t>
      </w:r>
      <w:r w:rsidR="00B87E55">
        <w:rPr>
          <w:rFonts w:ascii="Verdana" w:hAnsi="Verdana"/>
          <w:b/>
          <w:sz w:val="20"/>
        </w:rPr>
        <w:t xml:space="preserve">ITT </w:t>
      </w:r>
      <w:r w:rsidR="00CC6F53">
        <w:rPr>
          <w:rFonts w:ascii="Verdana" w:hAnsi="Verdana"/>
          <w:b/>
          <w:sz w:val="20"/>
        </w:rPr>
        <w:t>CERTIFICATE</w:t>
      </w:r>
    </w:p>
    <w:p w:rsidR="0071113A" w:rsidRPr="00D737B1" w:rsidRDefault="0071113A" w:rsidP="0071113A">
      <w:pPr>
        <w:pStyle w:val="BodyText"/>
        <w:rPr>
          <w:rFonts w:ascii="Verdana" w:hAnsi="Verdana"/>
          <w:sz w:val="20"/>
        </w:rPr>
      </w:pPr>
      <w:r w:rsidRPr="00495DA9">
        <w:rPr>
          <w:rFonts w:ascii="Verdana" w:hAnsi="Verdana"/>
          <w:sz w:val="20"/>
        </w:rPr>
        <w:t xml:space="preserve">Each Qualifying </w:t>
      </w:r>
      <w:r>
        <w:rPr>
          <w:rFonts w:ascii="Verdana" w:hAnsi="Verdana"/>
          <w:sz w:val="20"/>
        </w:rPr>
        <w:t>Bidder</w:t>
      </w:r>
      <w:r w:rsidRPr="00495DA9">
        <w:rPr>
          <w:rFonts w:ascii="Verdana" w:hAnsi="Verdana"/>
          <w:sz w:val="20"/>
        </w:rPr>
        <w:t xml:space="preserve"> must have a duly authorised officer of the Qualifying </w:t>
      </w:r>
      <w:r>
        <w:rPr>
          <w:rFonts w:ascii="Verdana" w:hAnsi="Verdana"/>
          <w:sz w:val="20"/>
        </w:rPr>
        <w:t xml:space="preserve">Bidder </w:t>
      </w:r>
      <w:r w:rsidRPr="00495DA9">
        <w:rPr>
          <w:rFonts w:ascii="Verdana" w:hAnsi="Verdana"/>
          <w:sz w:val="20"/>
        </w:rPr>
        <w:t xml:space="preserve">or consortium Qualifying </w:t>
      </w:r>
      <w:r>
        <w:rPr>
          <w:rFonts w:ascii="Verdana" w:hAnsi="Verdana"/>
          <w:sz w:val="20"/>
        </w:rPr>
        <w:t xml:space="preserve">Bidder </w:t>
      </w:r>
      <w:proofErr w:type="gramStart"/>
      <w:r w:rsidRPr="00495DA9">
        <w:rPr>
          <w:rFonts w:ascii="Verdana" w:hAnsi="Verdana"/>
          <w:sz w:val="20"/>
        </w:rPr>
        <w:t>indicate</w:t>
      </w:r>
      <w:proofErr w:type="gramEnd"/>
      <w:r w:rsidRPr="00495DA9">
        <w:rPr>
          <w:rFonts w:ascii="Verdana" w:hAnsi="Verdana"/>
          <w:sz w:val="20"/>
        </w:rPr>
        <w:t xml:space="preserve"> his or her confirmation of</w:t>
      </w:r>
      <w:r w:rsidR="001A0D45">
        <w:rPr>
          <w:rFonts w:ascii="Verdana" w:hAnsi="Verdana"/>
          <w:sz w:val="20"/>
        </w:rPr>
        <w:t xml:space="preserve"> all of the statements (A) to (I</w:t>
      </w:r>
      <w:r w:rsidRPr="00495DA9">
        <w:rPr>
          <w:rFonts w:ascii="Verdana" w:hAnsi="Verdana"/>
          <w:sz w:val="20"/>
        </w:rPr>
        <w:t>) below by signing where indicated</w:t>
      </w:r>
      <w:r>
        <w:rPr>
          <w:rFonts w:ascii="Verdana" w:hAnsi="Verdana"/>
          <w:sz w:val="20"/>
        </w:rPr>
        <w:t>.</w:t>
      </w:r>
      <w:r w:rsidRPr="00495DA9">
        <w:rPr>
          <w:rFonts w:ascii="Verdana" w:hAnsi="Verdana"/>
          <w:sz w:val="20"/>
        </w:rPr>
        <w:t xml:space="preserve">   A signed copy of the certificate must then be uploaded on to the Portal as part of your ITT Submission.</w:t>
      </w:r>
      <w:r w:rsidR="001A0D45">
        <w:rPr>
          <w:rFonts w:ascii="Verdana" w:hAnsi="Verdana"/>
          <w:sz w:val="20"/>
        </w:rPr>
        <w:t xml:space="preserve">  In relation to statement (A) only, if the duly authorised officer is not able to confirm this statement then he or she need to indicate this in a mark up to this statement, and provide a written description of the reasons why the duly authorised officer cannot give such confirmation.</w:t>
      </w:r>
    </w:p>
    <w:p w:rsidR="0071113A" w:rsidRPr="00D737B1" w:rsidRDefault="0071113A" w:rsidP="0071113A">
      <w:pPr>
        <w:pStyle w:val="BodyText"/>
        <w:rPr>
          <w:rFonts w:ascii="Verdana" w:hAnsi="Verdana"/>
          <w:sz w:val="20"/>
        </w:rPr>
      </w:pPr>
      <w:r w:rsidRPr="00495DA9">
        <w:rPr>
          <w:rFonts w:ascii="Verdana" w:hAnsi="Verdana"/>
          <w:sz w:val="20"/>
        </w:rPr>
        <w:t>"I, acting as a duly authorised officer of [</w:t>
      </w:r>
      <w:r w:rsidRPr="00495DA9">
        <w:rPr>
          <w:rFonts w:ascii="Verdana" w:hAnsi="Verdana"/>
          <w:i/>
          <w:iCs/>
          <w:sz w:val="20"/>
        </w:rPr>
        <w:t xml:space="preserve">insert name of Qualifying </w:t>
      </w:r>
      <w:r>
        <w:rPr>
          <w:rFonts w:ascii="Verdana" w:hAnsi="Verdana"/>
          <w:i/>
          <w:iCs/>
          <w:sz w:val="20"/>
        </w:rPr>
        <w:t>Bidder</w:t>
      </w:r>
      <w:r w:rsidRPr="00495DA9">
        <w:rPr>
          <w:rFonts w:ascii="Verdana" w:hAnsi="Verdana"/>
          <w:i/>
          <w:iCs/>
          <w:sz w:val="20"/>
        </w:rPr>
        <w:t xml:space="preserve"> (if a consortium application, the lead member of the consortium</w:t>
      </w:r>
      <w:r w:rsidRPr="00495DA9">
        <w:rPr>
          <w:rFonts w:ascii="Verdana" w:hAnsi="Verdana"/>
          <w:sz w:val="20"/>
        </w:rPr>
        <w:t>)] and on behalf of [</w:t>
      </w:r>
      <w:r w:rsidRPr="00495DA9">
        <w:rPr>
          <w:rFonts w:ascii="Verdana" w:hAnsi="Verdana"/>
          <w:i/>
          <w:iCs/>
          <w:sz w:val="20"/>
        </w:rPr>
        <w:t xml:space="preserve">insert names of Qualifying </w:t>
      </w:r>
      <w:r>
        <w:rPr>
          <w:rFonts w:ascii="Verdana" w:hAnsi="Verdana"/>
          <w:i/>
          <w:iCs/>
          <w:sz w:val="20"/>
        </w:rPr>
        <w:t>Bidder</w:t>
      </w:r>
      <w:r w:rsidRPr="00495DA9">
        <w:rPr>
          <w:rFonts w:ascii="Verdana" w:hAnsi="Verdana"/>
          <w:i/>
          <w:iCs/>
          <w:sz w:val="20"/>
        </w:rPr>
        <w:t xml:space="preserve"> and each of the consortium members if applicable</w:t>
      </w:r>
      <w:r w:rsidRPr="00495DA9">
        <w:rPr>
          <w:rFonts w:ascii="Verdana" w:hAnsi="Verdana"/>
          <w:sz w:val="20"/>
        </w:rPr>
        <w:t xml:space="preserve">], hereby confirm that: </w:t>
      </w:r>
    </w:p>
    <w:p w:rsidR="0071113A" w:rsidRPr="00D737B1" w:rsidRDefault="0071113A" w:rsidP="0071113A">
      <w:pPr>
        <w:pStyle w:val="BodyText"/>
        <w:ind w:left="705" w:hanging="705"/>
        <w:rPr>
          <w:rFonts w:ascii="Verdana" w:hAnsi="Verdana"/>
          <w:sz w:val="20"/>
        </w:rPr>
      </w:pPr>
      <w:r w:rsidRPr="00495DA9">
        <w:rPr>
          <w:rFonts w:ascii="Verdana" w:hAnsi="Verdana"/>
          <w:sz w:val="20"/>
        </w:rPr>
        <w:t>A)</w:t>
      </w:r>
      <w:r w:rsidRPr="00495DA9">
        <w:rPr>
          <w:rFonts w:ascii="Verdana" w:hAnsi="Verdana"/>
          <w:sz w:val="20"/>
        </w:rPr>
        <w:tab/>
      </w:r>
      <w:r>
        <w:rPr>
          <w:rFonts w:ascii="Verdana" w:hAnsi="Verdana"/>
          <w:sz w:val="20"/>
        </w:rPr>
        <w:tab/>
      </w:r>
      <w:proofErr w:type="gramStart"/>
      <w:r w:rsidRPr="00495DA9">
        <w:rPr>
          <w:rFonts w:ascii="Verdana" w:hAnsi="Verdana"/>
          <w:sz w:val="20"/>
        </w:rPr>
        <w:t>the</w:t>
      </w:r>
      <w:proofErr w:type="gramEnd"/>
      <w:r w:rsidRPr="00495DA9">
        <w:rPr>
          <w:rFonts w:ascii="Verdana" w:hAnsi="Verdana"/>
          <w:sz w:val="20"/>
        </w:rPr>
        <w:t xml:space="preserve"> information provided in the PQ </w:t>
      </w:r>
      <w:r>
        <w:rPr>
          <w:rFonts w:ascii="Verdana" w:hAnsi="Verdana"/>
          <w:sz w:val="20"/>
        </w:rPr>
        <w:t xml:space="preserve">and QTT </w:t>
      </w:r>
      <w:r w:rsidRPr="00495DA9">
        <w:rPr>
          <w:rFonts w:ascii="Verdana" w:hAnsi="Verdana"/>
          <w:sz w:val="20"/>
        </w:rPr>
        <w:t>Submission</w:t>
      </w:r>
      <w:r>
        <w:rPr>
          <w:rFonts w:ascii="Verdana" w:hAnsi="Verdana"/>
          <w:sz w:val="20"/>
        </w:rPr>
        <w:t>s</w:t>
      </w:r>
      <w:r w:rsidRPr="00495DA9">
        <w:rPr>
          <w:rFonts w:ascii="Verdana" w:hAnsi="Verdana"/>
          <w:sz w:val="20"/>
        </w:rPr>
        <w:t xml:space="preserve"> remains materially true, accurate and complete</w:t>
      </w:r>
      <w:r>
        <w:rPr>
          <w:rFonts w:ascii="Verdana" w:hAnsi="Verdana"/>
          <w:sz w:val="20"/>
        </w:rPr>
        <w:t>;</w:t>
      </w:r>
    </w:p>
    <w:p w:rsidR="0071113A" w:rsidRPr="00D737B1" w:rsidRDefault="0071113A" w:rsidP="0071113A">
      <w:pPr>
        <w:pStyle w:val="BodyText"/>
        <w:ind w:left="705" w:hanging="705"/>
        <w:rPr>
          <w:rFonts w:ascii="Verdana" w:hAnsi="Verdana"/>
          <w:sz w:val="20"/>
        </w:rPr>
      </w:pPr>
      <w:r w:rsidRPr="00495DA9">
        <w:rPr>
          <w:rFonts w:ascii="Verdana" w:hAnsi="Verdana"/>
          <w:sz w:val="20"/>
        </w:rPr>
        <w:t>B)</w:t>
      </w:r>
      <w:r w:rsidRPr="00495DA9">
        <w:rPr>
          <w:rFonts w:ascii="Verdana" w:hAnsi="Verdana"/>
          <w:sz w:val="20"/>
        </w:rPr>
        <w:tab/>
      </w:r>
      <w:proofErr w:type="gramStart"/>
      <w:r w:rsidRPr="00495DA9">
        <w:rPr>
          <w:rFonts w:ascii="Verdana" w:hAnsi="Verdana"/>
          <w:sz w:val="20"/>
        </w:rPr>
        <w:t>the</w:t>
      </w:r>
      <w:proofErr w:type="gramEnd"/>
      <w:r w:rsidRPr="00495DA9">
        <w:rPr>
          <w:rFonts w:ascii="Verdana" w:hAnsi="Verdana"/>
          <w:sz w:val="20"/>
        </w:rPr>
        <w:t xml:space="preserve"> information provided in this ITT Submission is true, accurate and complete; </w:t>
      </w:r>
    </w:p>
    <w:p w:rsidR="0071113A" w:rsidRPr="00D737B1" w:rsidRDefault="0071113A" w:rsidP="0071113A">
      <w:pPr>
        <w:pStyle w:val="BodyText"/>
        <w:ind w:left="705" w:hanging="705"/>
        <w:rPr>
          <w:rFonts w:ascii="Verdana" w:hAnsi="Verdana"/>
          <w:sz w:val="20"/>
        </w:rPr>
      </w:pPr>
      <w:r w:rsidRPr="00495DA9">
        <w:rPr>
          <w:rFonts w:ascii="Verdana" w:hAnsi="Verdana"/>
          <w:sz w:val="20"/>
        </w:rPr>
        <w:t>C)</w:t>
      </w:r>
      <w:r w:rsidRPr="00495DA9">
        <w:rPr>
          <w:rFonts w:ascii="Verdana" w:hAnsi="Verdana"/>
          <w:sz w:val="20"/>
        </w:rPr>
        <w:tab/>
        <w:t>neither the Qualifying Applicant, [</w:t>
      </w:r>
      <w:r w:rsidRPr="00495DA9">
        <w:rPr>
          <w:rFonts w:ascii="Verdana" w:hAnsi="Verdana"/>
          <w:i/>
          <w:iCs/>
          <w:sz w:val="20"/>
        </w:rPr>
        <w:t>insert the names of each of the other consortium members if applicable</w:t>
      </w:r>
      <w:r w:rsidRPr="00495DA9">
        <w:rPr>
          <w:rFonts w:ascii="Verdana" w:hAnsi="Verdana"/>
          <w:sz w:val="20"/>
        </w:rPr>
        <w:t xml:space="preserve">] nor any of </w:t>
      </w:r>
      <w:r w:rsidRPr="00197607">
        <w:rPr>
          <w:rFonts w:ascii="Verdana" w:hAnsi="Verdana"/>
          <w:sz w:val="20"/>
        </w:rPr>
        <w:t>its / their (delete as appropriate)</w:t>
      </w:r>
      <w:r>
        <w:rPr>
          <w:rFonts w:ascii="Verdana" w:hAnsi="Verdana"/>
          <w:sz w:val="20"/>
        </w:rPr>
        <w:t xml:space="preserve"> </w:t>
      </w:r>
      <w:r w:rsidRPr="00495DA9">
        <w:rPr>
          <w:rFonts w:ascii="Verdana" w:hAnsi="Verdana"/>
          <w:sz w:val="20"/>
        </w:rPr>
        <w:t xml:space="preserve">Related Parties has breached any applicable legislation or regulations including any provision or requirement of the Financial Services and Markets Act 2000, the Tender Regulations, the Tender Rules, or the ITT Document in preparing or making this ITT Submission; </w:t>
      </w:r>
    </w:p>
    <w:p w:rsidR="0071113A" w:rsidRPr="00D737B1" w:rsidRDefault="0071113A" w:rsidP="0071113A">
      <w:pPr>
        <w:pStyle w:val="BodyText"/>
        <w:ind w:left="705" w:hanging="705"/>
        <w:rPr>
          <w:rFonts w:ascii="Verdana" w:hAnsi="Verdana"/>
          <w:sz w:val="20"/>
        </w:rPr>
      </w:pPr>
      <w:r w:rsidRPr="00495DA9">
        <w:rPr>
          <w:rFonts w:ascii="Verdana" w:hAnsi="Verdana"/>
          <w:sz w:val="20"/>
        </w:rPr>
        <w:t>D)</w:t>
      </w:r>
      <w:r w:rsidRPr="00495DA9">
        <w:rPr>
          <w:rFonts w:ascii="Verdana" w:hAnsi="Verdana"/>
          <w:sz w:val="20"/>
        </w:rPr>
        <w:tab/>
      </w:r>
      <w:proofErr w:type="gramStart"/>
      <w:r w:rsidRPr="00495DA9">
        <w:rPr>
          <w:rFonts w:ascii="Verdana" w:hAnsi="Verdana"/>
          <w:sz w:val="20"/>
        </w:rPr>
        <w:t>we</w:t>
      </w:r>
      <w:proofErr w:type="gramEnd"/>
      <w:r w:rsidRPr="00495DA9">
        <w:rPr>
          <w:rFonts w:ascii="Verdana" w:hAnsi="Verdana"/>
          <w:sz w:val="20"/>
        </w:rPr>
        <w:t xml:space="preserve"> are not aware of any application to place the Qualifying </w:t>
      </w:r>
      <w:r>
        <w:rPr>
          <w:rFonts w:ascii="Verdana" w:hAnsi="Verdana"/>
          <w:sz w:val="20"/>
        </w:rPr>
        <w:t>Bidder</w:t>
      </w:r>
      <w:r w:rsidRPr="00495DA9">
        <w:rPr>
          <w:rFonts w:ascii="Verdana" w:hAnsi="Verdana"/>
          <w:sz w:val="20"/>
        </w:rPr>
        <w:t xml:space="preserve">, any other consortium member or the shareholders of any of the foregoing in liquidation, administration or receivership, or to commence any analogous process or proceeding in any jurisdiction, and that no such process has been commenced; </w:t>
      </w:r>
    </w:p>
    <w:p w:rsidR="0071113A" w:rsidRPr="00D737B1" w:rsidRDefault="0071113A" w:rsidP="0071113A">
      <w:pPr>
        <w:pStyle w:val="BodyText"/>
        <w:ind w:left="705" w:hanging="705"/>
        <w:rPr>
          <w:rFonts w:ascii="Verdana" w:hAnsi="Verdana"/>
          <w:sz w:val="20"/>
        </w:rPr>
      </w:pPr>
      <w:r w:rsidRPr="00495DA9">
        <w:rPr>
          <w:rFonts w:ascii="Verdana" w:hAnsi="Verdana"/>
          <w:sz w:val="20"/>
        </w:rPr>
        <w:t>E)</w:t>
      </w:r>
      <w:r w:rsidRPr="00495DA9">
        <w:rPr>
          <w:rFonts w:ascii="Verdana" w:hAnsi="Verdana"/>
          <w:sz w:val="20"/>
        </w:rPr>
        <w:tab/>
        <w:t xml:space="preserve">the Qualifying </w:t>
      </w:r>
      <w:r>
        <w:rPr>
          <w:rFonts w:ascii="Verdana" w:hAnsi="Verdana"/>
          <w:sz w:val="20"/>
        </w:rPr>
        <w:t>Bidder</w:t>
      </w:r>
      <w:r w:rsidRPr="00495DA9">
        <w:rPr>
          <w:rFonts w:ascii="Verdana" w:hAnsi="Verdana"/>
          <w:sz w:val="20"/>
        </w:rPr>
        <w:t xml:space="preserve"> is acting as a principal in the Tender Process and not as an agent for any undisclosed person and the Qualifying </w:t>
      </w:r>
      <w:r>
        <w:rPr>
          <w:rFonts w:ascii="Verdana" w:hAnsi="Verdana"/>
          <w:sz w:val="20"/>
        </w:rPr>
        <w:t xml:space="preserve">Bidder </w:t>
      </w:r>
      <w:r w:rsidRPr="00495DA9">
        <w:rPr>
          <w:rFonts w:ascii="Verdana" w:hAnsi="Verdana"/>
          <w:sz w:val="20"/>
        </w:rPr>
        <w:t xml:space="preserve">and each of the other consortium members (if applicable) have expressly authorised me to act on their behalf in making this ITT Submission;   </w:t>
      </w:r>
    </w:p>
    <w:p w:rsidR="0071113A" w:rsidRPr="00D737B1" w:rsidRDefault="0071113A" w:rsidP="0071113A">
      <w:pPr>
        <w:pStyle w:val="BodyText"/>
        <w:ind w:left="705" w:hanging="705"/>
        <w:rPr>
          <w:rFonts w:ascii="Verdana" w:hAnsi="Verdana"/>
          <w:sz w:val="20"/>
        </w:rPr>
      </w:pPr>
      <w:r w:rsidRPr="00495DA9">
        <w:rPr>
          <w:rFonts w:ascii="Verdana" w:hAnsi="Verdana"/>
          <w:sz w:val="20"/>
        </w:rPr>
        <w:t>F)</w:t>
      </w:r>
      <w:r w:rsidRPr="00495DA9">
        <w:rPr>
          <w:rFonts w:ascii="Verdana" w:hAnsi="Verdana"/>
          <w:sz w:val="20"/>
        </w:rPr>
        <w:tab/>
        <w:t xml:space="preserve">the Qualifying </w:t>
      </w:r>
      <w:r>
        <w:rPr>
          <w:rFonts w:ascii="Verdana" w:hAnsi="Verdana"/>
          <w:sz w:val="20"/>
        </w:rPr>
        <w:t>Bidder</w:t>
      </w:r>
      <w:r w:rsidRPr="00495DA9">
        <w:rPr>
          <w:rFonts w:ascii="Verdana" w:hAnsi="Verdana"/>
          <w:sz w:val="20"/>
        </w:rPr>
        <w:t xml:space="preserve"> and each of the other consortium members (if applicable) hereby consent to the disclosure by Ofgem to </w:t>
      </w:r>
      <w:proofErr w:type="spellStart"/>
      <w:r w:rsidRPr="00495DA9">
        <w:rPr>
          <w:rFonts w:ascii="Verdana" w:hAnsi="Verdana"/>
          <w:sz w:val="20"/>
        </w:rPr>
        <w:t>Ofgem's</w:t>
      </w:r>
      <w:proofErr w:type="spellEnd"/>
      <w:r w:rsidRPr="00495DA9">
        <w:rPr>
          <w:rFonts w:ascii="Verdana" w:hAnsi="Verdana"/>
          <w:sz w:val="20"/>
        </w:rPr>
        <w:t xml:space="preserve"> Related Parties for the purposes of the Tender Rounds of any information given to Ofgem either before or during the Tender Process(</w:t>
      </w:r>
      <w:proofErr w:type="spellStart"/>
      <w:r w:rsidRPr="00495DA9">
        <w:rPr>
          <w:rFonts w:ascii="Verdana" w:hAnsi="Verdana"/>
          <w:sz w:val="20"/>
        </w:rPr>
        <w:t>es</w:t>
      </w:r>
      <w:proofErr w:type="spellEnd"/>
      <w:r w:rsidRPr="00495DA9">
        <w:rPr>
          <w:rFonts w:ascii="Verdana" w:hAnsi="Verdana"/>
          <w:sz w:val="20"/>
        </w:rPr>
        <w:t xml:space="preserve">) by such Qualifying </w:t>
      </w:r>
      <w:r>
        <w:rPr>
          <w:rFonts w:ascii="Verdana" w:hAnsi="Verdana"/>
          <w:sz w:val="20"/>
        </w:rPr>
        <w:t>Bidder</w:t>
      </w:r>
      <w:r w:rsidRPr="00495DA9">
        <w:rPr>
          <w:rFonts w:ascii="Verdana" w:hAnsi="Verdana"/>
          <w:sz w:val="20"/>
        </w:rPr>
        <w:t xml:space="preserve"> or consortium member</w:t>
      </w:r>
      <w:r>
        <w:rPr>
          <w:rFonts w:ascii="Verdana" w:hAnsi="Verdana"/>
          <w:sz w:val="20"/>
        </w:rPr>
        <w:t>;</w:t>
      </w:r>
      <w:r w:rsidRPr="00495DA9">
        <w:rPr>
          <w:rFonts w:ascii="Verdana" w:hAnsi="Verdana"/>
          <w:sz w:val="20"/>
        </w:rPr>
        <w:t xml:space="preserve"> </w:t>
      </w:r>
    </w:p>
    <w:p w:rsidR="0071113A" w:rsidRPr="00D737B1" w:rsidRDefault="0071113A" w:rsidP="0071113A">
      <w:pPr>
        <w:pStyle w:val="BodyText"/>
        <w:ind w:left="705" w:hanging="705"/>
        <w:rPr>
          <w:rFonts w:ascii="Verdana" w:hAnsi="Verdana"/>
          <w:sz w:val="20"/>
        </w:rPr>
      </w:pPr>
      <w:r w:rsidRPr="00495DA9">
        <w:rPr>
          <w:rFonts w:ascii="Verdana" w:hAnsi="Verdana"/>
          <w:sz w:val="20"/>
        </w:rPr>
        <w:t xml:space="preserve">G) </w:t>
      </w:r>
      <w:r w:rsidRPr="00495DA9">
        <w:rPr>
          <w:rFonts w:ascii="Verdana" w:hAnsi="Verdana"/>
          <w:sz w:val="20"/>
        </w:rPr>
        <w:tab/>
        <w:t xml:space="preserve">In compiling this ITT Submission, neither I personally nor  the Qualifying </w:t>
      </w:r>
      <w:r>
        <w:rPr>
          <w:rFonts w:ascii="Verdana" w:hAnsi="Verdana"/>
          <w:sz w:val="20"/>
        </w:rPr>
        <w:t>Bidder</w:t>
      </w:r>
      <w:r w:rsidRPr="00495DA9">
        <w:rPr>
          <w:rFonts w:ascii="Verdana" w:hAnsi="Verdana"/>
          <w:sz w:val="20"/>
        </w:rPr>
        <w:t xml:space="preserve"> or Qualifying </w:t>
      </w:r>
      <w:r>
        <w:rPr>
          <w:rFonts w:ascii="Verdana" w:hAnsi="Verdana"/>
          <w:sz w:val="20"/>
        </w:rPr>
        <w:t>Bidder</w:t>
      </w:r>
      <w:r w:rsidRPr="00495DA9">
        <w:rPr>
          <w:rFonts w:ascii="Verdana" w:hAnsi="Verdana"/>
          <w:sz w:val="20"/>
        </w:rPr>
        <w:t xml:space="preserve"> consortium has obtained an unfair commercial advantage including, in particular such advantage from a preferential or discriminatory arrangement with associated parent companies or affiliates, any user of the national electricity transmission system or transmission licensees</w:t>
      </w:r>
      <w:r>
        <w:rPr>
          <w:rFonts w:ascii="Verdana" w:hAnsi="Verdana"/>
          <w:sz w:val="20"/>
        </w:rPr>
        <w:t xml:space="preserve">; </w:t>
      </w:r>
    </w:p>
    <w:p w:rsidR="003C5661" w:rsidRDefault="0071113A" w:rsidP="0071113A">
      <w:pPr>
        <w:pStyle w:val="BodyText"/>
        <w:ind w:left="705" w:hanging="705"/>
        <w:rPr>
          <w:rFonts w:ascii="Verdana" w:hAnsi="Verdana"/>
          <w:sz w:val="20"/>
        </w:rPr>
      </w:pPr>
      <w:r w:rsidRPr="00495DA9">
        <w:rPr>
          <w:rFonts w:ascii="Verdana" w:hAnsi="Verdana"/>
          <w:sz w:val="20"/>
        </w:rPr>
        <w:t>H</w:t>
      </w:r>
      <w:r w:rsidRPr="005B66B2">
        <w:rPr>
          <w:rFonts w:ascii="Verdana" w:hAnsi="Verdana"/>
          <w:sz w:val="20"/>
        </w:rPr>
        <w:t xml:space="preserve">) </w:t>
      </w:r>
      <w:r w:rsidRPr="005B66B2">
        <w:rPr>
          <w:rFonts w:ascii="Verdana" w:hAnsi="Verdana"/>
          <w:sz w:val="20"/>
        </w:rPr>
        <w:tab/>
      </w:r>
      <w:r w:rsidR="005B66B2" w:rsidRPr="005B66B2">
        <w:rPr>
          <w:rFonts w:ascii="Verdana" w:hAnsi="Verdana"/>
          <w:sz w:val="20"/>
        </w:rPr>
        <w:t>the Qualifying Bidder and each of the other consortium members (if applicable) hereby confirm that they have considered the implications of the Third Package and understands that, if appointed as Preferred Bidder or Reserve Bidder and if the unbundling provisions of the Third Package, or where appropriate, the relevant provisions of the relevant implementing legislation, apply to [</w:t>
      </w:r>
      <w:r w:rsidR="005B66B2" w:rsidRPr="005B66B2">
        <w:rPr>
          <w:rFonts w:ascii="Verdana" w:hAnsi="Verdana"/>
          <w:b/>
          <w:i/>
          <w:sz w:val="20"/>
        </w:rPr>
        <w:t>insert name of project</w:t>
      </w:r>
      <w:r w:rsidR="005B66B2" w:rsidRPr="005B66B2">
        <w:rPr>
          <w:rFonts w:ascii="Verdana" w:hAnsi="Verdana"/>
          <w:sz w:val="20"/>
        </w:rPr>
        <w:t xml:space="preserve">], they will be required to comply with the provisions of the Third Package, or where appropriate, the relevant provisions of the relevant implementing legislation, by the time set out in relevant Articles of the Electricity Directive so far as they relate to full ownership unbundling set out in Article 9.1 of the Electricity Directive or one of </w:t>
      </w:r>
      <w:r w:rsidR="005B66B2" w:rsidRPr="005B66B2">
        <w:rPr>
          <w:rFonts w:ascii="Verdana" w:hAnsi="Verdana"/>
          <w:sz w:val="20"/>
        </w:rPr>
        <w:lastRenderedPageBreak/>
        <w:t>the alternative models provided for in Article 13, Chapter V or Article 9.9 of the Electricity Directive</w:t>
      </w:r>
      <w:r w:rsidR="003C5661" w:rsidRPr="005B66B2">
        <w:rPr>
          <w:rFonts w:ascii="Verdana" w:hAnsi="Verdana"/>
          <w:sz w:val="20"/>
        </w:rPr>
        <w:t>; and</w:t>
      </w:r>
    </w:p>
    <w:p w:rsidR="0071113A" w:rsidRPr="00D737B1" w:rsidRDefault="003C5661" w:rsidP="0071113A">
      <w:pPr>
        <w:pStyle w:val="BodyText"/>
        <w:ind w:left="705" w:hanging="705"/>
        <w:rPr>
          <w:rFonts w:ascii="Verdana" w:hAnsi="Verdana"/>
          <w:sz w:val="20"/>
        </w:rPr>
      </w:pPr>
      <w:r>
        <w:rPr>
          <w:rFonts w:ascii="Verdana" w:hAnsi="Verdana"/>
          <w:sz w:val="20"/>
        </w:rPr>
        <w:t>I)</w:t>
      </w:r>
      <w:r>
        <w:rPr>
          <w:rFonts w:ascii="Verdana" w:hAnsi="Verdana"/>
          <w:sz w:val="20"/>
        </w:rPr>
        <w:tab/>
      </w:r>
      <w:proofErr w:type="gramStart"/>
      <w:r w:rsidR="0071113A" w:rsidRPr="00495DA9">
        <w:rPr>
          <w:rFonts w:ascii="Verdana" w:hAnsi="Verdana"/>
          <w:sz w:val="20"/>
        </w:rPr>
        <w:t>In</w:t>
      </w:r>
      <w:proofErr w:type="gramEnd"/>
      <w:r w:rsidR="0071113A" w:rsidRPr="00495DA9">
        <w:rPr>
          <w:rFonts w:ascii="Verdana" w:hAnsi="Verdana"/>
          <w:sz w:val="20"/>
        </w:rPr>
        <w:t xml:space="preserve"> providing this statement I have made all due enquiries on behalf of the Qualifying </w:t>
      </w:r>
      <w:r w:rsidR="0071113A">
        <w:rPr>
          <w:rFonts w:ascii="Verdana" w:hAnsi="Verdana"/>
          <w:sz w:val="20"/>
        </w:rPr>
        <w:t>Bidder</w:t>
      </w:r>
      <w:r w:rsidR="0071113A" w:rsidRPr="00495DA9">
        <w:rPr>
          <w:rFonts w:ascii="Verdana" w:hAnsi="Verdana"/>
          <w:sz w:val="20"/>
        </w:rPr>
        <w:t xml:space="preserve"> or Qualifying </w:t>
      </w:r>
      <w:r w:rsidR="0071113A">
        <w:rPr>
          <w:rFonts w:ascii="Verdana" w:hAnsi="Verdana"/>
          <w:sz w:val="20"/>
        </w:rPr>
        <w:t>Bidder</w:t>
      </w:r>
      <w:r w:rsidR="0071113A" w:rsidRPr="00495DA9">
        <w:rPr>
          <w:rFonts w:ascii="Verdana" w:hAnsi="Verdana"/>
          <w:sz w:val="20"/>
        </w:rPr>
        <w:t xml:space="preserve"> consortium."</w:t>
      </w:r>
    </w:p>
    <w:p w:rsidR="0071113A" w:rsidRPr="00D737B1" w:rsidRDefault="0071113A" w:rsidP="0071113A">
      <w:pPr>
        <w:pStyle w:val="BodyText"/>
        <w:ind w:left="705" w:hanging="705"/>
        <w:rPr>
          <w:rFonts w:ascii="Verdana" w:hAnsi="Verdana"/>
          <w:sz w:val="20"/>
        </w:rPr>
      </w:pPr>
    </w:p>
    <w:p w:rsidR="0071113A" w:rsidRPr="00D737B1" w:rsidRDefault="0071113A" w:rsidP="0071113A">
      <w:pPr>
        <w:pStyle w:val="BodyText"/>
        <w:rPr>
          <w:rFonts w:ascii="Verdana" w:hAnsi="Verdana"/>
          <w:sz w:val="20"/>
        </w:rPr>
      </w:pPr>
      <w:r w:rsidRPr="00495DA9">
        <w:rPr>
          <w:rFonts w:ascii="Verdana" w:hAnsi="Verdana"/>
          <w:sz w:val="20"/>
        </w:rPr>
        <w:t>Signed: ___________________________</w:t>
      </w:r>
    </w:p>
    <w:p w:rsidR="0071113A" w:rsidRPr="00D737B1" w:rsidRDefault="0071113A" w:rsidP="0071113A">
      <w:pPr>
        <w:pStyle w:val="BodyText"/>
        <w:rPr>
          <w:rFonts w:ascii="Verdana" w:hAnsi="Verdana"/>
          <w:sz w:val="20"/>
        </w:rPr>
      </w:pPr>
      <w:r w:rsidRPr="00495DA9">
        <w:rPr>
          <w:rFonts w:ascii="Verdana" w:hAnsi="Verdana"/>
          <w:sz w:val="20"/>
        </w:rPr>
        <w:t>Name: ____________________________</w:t>
      </w:r>
    </w:p>
    <w:p w:rsidR="0071113A" w:rsidRPr="00D737B1" w:rsidRDefault="0071113A" w:rsidP="0071113A">
      <w:pPr>
        <w:pStyle w:val="BodyText"/>
        <w:rPr>
          <w:rFonts w:ascii="Verdana" w:hAnsi="Verdana"/>
          <w:sz w:val="20"/>
        </w:rPr>
      </w:pPr>
      <w:r w:rsidRPr="00495DA9">
        <w:rPr>
          <w:rFonts w:ascii="Verdana" w:hAnsi="Verdana"/>
          <w:sz w:val="20"/>
        </w:rPr>
        <w:t>Position: ___________________________</w:t>
      </w:r>
    </w:p>
    <w:p w:rsidR="0071113A" w:rsidRPr="00D737B1" w:rsidRDefault="0071113A" w:rsidP="0071113A">
      <w:pPr>
        <w:pStyle w:val="BodyText"/>
        <w:rPr>
          <w:rFonts w:ascii="Verdana" w:hAnsi="Verdana"/>
          <w:sz w:val="20"/>
        </w:rPr>
      </w:pPr>
      <w:r w:rsidRPr="00495DA9">
        <w:rPr>
          <w:rFonts w:ascii="Verdana" w:hAnsi="Verdana"/>
          <w:sz w:val="20"/>
        </w:rPr>
        <w:t>Dated: ____________________________</w:t>
      </w:r>
    </w:p>
    <w:p w:rsidR="006F78C9" w:rsidRPr="00D737B1" w:rsidRDefault="00B63556" w:rsidP="00B63556">
      <w:pPr>
        <w:pStyle w:val="BodyText"/>
        <w:tabs>
          <w:tab w:val="clear" w:pos="709"/>
        </w:tabs>
        <w:rPr>
          <w:rFonts w:ascii="Verdana" w:hAnsi="Verdana"/>
          <w:b/>
          <w:sz w:val="20"/>
        </w:rPr>
      </w:pPr>
      <w:r>
        <w:rPr>
          <w:rFonts w:ascii="Verdana" w:hAnsi="Verdana"/>
          <w:b/>
          <w:bCs/>
          <w:sz w:val="20"/>
        </w:rPr>
        <w:br w:type="page"/>
      </w:r>
      <w:r w:rsidR="009C3A37">
        <w:rPr>
          <w:rFonts w:ascii="Verdana" w:hAnsi="Verdana"/>
          <w:b/>
          <w:sz w:val="20"/>
        </w:rPr>
        <w:lastRenderedPageBreak/>
        <w:t xml:space="preserve">APPENDIX </w:t>
      </w:r>
      <w:r w:rsidR="00757832">
        <w:rPr>
          <w:rFonts w:ascii="Verdana" w:hAnsi="Verdana"/>
          <w:b/>
          <w:sz w:val="20"/>
        </w:rPr>
        <w:t>4</w:t>
      </w:r>
      <w:r w:rsidR="009C3A37">
        <w:rPr>
          <w:rFonts w:ascii="Verdana" w:hAnsi="Verdana"/>
          <w:b/>
          <w:sz w:val="20"/>
        </w:rPr>
        <w:t>: CONFIDENTIALITY</w:t>
      </w:r>
      <w:r w:rsidR="003B5FB7" w:rsidRPr="003B5FB7">
        <w:rPr>
          <w:rFonts w:ascii="Verdana" w:hAnsi="Verdana"/>
          <w:b/>
          <w:sz w:val="20"/>
        </w:rPr>
        <w:t xml:space="preserve"> </w:t>
      </w:r>
    </w:p>
    <w:p w:rsidR="006F78C9" w:rsidRPr="00D737B1" w:rsidRDefault="003B5FB7" w:rsidP="006F78C9">
      <w:pPr>
        <w:pStyle w:val="BodyText"/>
        <w:rPr>
          <w:rFonts w:ascii="Verdana" w:hAnsi="Verdana"/>
          <w:sz w:val="20"/>
        </w:rPr>
      </w:pPr>
      <w:r w:rsidRPr="003B5FB7">
        <w:rPr>
          <w:rFonts w:ascii="Verdana" w:hAnsi="Verdana"/>
          <w:sz w:val="20"/>
        </w:rPr>
        <w:t xml:space="preserve">The Freedom of Information Act 2000 provides a general right of access to all information held by public authorities.  Ofgem is subject to the Freedom of Information Act 2000 and the Environmental Information Regulations 2004.  </w:t>
      </w:r>
    </w:p>
    <w:p w:rsidR="006F78C9" w:rsidRDefault="003B5FB7" w:rsidP="006F78C9">
      <w:pPr>
        <w:pStyle w:val="BodyText"/>
        <w:rPr>
          <w:rFonts w:ascii="Verdana" w:hAnsi="Verdana"/>
          <w:sz w:val="20"/>
        </w:rPr>
      </w:pPr>
      <w:r w:rsidRPr="003B5FB7">
        <w:rPr>
          <w:rFonts w:ascii="Verdana" w:hAnsi="Verdana"/>
          <w:sz w:val="20"/>
        </w:rPr>
        <w:t xml:space="preserve">The Qualifying </w:t>
      </w:r>
      <w:r w:rsidR="0071113A">
        <w:rPr>
          <w:rFonts w:ascii="Verdana" w:hAnsi="Verdana"/>
          <w:sz w:val="20"/>
        </w:rPr>
        <w:t>Bidder</w:t>
      </w:r>
      <w:r w:rsidRPr="003B5FB7">
        <w:rPr>
          <w:rFonts w:ascii="Verdana" w:hAnsi="Verdana"/>
          <w:sz w:val="20"/>
        </w:rPr>
        <w:t xml:space="preserve"> should identify which part(s) of its ITT Submission </w:t>
      </w:r>
      <w:r w:rsidR="00CC513B">
        <w:rPr>
          <w:rFonts w:ascii="Verdana" w:hAnsi="Verdana"/>
          <w:sz w:val="20"/>
        </w:rPr>
        <w:t xml:space="preserve">is </w:t>
      </w:r>
      <w:r w:rsidRPr="003B5FB7">
        <w:rPr>
          <w:rFonts w:ascii="Verdana" w:hAnsi="Verdana"/>
          <w:sz w:val="20"/>
        </w:rPr>
        <w:t xml:space="preserve">provided in confidence and provide reasons why it considers the information is eligible for exemption under the Freedom of Information Act 2000 and the Environmental Information Regulations 2004 and should therefore be kept confidential.  However, Ofgem is not bound by any such statement but will take them into account in considering whether an exemption applies.  </w:t>
      </w:r>
    </w:p>
    <w:p w:rsidR="00E92601" w:rsidRDefault="00B63556" w:rsidP="0045665A">
      <w:pPr>
        <w:pStyle w:val="BodyText"/>
        <w:rPr>
          <w:rFonts w:ascii="Verdana" w:hAnsi="Verdana"/>
          <w:b/>
          <w:sz w:val="20"/>
        </w:rPr>
      </w:pPr>
      <w:r>
        <w:rPr>
          <w:rFonts w:ascii="Verdana" w:hAnsi="Verdana"/>
          <w:sz w:val="20"/>
        </w:rPr>
        <w:br w:type="page"/>
      </w:r>
      <w:bookmarkEnd w:id="60"/>
    </w:p>
    <w:p w:rsidR="00A234AD" w:rsidRPr="00D737B1" w:rsidRDefault="0045665A" w:rsidP="0045665A">
      <w:pPr>
        <w:pStyle w:val="BodyText"/>
        <w:rPr>
          <w:rFonts w:ascii="Verdana" w:hAnsi="Verdana"/>
          <w:b/>
          <w:bCs/>
          <w:sz w:val="20"/>
        </w:rPr>
      </w:pPr>
      <w:r>
        <w:rPr>
          <w:rFonts w:ascii="Verdana" w:hAnsi="Verdana"/>
          <w:b/>
          <w:bCs/>
          <w:sz w:val="20"/>
        </w:rPr>
        <w:t xml:space="preserve">APPENDIX </w:t>
      </w:r>
      <w:r w:rsidR="00BE375C">
        <w:rPr>
          <w:rFonts w:ascii="Verdana" w:hAnsi="Verdana"/>
          <w:b/>
          <w:bCs/>
          <w:sz w:val="20"/>
        </w:rPr>
        <w:t>5</w:t>
      </w:r>
      <w:r w:rsidR="0071113A">
        <w:rPr>
          <w:rFonts w:ascii="Verdana" w:hAnsi="Verdana"/>
          <w:b/>
          <w:bCs/>
          <w:sz w:val="20"/>
        </w:rPr>
        <w:t>:</w:t>
      </w:r>
      <w:r w:rsidR="00421348">
        <w:rPr>
          <w:rFonts w:ascii="Verdana" w:hAnsi="Verdana"/>
          <w:b/>
          <w:bCs/>
          <w:sz w:val="20"/>
        </w:rPr>
        <w:t xml:space="preserve"> GLOSSARY</w:t>
      </w:r>
    </w:p>
    <w:bookmarkEnd w:id="61"/>
    <w:p w:rsidR="0045665A" w:rsidRDefault="0045665A" w:rsidP="007B0B00">
      <w:pPr>
        <w:pStyle w:val="BodyText"/>
        <w:rPr>
          <w:rFonts w:ascii="Verdana" w:hAnsi="Verdana"/>
          <w:b/>
          <w:bCs/>
          <w:sz w:val="20"/>
        </w:rPr>
      </w:pPr>
    </w:p>
    <w:p w:rsidR="007B0B00" w:rsidRPr="00D737B1" w:rsidRDefault="003B5FB7" w:rsidP="007B0B00">
      <w:pPr>
        <w:pStyle w:val="BodyText"/>
        <w:rPr>
          <w:rFonts w:ascii="Verdana" w:hAnsi="Verdana"/>
          <w:sz w:val="20"/>
        </w:rPr>
      </w:pPr>
      <w:r w:rsidRPr="003B5FB7">
        <w:rPr>
          <w:rFonts w:ascii="Verdana" w:hAnsi="Verdana"/>
          <w:b/>
          <w:bCs/>
          <w:sz w:val="20"/>
        </w:rPr>
        <w:t>"Applicant"</w:t>
      </w:r>
      <w:r w:rsidRPr="003B5FB7">
        <w:rPr>
          <w:rFonts w:ascii="Verdana" w:hAnsi="Verdana"/>
          <w:sz w:val="20"/>
        </w:rPr>
        <w:t xml:space="preserve"> means an entity that makes a Prequalification Submission and/or a Qualification to Tender Submission;</w:t>
      </w:r>
    </w:p>
    <w:p w:rsidR="007B0B00" w:rsidRPr="00D737B1" w:rsidRDefault="003B5FB7" w:rsidP="007B0B00">
      <w:pPr>
        <w:pStyle w:val="BodyText"/>
        <w:rPr>
          <w:rFonts w:ascii="Verdana" w:hAnsi="Verdana"/>
          <w:sz w:val="20"/>
        </w:rPr>
      </w:pPr>
      <w:r w:rsidRPr="003B5FB7">
        <w:rPr>
          <w:rFonts w:ascii="Verdana" w:hAnsi="Verdana"/>
          <w:b/>
          <w:bCs/>
          <w:sz w:val="20"/>
        </w:rPr>
        <w:t>"Authority"</w:t>
      </w:r>
      <w:r w:rsidRPr="003B5FB7">
        <w:rPr>
          <w:rFonts w:ascii="Verdana" w:hAnsi="Verdana"/>
          <w:sz w:val="20"/>
        </w:rPr>
        <w:t xml:space="preserve"> means the Gas and Electricity Markets Authority;</w:t>
      </w:r>
    </w:p>
    <w:p w:rsidR="007B0B00" w:rsidRPr="00D737B1" w:rsidRDefault="003B5FB7" w:rsidP="007B0B00">
      <w:pPr>
        <w:pStyle w:val="BodyText"/>
        <w:outlineLvl w:val="0"/>
        <w:rPr>
          <w:rFonts w:ascii="Verdana" w:hAnsi="Verdana"/>
          <w:sz w:val="20"/>
        </w:rPr>
      </w:pPr>
      <w:bookmarkStart w:id="62" w:name="_Toc249178469"/>
      <w:r w:rsidRPr="003B5FB7">
        <w:rPr>
          <w:rFonts w:ascii="Verdana" w:hAnsi="Verdana"/>
          <w:b/>
          <w:bCs/>
          <w:sz w:val="20"/>
        </w:rPr>
        <w:t>"BAFO"</w:t>
      </w:r>
      <w:r w:rsidRPr="003B5FB7">
        <w:rPr>
          <w:rFonts w:ascii="Verdana" w:hAnsi="Verdana"/>
          <w:sz w:val="20"/>
        </w:rPr>
        <w:t xml:space="preserve"> means the best and final offer that may be requested by Ofgem from some or all of the </w:t>
      </w:r>
      <w:r w:rsidR="00421348">
        <w:rPr>
          <w:rFonts w:ascii="Verdana" w:hAnsi="Verdana"/>
          <w:sz w:val="20"/>
        </w:rPr>
        <w:t xml:space="preserve">Qualifying </w:t>
      </w:r>
      <w:r w:rsidRPr="003B5FB7">
        <w:rPr>
          <w:rFonts w:ascii="Verdana" w:hAnsi="Verdana"/>
          <w:sz w:val="20"/>
        </w:rPr>
        <w:t>Bidders pursuant to paragraph [4.3.5] of the ITT Documentation;</w:t>
      </w:r>
      <w:bookmarkEnd w:id="62"/>
    </w:p>
    <w:p w:rsidR="007B0B00" w:rsidRDefault="003B5FB7" w:rsidP="007B0B00">
      <w:pPr>
        <w:pStyle w:val="BodyText"/>
        <w:rPr>
          <w:rFonts w:ascii="Verdana" w:hAnsi="Verdana"/>
          <w:sz w:val="20"/>
        </w:rPr>
      </w:pPr>
      <w:r w:rsidRPr="00421348">
        <w:rPr>
          <w:rFonts w:ascii="Verdana" w:hAnsi="Verdana"/>
          <w:b/>
          <w:bCs/>
          <w:sz w:val="20"/>
        </w:rPr>
        <w:t>"Confidentiality Agreement"</w:t>
      </w:r>
      <w:r w:rsidRPr="00421348">
        <w:rPr>
          <w:rFonts w:ascii="Verdana" w:hAnsi="Verdana"/>
          <w:sz w:val="20"/>
        </w:rPr>
        <w:t xml:space="preserve"> means the </w:t>
      </w:r>
      <w:r w:rsidR="00421348" w:rsidRPr="00421348">
        <w:rPr>
          <w:rFonts w:ascii="Verdana" w:hAnsi="Verdana"/>
          <w:sz w:val="20"/>
        </w:rPr>
        <w:t xml:space="preserve">a confidentiality </w:t>
      </w:r>
      <w:r w:rsidRPr="00421348">
        <w:rPr>
          <w:rFonts w:ascii="Verdana" w:hAnsi="Verdana"/>
          <w:sz w:val="20"/>
        </w:rPr>
        <w:t xml:space="preserve">agreement </w:t>
      </w:r>
      <w:r w:rsidR="00421348" w:rsidRPr="00421348">
        <w:rPr>
          <w:rFonts w:ascii="Verdana" w:hAnsi="Verdana"/>
          <w:sz w:val="20"/>
        </w:rPr>
        <w:t xml:space="preserve">in </w:t>
      </w:r>
      <w:r w:rsidRPr="00421348">
        <w:rPr>
          <w:rFonts w:ascii="Verdana" w:hAnsi="Verdana"/>
          <w:sz w:val="20"/>
        </w:rPr>
        <w:t>the same</w:t>
      </w:r>
      <w:r w:rsidR="00421348" w:rsidRPr="00421348">
        <w:rPr>
          <w:rFonts w:ascii="Verdana" w:hAnsi="Verdana"/>
          <w:sz w:val="20"/>
        </w:rPr>
        <w:t xml:space="preserve"> form as provided through the Portal;</w:t>
      </w:r>
    </w:p>
    <w:p w:rsidR="00277C2D" w:rsidRPr="00D737B1" w:rsidRDefault="00277C2D" w:rsidP="007B0B00">
      <w:pPr>
        <w:pStyle w:val="BodyText"/>
        <w:rPr>
          <w:rFonts w:ascii="Verdana" w:hAnsi="Verdana"/>
          <w:sz w:val="20"/>
        </w:rPr>
      </w:pPr>
      <w:r w:rsidRPr="00277C2D">
        <w:rPr>
          <w:rFonts w:ascii="Verdana" w:hAnsi="Verdana"/>
          <w:b/>
          <w:sz w:val="20"/>
        </w:rPr>
        <w:t>“Corporate Finance”</w:t>
      </w:r>
      <w:r>
        <w:rPr>
          <w:rFonts w:ascii="Verdana" w:hAnsi="Verdana"/>
          <w:sz w:val="20"/>
        </w:rPr>
        <w:t xml:space="preserve"> means any finance provided by the company without recourse to external parties, e.g. intercompany loans, where the shareholders or parent company are the sole source of finance;</w:t>
      </w:r>
    </w:p>
    <w:p w:rsidR="007B0B00" w:rsidRPr="00D737B1" w:rsidRDefault="003B5FB7" w:rsidP="007B0B00">
      <w:pPr>
        <w:pStyle w:val="BodyText"/>
        <w:rPr>
          <w:rFonts w:ascii="Verdana" w:hAnsi="Verdana"/>
          <w:sz w:val="20"/>
        </w:rPr>
      </w:pPr>
      <w:r w:rsidRPr="003B5FB7">
        <w:rPr>
          <w:rFonts w:ascii="Verdana" w:hAnsi="Verdana"/>
          <w:b/>
          <w:bCs/>
          <w:sz w:val="20"/>
        </w:rPr>
        <w:t>"</w:t>
      </w:r>
      <w:r w:rsidR="009C3A37">
        <w:rPr>
          <w:rFonts w:ascii="Verdana" w:hAnsi="Verdana"/>
          <w:b/>
          <w:bCs/>
          <w:sz w:val="20"/>
        </w:rPr>
        <w:t xml:space="preserve">The </w:t>
      </w:r>
      <w:r w:rsidRPr="003B5FB7">
        <w:rPr>
          <w:rFonts w:ascii="Verdana" w:hAnsi="Verdana"/>
          <w:b/>
          <w:bCs/>
          <w:sz w:val="20"/>
        </w:rPr>
        <w:t>Crown Estate"</w:t>
      </w:r>
      <w:r w:rsidRPr="003B5FB7">
        <w:rPr>
          <w:rFonts w:ascii="Verdana" w:hAnsi="Verdana"/>
          <w:sz w:val="20"/>
        </w:rPr>
        <w:t xml:space="preserve"> means property owned by the Sovereign of the United Kingdom;</w:t>
      </w:r>
    </w:p>
    <w:p w:rsidR="007B0B00" w:rsidRDefault="003B5FB7" w:rsidP="007B0B00">
      <w:pPr>
        <w:pStyle w:val="BodyText"/>
        <w:outlineLvl w:val="0"/>
        <w:rPr>
          <w:rFonts w:ascii="Verdana" w:hAnsi="Verdana"/>
          <w:sz w:val="20"/>
        </w:rPr>
      </w:pPr>
      <w:bookmarkStart w:id="63" w:name="_Toc249178470"/>
      <w:r w:rsidRPr="003B5FB7">
        <w:rPr>
          <w:rFonts w:ascii="Verdana" w:hAnsi="Verdana"/>
          <w:b/>
          <w:bCs/>
          <w:sz w:val="20"/>
        </w:rPr>
        <w:t xml:space="preserve">"Data Room" </w:t>
      </w:r>
      <w:r w:rsidRPr="003B5FB7">
        <w:rPr>
          <w:rFonts w:ascii="Verdana" w:hAnsi="Verdana"/>
          <w:sz w:val="20"/>
        </w:rPr>
        <w:t>means</w:t>
      </w:r>
      <w:r w:rsidR="009C3A37">
        <w:rPr>
          <w:rFonts w:ascii="Verdana" w:hAnsi="Verdana"/>
          <w:sz w:val="20"/>
        </w:rPr>
        <w:t>, in respect of a Qualifying Project, an electronic data room populated by Ofgem with information provided by the relevant Developer and other third parties which is made available to each Qualifying Bidder through the Portal.</w:t>
      </w:r>
      <w:bookmarkEnd w:id="63"/>
    </w:p>
    <w:p w:rsidR="00277C2D" w:rsidRPr="00D737B1" w:rsidRDefault="00277C2D" w:rsidP="007B0B00">
      <w:pPr>
        <w:pStyle w:val="BodyText"/>
        <w:outlineLvl w:val="0"/>
        <w:rPr>
          <w:rFonts w:ascii="Verdana" w:hAnsi="Verdana"/>
          <w:sz w:val="20"/>
        </w:rPr>
      </w:pPr>
      <w:bookmarkStart w:id="64" w:name="_Toc249178471"/>
      <w:r w:rsidRPr="00277C2D">
        <w:rPr>
          <w:rFonts w:ascii="Verdana" w:hAnsi="Verdana"/>
          <w:b/>
          <w:sz w:val="20"/>
        </w:rPr>
        <w:t>“Debt Finance”</w:t>
      </w:r>
      <w:r>
        <w:rPr>
          <w:rFonts w:ascii="Verdana" w:hAnsi="Verdana"/>
          <w:sz w:val="20"/>
        </w:rPr>
        <w:t xml:space="preserve"> means non-recourse or limited recourse senior debt finance;</w:t>
      </w:r>
      <w:bookmarkEnd w:id="64"/>
    </w:p>
    <w:p w:rsidR="00036F16" w:rsidRDefault="00036F16" w:rsidP="007B0B00">
      <w:pPr>
        <w:pStyle w:val="BodyText"/>
        <w:outlineLvl w:val="0"/>
        <w:rPr>
          <w:rFonts w:ascii="Verdana" w:hAnsi="Verdana"/>
          <w:b/>
          <w:bCs/>
          <w:sz w:val="20"/>
        </w:rPr>
      </w:pPr>
      <w:bookmarkStart w:id="65" w:name="_Toc249178472"/>
      <w:r w:rsidRPr="00277C2D">
        <w:rPr>
          <w:rFonts w:ascii="Verdana" w:hAnsi="Verdana"/>
          <w:b/>
          <w:sz w:val="20"/>
        </w:rPr>
        <w:t>“De</w:t>
      </w:r>
      <w:r>
        <w:rPr>
          <w:rFonts w:ascii="Verdana" w:hAnsi="Verdana"/>
          <w:b/>
          <w:sz w:val="20"/>
        </w:rPr>
        <w:t>ferred</w:t>
      </w:r>
      <w:r w:rsidRPr="00277C2D">
        <w:rPr>
          <w:rFonts w:ascii="Verdana" w:hAnsi="Verdana"/>
          <w:b/>
          <w:sz w:val="20"/>
        </w:rPr>
        <w:t xml:space="preserve"> </w:t>
      </w:r>
      <w:r>
        <w:rPr>
          <w:rFonts w:ascii="Verdana" w:hAnsi="Verdana"/>
          <w:b/>
          <w:sz w:val="20"/>
        </w:rPr>
        <w:t>Consideration</w:t>
      </w:r>
      <w:r w:rsidRPr="00277C2D">
        <w:rPr>
          <w:rFonts w:ascii="Verdana" w:hAnsi="Verdana"/>
          <w:b/>
          <w:sz w:val="20"/>
        </w:rPr>
        <w:t>”</w:t>
      </w:r>
      <w:r>
        <w:rPr>
          <w:rFonts w:ascii="Verdana" w:hAnsi="Verdana"/>
          <w:sz w:val="20"/>
        </w:rPr>
        <w:t xml:space="preserve"> means the second payment for up to 25% of the Estimate</w:t>
      </w:r>
      <w:r w:rsidR="00283DBA">
        <w:rPr>
          <w:rFonts w:ascii="Verdana" w:hAnsi="Verdana"/>
          <w:sz w:val="20"/>
        </w:rPr>
        <w:t>d</w:t>
      </w:r>
      <w:r>
        <w:rPr>
          <w:rFonts w:ascii="Verdana" w:hAnsi="Verdana"/>
          <w:sz w:val="20"/>
        </w:rPr>
        <w:t xml:space="preserve"> Transfer Value in respect of the Qualifying Project, which will be payable on completion of the Ex Post valuation;</w:t>
      </w:r>
      <w:bookmarkEnd w:id="65"/>
    </w:p>
    <w:p w:rsidR="007B0B00" w:rsidRDefault="003B5FB7" w:rsidP="007B0B00">
      <w:pPr>
        <w:pStyle w:val="BodyText"/>
        <w:outlineLvl w:val="0"/>
        <w:rPr>
          <w:rFonts w:ascii="Verdana" w:hAnsi="Verdana"/>
          <w:sz w:val="20"/>
        </w:rPr>
      </w:pPr>
      <w:bookmarkStart w:id="66" w:name="_Toc249178473"/>
      <w:r w:rsidRPr="003B5FB7">
        <w:rPr>
          <w:rFonts w:ascii="Verdana" w:hAnsi="Verdana"/>
          <w:b/>
          <w:bCs/>
          <w:sz w:val="20"/>
        </w:rPr>
        <w:t xml:space="preserve">"Developer" </w:t>
      </w:r>
      <w:r w:rsidRPr="003B5FB7">
        <w:rPr>
          <w:rFonts w:ascii="Verdana" w:hAnsi="Verdana"/>
          <w:sz w:val="20"/>
        </w:rPr>
        <w:t xml:space="preserve">means the person falling within sub-sections </w:t>
      </w:r>
      <w:proofErr w:type="gramStart"/>
      <w:r w:rsidRPr="003B5FB7">
        <w:rPr>
          <w:rFonts w:ascii="Verdana" w:hAnsi="Verdana"/>
          <w:sz w:val="20"/>
        </w:rPr>
        <w:t>6D(</w:t>
      </w:r>
      <w:proofErr w:type="gramEnd"/>
      <w:r w:rsidRPr="003B5FB7">
        <w:rPr>
          <w:rFonts w:ascii="Verdana" w:hAnsi="Verdana"/>
          <w:sz w:val="20"/>
        </w:rPr>
        <w:t xml:space="preserve">2)(a) and (4) of the Electricity Act who </w:t>
      </w:r>
      <w:r w:rsidR="009C3A37">
        <w:rPr>
          <w:rFonts w:ascii="Verdana" w:hAnsi="Verdana"/>
          <w:sz w:val="20"/>
        </w:rPr>
        <w:t>has developed or is developing an o</w:t>
      </w:r>
      <w:r w:rsidRPr="003B5FB7">
        <w:rPr>
          <w:rFonts w:ascii="Verdana" w:hAnsi="Verdana"/>
          <w:sz w:val="20"/>
        </w:rPr>
        <w:t>ffshore generating station which has triggered the commencement of this Tender Process;</w:t>
      </w:r>
      <w:bookmarkEnd w:id="66"/>
    </w:p>
    <w:p w:rsidR="00421348" w:rsidRPr="00D737B1" w:rsidRDefault="002F330E" w:rsidP="007B0B00">
      <w:pPr>
        <w:pStyle w:val="BodyText"/>
        <w:outlineLvl w:val="0"/>
        <w:rPr>
          <w:rFonts w:ascii="Verdana" w:hAnsi="Verdana"/>
          <w:sz w:val="20"/>
        </w:rPr>
      </w:pPr>
      <w:bookmarkStart w:id="67" w:name="_Toc249178474"/>
      <w:r w:rsidRPr="00421348" w:rsidDel="002F330E">
        <w:rPr>
          <w:rFonts w:ascii="Verdana" w:hAnsi="Verdana"/>
          <w:b/>
          <w:sz w:val="20"/>
        </w:rPr>
        <w:t xml:space="preserve"> </w:t>
      </w:r>
      <w:bookmarkStart w:id="68" w:name="_Toc249178475"/>
      <w:bookmarkEnd w:id="67"/>
      <w:r w:rsidR="00421348" w:rsidRPr="00421348">
        <w:rPr>
          <w:rFonts w:ascii="Verdana" w:hAnsi="Verdana"/>
          <w:b/>
          <w:sz w:val="20"/>
        </w:rPr>
        <w:t>“Developer”</w:t>
      </w:r>
      <w:r w:rsidR="00421348">
        <w:rPr>
          <w:rFonts w:ascii="Verdana" w:hAnsi="Verdana"/>
          <w:sz w:val="20"/>
        </w:rPr>
        <w:t xml:space="preserve"> means the person falling within sub-sections 6D(2)(a) and (4) of the Electricity Act which has developed or is developing an offshore generation station which has requested that Ofgem commences a Tender Process in respect of a Qualifying Project;</w:t>
      </w:r>
      <w:bookmarkEnd w:id="68"/>
    </w:p>
    <w:p w:rsidR="0076561E" w:rsidRPr="0076561E" w:rsidRDefault="0076561E" w:rsidP="007B0B00">
      <w:pPr>
        <w:pStyle w:val="BodyText"/>
        <w:outlineLvl w:val="0"/>
        <w:rPr>
          <w:rFonts w:ascii="Verdana" w:hAnsi="Verdana"/>
          <w:bCs/>
          <w:sz w:val="20"/>
        </w:rPr>
      </w:pPr>
      <w:bookmarkStart w:id="69" w:name="_Toc249178476"/>
      <w:r>
        <w:rPr>
          <w:rFonts w:ascii="Verdana" w:hAnsi="Verdana"/>
          <w:b/>
          <w:bCs/>
          <w:sz w:val="20"/>
        </w:rPr>
        <w:t>“Draft Project SPA”</w:t>
      </w:r>
      <w:r>
        <w:rPr>
          <w:rFonts w:ascii="Verdana" w:hAnsi="Verdana"/>
          <w:bCs/>
          <w:sz w:val="20"/>
        </w:rPr>
        <w:t xml:space="preserve"> means the draft of the project specific Sale and Purchase Agreement prepared by the Developer and provided in the Data Room at the commencement of the ITT Stage;</w:t>
      </w:r>
      <w:bookmarkEnd w:id="69"/>
    </w:p>
    <w:p w:rsidR="007B0B00" w:rsidRDefault="003B5FB7" w:rsidP="007B0B00">
      <w:pPr>
        <w:pStyle w:val="BodyText"/>
        <w:outlineLvl w:val="0"/>
        <w:rPr>
          <w:rFonts w:ascii="Verdana" w:hAnsi="Verdana"/>
          <w:sz w:val="20"/>
        </w:rPr>
      </w:pPr>
      <w:bookmarkStart w:id="70" w:name="_Toc249178477"/>
      <w:r w:rsidRPr="003B5FB7">
        <w:rPr>
          <w:rFonts w:ascii="Verdana" w:hAnsi="Verdana"/>
          <w:b/>
          <w:bCs/>
          <w:sz w:val="20"/>
        </w:rPr>
        <w:t>"Electricity Act"</w:t>
      </w:r>
      <w:r w:rsidRPr="003B5FB7">
        <w:rPr>
          <w:rFonts w:ascii="Verdana" w:hAnsi="Verdana"/>
          <w:sz w:val="20"/>
        </w:rPr>
        <w:t xml:space="preserve"> means the Electricity Act 198</w:t>
      </w:r>
      <w:r w:rsidR="00A46743">
        <w:rPr>
          <w:rFonts w:ascii="Verdana" w:hAnsi="Verdana"/>
          <w:sz w:val="20"/>
        </w:rPr>
        <w:t>9, as amended from time to time.</w:t>
      </w:r>
      <w:bookmarkEnd w:id="70"/>
    </w:p>
    <w:p w:rsidR="00F702BE" w:rsidRDefault="00F702BE" w:rsidP="007B0B00">
      <w:pPr>
        <w:pStyle w:val="BodyText"/>
        <w:outlineLvl w:val="0"/>
        <w:rPr>
          <w:rFonts w:ascii="Verdana" w:hAnsi="Verdana"/>
          <w:sz w:val="20"/>
        </w:rPr>
      </w:pPr>
      <w:bookmarkStart w:id="71" w:name="_Toc249178478"/>
      <w:r>
        <w:rPr>
          <w:rFonts w:ascii="Verdana" w:hAnsi="Verdana"/>
          <w:b/>
          <w:sz w:val="20"/>
        </w:rPr>
        <w:t>“Electricity Directive”</w:t>
      </w:r>
      <w:r>
        <w:rPr>
          <w:rFonts w:ascii="Verdana" w:hAnsi="Verdana"/>
          <w:sz w:val="20"/>
        </w:rPr>
        <w:t xml:space="preserve"> means </w:t>
      </w:r>
      <w:r w:rsidRPr="001A52FC">
        <w:rPr>
          <w:rFonts w:ascii="Verdana" w:hAnsi="Verdana"/>
          <w:sz w:val="20"/>
        </w:rPr>
        <w:t>Directive 2009/72/EC of the European Parliament and of the Council of 13 July 2009</w:t>
      </w:r>
      <w:r>
        <w:rPr>
          <w:rFonts w:ascii="Verdana" w:hAnsi="Verdana"/>
          <w:sz w:val="20"/>
        </w:rPr>
        <w:t>.</w:t>
      </w:r>
      <w:bookmarkEnd w:id="71"/>
    </w:p>
    <w:p w:rsidR="00277C2D" w:rsidRDefault="00277C2D" w:rsidP="007B0B00">
      <w:pPr>
        <w:pStyle w:val="BodyText"/>
        <w:outlineLvl w:val="0"/>
        <w:rPr>
          <w:rFonts w:ascii="Verdana" w:hAnsi="Verdana"/>
          <w:b/>
          <w:sz w:val="20"/>
        </w:rPr>
      </w:pPr>
      <w:bookmarkStart w:id="72" w:name="_Toc249178479"/>
      <w:r w:rsidRPr="00277C2D">
        <w:rPr>
          <w:rFonts w:ascii="Verdana" w:hAnsi="Verdana"/>
          <w:b/>
          <w:sz w:val="20"/>
        </w:rPr>
        <w:t>“Equity Finance”</w:t>
      </w:r>
      <w:r>
        <w:rPr>
          <w:rFonts w:ascii="Verdana" w:hAnsi="Verdana"/>
          <w:sz w:val="20"/>
        </w:rPr>
        <w:t xml:space="preserve"> means any direct equity and mezzanine finance;</w:t>
      </w:r>
      <w:bookmarkEnd w:id="72"/>
    </w:p>
    <w:p w:rsidR="00082A6B" w:rsidRDefault="00082A6B" w:rsidP="007B0B00">
      <w:pPr>
        <w:pStyle w:val="BodyText"/>
        <w:outlineLvl w:val="0"/>
        <w:rPr>
          <w:rFonts w:ascii="Verdana" w:hAnsi="Verdana"/>
          <w:b/>
          <w:bCs/>
          <w:sz w:val="20"/>
        </w:rPr>
      </w:pPr>
      <w:bookmarkStart w:id="73" w:name="_Toc249178480"/>
      <w:r>
        <w:rPr>
          <w:rFonts w:ascii="Verdana" w:hAnsi="Verdana"/>
          <w:b/>
          <w:bCs/>
          <w:sz w:val="20"/>
        </w:rPr>
        <w:t xml:space="preserve">“Estimated Transfer Value” </w:t>
      </w:r>
      <w:r w:rsidRPr="00082A6B">
        <w:rPr>
          <w:rFonts w:ascii="Verdana" w:hAnsi="Verdana"/>
          <w:bCs/>
          <w:sz w:val="20"/>
        </w:rPr>
        <w:t xml:space="preserve">means </w:t>
      </w:r>
      <w:proofErr w:type="spellStart"/>
      <w:r w:rsidRPr="00082A6B">
        <w:rPr>
          <w:rFonts w:ascii="Verdana" w:hAnsi="Verdana"/>
          <w:bCs/>
          <w:sz w:val="20"/>
        </w:rPr>
        <w:t>Ofgem’s</w:t>
      </w:r>
      <w:proofErr w:type="spellEnd"/>
      <w:r w:rsidRPr="00082A6B">
        <w:rPr>
          <w:rFonts w:ascii="Verdana" w:hAnsi="Verdana"/>
          <w:bCs/>
          <w:sz w:val="20"/>
        </w:rPr>
        <w:t xml:space="preserve"> </w:t>
      </w:r>
      <w:r>
        <w:rPr>
          <w:rFonts w:ascii="Verdana" w:hAnsi="Verdana"/>
          <w:bCs/>
          <w:sz w:val="20"/>
        </w:rPr>
        <w:t>estimate</w:t>
      </w:r>
      <w:r w:rsidRPr="00082A6B">
        <w:rPr>
          <w:rFonts w:ascii="Verdana" w:hAnsi="Verdana"/>
          <w:bCs/>
          <w:sz w:val="20"/>
        </w:rPr>
        <w:t xml:space="preserve"> of the efficient and economic costs which ought to have been incurred in connection with the Development and construction of the transmission assets for each Qualifying Project;</w:t>
      </w:r>
      <w:bookmarkEnd w:id="73"/>
      <w:r>
        <w:rPr>
          <w:rFonts w:ascii="Verdana" w:hAnsi="Verdana"/>
          <w:b/>
          <w:bCs/>
          <w:sz w:val="20"/>
        </w:rPr>
        <w:t xml:space="preserve"> </w:t>
      </w:r>
    </w:p>
    <w:p w:rsidR="0076561E" w:rsidRDefault="0076561E" w:rsidP="007B0B00">
      <w:pPr>
        <w:pStyle w:val="BodyText"/>
        <w:outlineLvl w:val="0"/>
        <w:rPr>
          <w:rFonts w:ascii="Verdana" w:hAnsi="Verdana"/>
          <w:bCs/>
          <w:sz w:val="20"/>
        </w:rPr>
      </w:pPr>
      <w:bookmarkStart w:id="74" w:name="_Toc249178481"/>
      <w:r>
        <w:rPr>
          <w:rFonts w:ascii="Verdana" w:hAnsi="Verdana"/>
          <w:b/>
          <w:bCs/>
          <w:sz w:val="20"/>
        </w:rPr>
        <w:t>“Final Project SPA”</w:t>
      </w:r>
      <w:r>
        <w:rPr>
          <w:rFonts w:ascii="Verdana" w:hAnsi="Verdana"/>
          <w:bCs/>
          <w:sz w:val="20"/>
        </w:rPr>
        <w:t xml:space="preserve"> means the revised draft of the project specific Sale and Purchase Agreement prepared by the Developer and provided in the Data Room during the ITT Stage;</w:t>
      </w:r>
      <w:bookmarkEnd w:id="74"/>
    </w:p>
    <w:p w:rsidR="00082A6B" w:rsidRDefault="00082A6B" w:rsidP="007B0B00">
      <w:pPr>
        <w:pStyle w:val="BodyText"/>
        <w:outlineLvl w:val="0"/>
        <w:rPr>
          <w:rFonts w:ascii="Verdana" w:hAnsi="Verdana"/>
          <w:b/>
          <w:bCs/>
          <w:sz w:val="20"/>
        </w:rPr>
      </w:pPr>
      <w:bookmarkStart w:id="75" w:name="_Toc249178482"/>
      <w:r w:rsidRPr="00421348">
        <w:rPr>
          <w:rFonts w:ascii="Verdana" w:hAnsi="Verdana"/>
          <w:b/>
          <w:bCs/>
          <w:sz w:val="20"/>
        </w:rPr>
        <w:t>“Final Transfer Value”</w:t>
      </w:r>
      <w:r>
        <w:rPr>
          <w:rFonts w:ascii="Verdana" w:hAnsi="Verdana"/>
          <w:bCs/>
          <w:sz w:val="20"/>
        </w:rPr>
        <w:t xml:space="preserve"> means </w:t>
      </w:r>
      <w:proofErr w:type="spellStart"/>
      <w:r w:rsidR="00421348" w:rsidRPr="00082A6B">
        <w:rPr>
          <w:rFonts w:ascii="Verdana" w:hAnsi="Verdana"/>
          <w:bCs/>
          <w:sz w:val="20"/>
        </w:rPr>
        <w:t>Ofgem’s</w:t>
      </w:r>
      <w:proofErr w:type="spellEnd"/>
      <w:r w:rsidR="00421348" w:rsidRPr="00082A6B">
        <w:rPr>
          <w:rFonts w:ascii="Verdana" w:hAnsi="Verdana"/>
          <w:bCs/>
          <w:sz w:val="20"/>
        </w:rPr>
        <w:t xml:space="preserve"> </w:t>
      </w:r>
      <w:r w:rsidR="00421348">
        <w:rPr>
          <w:rFonts w:ascii="Verdana" w:hAnsi="Verdana"/>
          <w:bCs/>
          <w:sz w:val="20"/>
        </w:rPr>
        <w:t>assessment</w:t>
      </w:r>
      <w:r w:rsidR="00421348" w:rsidRPr="00082A6B">
        <w:rPr>
          <w:rFonts w:ascii="Verdana" w:hAnsi="Verdana"/>
          <w:bCs/>
          <w:sz w:val="20"/>
        </w:rPr>
        <w:t xml:space="preserve"> of the efficient and economic costs which ought to have been incurred in connection with the Development and construction of the transmission assets for each Qualifying Project;</w:t>
      </w:r>
      <w:bookmarkEnd w:id="75"/>
    </w:p>
    <w:p w:rsidR="00852DEE" w:rsidRPr="00D737B1" w:rsidRDefault="00852DEE" w:rsidP="007B0B00">
      <w:pPr>
        <w:pStyle w:val="BodyText"/>
        <w:outlineLvl w:val="0"/>
        <w:rPr>
          <w:rFonts w:ascii="Verdana" w:hAnsi="Verdana"/>
          <w:sz w:val="20"/>
        </w:rPr>
      </w:pPr>
      <w:bookmarkStart w:id="76" w:name="_Toc249178483"/>
      <w:r w:rsidRPr="00036F16">
        <w:rPr>
          <w:rFonts w:ascii="Verdana" w:hAnsi="Verdana"/>
          <w:b/>
          <w:sz w:val="20"/>
        </w:rPr>
        <w:lastRenderedPageBreak/>
        <w:t>“Interface Agreement”</w:t>
      </w:r>
      <w:r w:rsidRPr="00036F16">
        <w:rPr>
          <w:rFonts w:ascii="Verdana" w:hAnsi="Verdana"/>
          <w:sz w:val="20"/>
        </w:rPr>
        <w:t xml:space="preserve"> means </w:t>
      </w:r>
      <w:r w:rsidR="00402BA6" w:rsidRPr="00036F16">
        <w:rPr>
          <w:rFonts w:ascii="Verdana" w:hAnsi="Verdana"/>
          <w:sz w:val="20"/>
        </w:rPr>
        <w:t>the interface agreement to be entered into between the Developer and OFTO under the requirements of the Connection and Use of System Code</w:t>
      </w:r>
      <w:bookmarkEnd w:id="76"/>
      <w:r w:rsidRPr="00036F16">
        <w:rPr>
          <w:rFonts w:ascii="Verdana" w:hAnsi="Verdana"/>
          <w:sz w:val="20"/>
        </w:rPr>
        <w:t xml:space="preserve"> </w:t>
      </w:r>
    </w:p>
    <w:p w:rsidR="007B0B00" w:rsidRPr="00D737B1" w:rsidRDefault="003B5FB7" w:rsidP="007B0B00">
      <w:pPr>
        <w:pStyle w:val="BodyText"/>
        <w:rPr>
          <w:rFonts w:ascii="Verdana" w:hAnsi="Verdana"/>
          <w:sz w:val="20"/>
        </w:rPr>
      </w:pPr>
      <w:r w:rsidRPr="003B5FB7">
        <w:rPr>
          <w:rFonts w:ascii="Verdana" w:hAnsi="Verdana"/>
          <w:b/>
          <w:bCs/>
          <w:sz w:val="20"/>
        </w:rPr>
        <w:t>"ITT Document"</w:t>
      </w:r>
      <w:r w:rsidRPr="003B5FB7">
        <w:rPr>
          <w:rFonts w:ascii="Verdana" w:hAnsi="Verdana"/>
          <w:sz w:val="20"/>
        </w:rPr>
        <w:t xml:space="preserve"> means this document, including all appendices, </w:t>
      </w:r>
      <w:proofErr w:type="spellStart"/>
      <w:r w:rsidRPr="003B5FB7">
        <w:rPr>
          <w:rFonts w:ascii="Verdana" w:hAnsi="Verdana"/>
          <w:sz w:val="20"/>
        </w:rPr>
        <w:t>annexures</w:t>
      </w:r>
      <w:proofErr w:type="spellEnd"/>
      <w:r w:rsidRPr="003B5FB7">
        <w:rPr>
          <w:rFonts w:ascii="Verdana" w:hAnsi="Verdana"/>
          <w:sz w:val="20"/>
        </w:rPr>
        <w:t>, schedules and</w:t>
      </w:r>
      <w:r w:rsidR="00C13D9A">
        <w:rPr>
          <w:rFonts w:ascii="Verdana" w:hAnsi="Verdana"/>
          <w:sz w:val="20"/>
        </w:rPr>
        <w:t xml:space="preserve"> other documents related hereto.</w:t>
      </w:r>
    </w:p>
    <w:p w:rsidR="007B0B00" w:rsidRDefault="003B5FB7" w:rsidP="007B0B00">
      <w:pPr>
        <w:pStyle w:val="BodyText"/>
        <w:outlineLvl w:val="0"/>
        <w:rPr>
          <w:rFonts w:ascii="Verdana" w:hAnsi="Verdana"/>
          <w:sz w:val="20"/>
        </w:rPr>
      </w:pPr>
      <w:bookmarkStart w:id="77" w:name="_Toc249178484"/>
      <w:r w:rsidRPr="003B5FB7">
        <w:rPr>
          <w:rFonts w:ascii="Verdana" w:hAnsi="Verdana"/>
          <w:b/>
          <w:bCs/>
          <w:sz w:val="20"/>
        </w:rPr>
        <w:t>"ITT Stage"</w:t>
      </w:r>
      <w:r w:rsidRPr="003B5FB7">
        <w:rPr>
          <w:rFonts w:ascii="Verdana" w:hAnsi="Verdana"/>
          <w:sz w:val="20"/>
        </w:rPr>
        <w:t xml:space="preserve"> means the stag</w:t>
      </w:r>
      <w:r w:rsidR="00C13D9A">
        <w:rPr>
          <w:rFonts w:ascii="Verdana" w:hAnsi="Verdana"/>
          <w:sz w:val="20"/>
        </w:rPr>
        <w:t>e at which the ITT Document</w:t>
      </w:r>
      <w:r w:rsidRPr="003B5FB7">
        <w:rPr>
          <w:rFonts w:ascii="Verdana" w:hAnsi="Verdana"/>
          <w:sz w:val="20"/>
        </w:rPr>
        <w:t xml:space="preserve"> is distributed to </w:t>
      </w:r>
      <w:r w:rsidR="00C13D9A">
        <w:rPr>
          <w:rFonts w:ascii="Verdana" w:hAnsi="Verdana"/>
          <w:sz w:val="20"/>
        </w:rPr>
        <w:t xml:space="preserve">Qualifying </w:t>
      </w:r>
      <w:r w:rsidRPr="003B5FB7">
        <w:rPr>
          <w:rFonts w:ascii="Verdana" w:hAnsi="Verdana"/>
          <w:sz w:val="20"/>
        </w:rPr>
        <w:t xml:space="preserve">Bidders by Ofgem, and </w:t>
      </w:r>
      <w:r w:rsidR="00C13D9A">
        <w:rPr>
          <w:rFonts w:ascii="Verdana" w:hAnsi="Verdana"/>
          <w:sz w:val="20"/>
        </w:rPr>
        <w:t xml:space="preserve">ITT Submissions </w:t>
      </w:r>
      <w:r w:rsidRPr="003B5FB7">
        <w:rPr>
          <w:rFonts w:ascii="Verdana" w:hAnsi="Verdana"/>
          <w:sz w:val="20"/>
        </w:rPr>
        <w:t>are prepared, submitted and evaluated;</w:t>
      </w:r>
      <w:bookmarkEnd w:id="77"/>
    </w:p>
    <w:p w:rsidR="009C3A37" w:rsidRPr="009C3A37" w:rsidRDefault="009C3A37" w:rsidP="007B0B00">
      <w:pPr>
        <w:pStyle w:val="BodyText"/>
        <w:outlineLvl w:val="0"/>
        <w:rPr>
          <w:rFonts w:ascii="Verdana" w:hAnsi="Verdana"/>
          <w:sz w:val="20"/>
        </w:rPr>
      </w:pPr>
      <w:bookmarkStart w:id="78" w:name="_Toc249178485"/>
      <w:r>
        <w:rPr>
          <w:rFonts w:ascii="Verdana" w:hAnsi="Verdana"/>
          <w:b/>
          <w:sz w:val="20"/>
        </w:rPr>
        <w:t xml:space="preserve">“ITT Submission” </w:t>
      </w:r>
      <w:r>
        <w:rPr>
          <w:rFonts w:ascii="Verdana" w:hAnsi="Verdana"/>
          <w:sz w:val="20"/>
        </w:rPr>
        <w:t xml:space="preserve">means </w:t>
      </w:r>
      <w:r w:rsidR="00421348">
        <w:rPr>
          <w:rFonts w:ascii="Verdana" w:hAnsi="Verdana"/>
          <w:sz w:val="20"/>
        </w:rPr>
        <w:t>the response submitted by a Qualifying Bidder in response to this ITT Document;</w:t>
      </w:r>
      <w:bookmarkEnd w:id="78"/>
    </w:p>
    <w:p w:rsidR="007B0B00" w:rsidRPr="00D737B1" w:rsidRDefault="003B5FB7" w:rsidP="007B0B00">
      <w:pPr>
        <w:pStyle w:val="BodyText"/>
        <w:outlineLvl w:val="0"/>
        <w:rPr>
          <w:rFonts w:ascii="Verdana" w:hAnsi="Verdana"/>
          <w:b/>
          <w:bCs/>
          <w:sz w:val="20"/>
        </w:rPr>
      </w:pPr>
      <w:bookmarkStart w:id="79" w:name="_Toc249178486"/>
      <w:r w:rsidRPr="003B5FB7">
        <w:rPr>
          <w:rFonts w:ascii="Verdana" w:hAnsi="Verdana"/>
          <w:b/>
          <w:bCs/>
          <w:sz w:val="20"/>
        </w:rPr>
        <w:t xml:space="preserve">"Licence </w:t>
      </w:r>
      <w:r w:rsidR="00C13D9A">
        <w:rPr>
          <w:rFonts w:ascii="Verdana" w:hAnsi="Verdana"/>
          <w:b/>
          <w:bCs/>
          <w:sz w:val="20"/>
        </w:rPr>
        <w:t>Grant</w:t>
      </w:r>
      <w:r w:rsidRPr="003B5FB7">
        <w:rPr>
          <w:rFonts w:ascii="Verdana" w:hAnsi="Verdana"/>
          <w:b/>
          <w:bCs/>
          <w:sz w:val="20"/>
        </w:rPr>
        <w:t xml:space="preserve">" </w:t>
      </w:r>
      <w:r w:rsidRPr="003B5FB7">
        <w:rPr>
          <w:rFonts w:ascii="Verdana" w:hAnsi="Verdana"/>
          <w:sz w:val="20"/>
        </w:rPr>
        <w:t>means the grant of the Offshore Transm</w:t>
      </w:r>
      <w:r w:rsidR="00C13D9A">
        <w:rPr>
          <w:rFonts w:ascii="Verdana" w:hAnsi="Verdana"/>
          <w:sz w:val="20"/>
        </w:rPr>
        <w:t>ission Licence by Ofgem to the S</w:t>
      </w:r>
      <w:r w:rsidRPr="003B5FB7">
        <w:rPr>
          <w:rFonts w:ascii="Verdana" w:hAnsi="Verdana"/>
          <w:sz w:val="20"/>
        </w:rPr>
        <w:t xml:space="preserve">uccessful Bidder, pursuant to </w:t>
      </w:r>
      <w:r w:rsidR="00C13D9A">
        <w:rPr>
          <w:rFonts w:ascii="Verdana" w:hAnsi="Verdana"/>
          <w:sz w:val="20"/>
        </w:rPr>
        <w:t>section 6C of the Electricity Act.</w:t>
      </w:r>
      <w:bookmarkEnd w:id="79"/>
    </w:p>
    <w:p w:rsidR="0076561E" w:rsidRPr="0076561E" w:rsidRDefault="0076561E" w:rsidP="00A46743">
      <w:pPr>
        <w:pStyle w:val="BodyText"/>
        <w:rPr>
          <w:rFonts w:ascii="Verdana" w:hAnsi="Verdana"/>
          <w:bCs/>
          <w:sz w:val="20"/>
        </w:rPr>
      </w:pPr>
      <w:r>
        <w:rPr>
          <w:rFonts w:ascii="Verdana" w:hAnsi="Verdana"/>
          <w:b/>
          <w:bCs/>
          <w:sz w:val="20"/>
        </w:rPr>
        <w:t>“Model SPA”</w:t>
      </w:r>
      <w:r>
        <w:rPr>
          <w:rFonts w:ascii="Verdana" w:hAnsi="Verdana"/>
          <w:bCs/>
          <w:sz w:val="20"/>
        </w:rPr>
        <w:t xml:space="preserve"> means the model Sale and Purchase Agreement published by Ofgem on 22 July 2009. </w:t>
      </w:r>
    </w:p>
    <w:p w:rsidR="00A46743" w:rsidRPr="00D737B1" w:rsidRDefault="00A46743" w:rsidP="00A46743">
      <w:pPr>
        <w:pStyle w:val="BodyText"/>
        <w:rPr>
          <w:rFonts w:ascii="Verdana" w:hAnsi="Verdana"/>
          <w:sz w:val="20"/>
        </w:rPr>
      </w:pPr>
      <w:r w:rsidRPr="003B5FB7">
        <w:rPr>
          <w:rFonts w:ascii="Verdana" w:hAnsi="Verdana"/>
          <w:b/>
          <w:bCs/>
          <w:sz w:val="20"/>
        </w:rPr>
        <w:t>"</w:t>
      </w:r>
      <w:r>
        <w:rPr>
          <w:rFonts w:ascii="Verdana" w:hAnsi="Verdana"/>
          <w:b/>
          <w:bCs/>
          <w:sz w:val="20"/>
        </w:rPr>
        <w:t xml:space="preserve">National Electricity </w:t>
      </w:r>
      <w:r w:rsidRPr="003B5FB7">
        <w:rPr>
          <w:rFonts w:ascii="Verdana" w:hAnsi="Verdana"/>
          <w:b/>
          <w:bCs/>
          <w:sz w:val="20"/>
        </w:rPr>
        <w:t>Transmission System"</w:t>
      </w:r>
      <w:r w:rsidRPr="003B5FB7">
        <w:rPr>
          <w:rFonts w:ascii="Verdana" w:hAnsi="Verdana"/>
          <w:sz w:val="20"/>
        </w:rPr>
        <w:t xml:space="preserve"> means the system consisting (wholly or mainly) of high voltage electric lines owned or operated by Transmission Licensees and used for the transmission of electricity from one generating station to a sub-station or to another generating station or between sub-stations or to or from any inter-connector and includes any electrical plant or meters owned or operated by any Transmission Licensee in connection with the transmission of electricity;</w:t>
      </w:r>
    </w:p>
    <w:p w:rsidR="00A46743" w:rsidRPr="00D737B1" w:rsidRDefault="00A46743" w:rsidP="00A46743">
      <w:pPr>
        <w:pStyle w:val="BodyText"/>
        <w:outlineLvl w:val="0"/>
        <w:rPr>
          <w:rFonts w:ascii="Verdana" w:hAnsi="Verdana"/>
          <w:b/>
          <w:bCs/>
          <w:sz w:val="20"/>
        </w:rPr>
      </w:pPr>
      <w:bookmarkStart w:id="80" w:name="_Toc249178487"/>
      <w:r w:rsidRPr="003B5FB7">
        <w:rPr>
          <w:rFonts w:ascii="Verdana" w:hAnsi="Verdana"/>
          <w:b/>
          <w:bCs/>
          <w:sz w:val="20"/>
        </w:rPr>
        <w:t>"</w:t>
      </w:r>
      <w:r>
        <w:rPr>
          <w:rFonts w:ascii="Verdana" w:hAnsi="Verdana"/>
          <w:b/>
          <w:bCs/>
          <w:sz w:val="20"/>
        </w:rPr>
        <w:t xml:space="preserve">National Electricity Transmission </w:t>
      </w:r>
      <w:r w:rsidRPr="003B5FB7">
        <w:rPr>
          <w:rFonts w:ascii="Verdana" w:hAnsi="Verdana"/>
          <w:b/>
          <w:bCs/>
          <w:sz w:val="20"/>
        </w:rPr>
        <w:t>System Operator"</w:t>
      </w:r>
      <w:r w:rsidRPr="003B5FB7">
        <w:rPr>
          <w:rFonts w:ascii="Verdana" w:eastAsia="SimSun" w:hAnsi="Verdana" w:cs="Arial"/>
          <w:sz w:val="20"/>
          <w:lang w:eastAsia="zh-CN" w:bidi="th-TH"/>
        </w:rPr>
        <w:t xml:space="preserve"> </w:t>
      </w:r>
      <w:r>
        <w:rPr>
          <w:rFonts w:ascii="Verdana" w:eastAsia="SimSun" w:hAnsi="Verdana" w:cs="Arial"/>
          <w:sz w:val="20"/>
          <w:lang w:eastAsia="zh-CN" w:bidi="th-TH"/>
        </w:rPr>
        <w:t xml:space="preserve">or </w:t>
      </w:r>
      <w:r w:rsidRPr="003B5FB7">
        <w:rPr>
          <w:rFonts w:ascii="Verdana" w:hAnsi="Verdana"/>
          <w:b/>
          <w:bCs/>
          <w:sz w:val="20"/>
        </w:rPr>
        <w:t>"</w:t>
      </w:r>
      <w:r>
        <w:rPr>
          <w:rFonts w:ascii="Verdana" w:hAnsi="Verdana"/>
          <w:b/>
          <w:bCs/>
          <w:sz w:val="20"/>
        </w:rPr>
        <w:t>NETSO</w:t>
      </w:r>
      <w:r w:rsidRPr="003B5FB7">
        <w:rPr>
          <w:rFonts w:ascii="Verdana" w:hAnsi="Verdana"/>
          <w:b/>
          <w:bCs/>
          <w:sz w:val="20"/>
        </w:rPr>
        <w:t xml:space="preserve">" </w:t>
      </w:r>
      <w:r w:rsidRPr="003B5FB7">
        <w:rPr>
          <w:rFonts w:ascii="Verdana" w:eastAsia="SimSun" w:hAnsi="Verdana" w:cs="Arial"/>
          <w:sz w:val="20"/>
          <w:lang w:eastAsia="zh-CN" w:bidi="th-TH"/>
        </w:rPr>
        <w:t>means National Grid Electricity Transmission plc</w:t>
      </w:r>
      <w:r>
        <w:rPr>
          <w:rFonts w:ascii="Verdana" w:eastAsia="SimSun" w:hAnsi="Verdana" w:cs="Arial"/>
          <w:sz w:val="20"/>
          <w:lang w:eastAsia="zh-CN" w:bidi="th-TH"/>
        </w:rPr>
        <w:t xml:space="preserve"> (or NGET)</w:t>
      </w:r>
      <w:r w:rsidRPr="003B5FB7">
        <w:rPr>
          <w:rFonts w:ascii="Verdana" w:eastAsia="SimSun" w:hAnsi="Verdana" w:cs="Arial"/>
          <w:sz w:val="20"/>
          <w:lang w:eastAsia="zh-CN" w:bidi="th-TH"/>
        </w:rPr>
        <w:t xml:space="preserve">, </w:t>
      </w:r>
      <w:r>
        <w:rPr>
          <w:rFonts w:ascii="Verdana" w:eastAsia="SimSun" w:hAnsi="Verdana" w:cs="Arial"/>
          <w:sz w:val="20"/>
          <w:lang w:eastAsia="zh-CN" w:bidi="th-TH"/>
        </w:rPr>
        <w:t>acting in its capacity as th</w:t>
      </w:r>
      <w:r w:rsidRPr="003B5FB7">
        <w:rPr>
          <w:rFonts w:ascii="Verdana" w:hAnsi="Verdana"/>
          <w:sz w:val="20"/>
        </w:rPr>
        <w:t xml:space="preserve">e system operator for the </w:t>
      </w:r>
      <w:r>
        <w:rPr>
          <w:rFonts w:ascii="Verdana" w:hAnsi="Verdana"/>
          <w:sz w:val="20"/>
        </w:rPr>
        <w:t xml:space="preserve">National Electricity </w:t>
      </w:r>
      <w:r w:rsidRPr="003B5FB7">
        <w:rPr>
          <w:rFonts w:ascii="Verdana" w:hAnsi="Verdana"/>
          <w:sz w:val="20"/>
        </w:rPr>
        <w:t>Transmission System pursuant to the terms of its Transmission Licence.</w:t>
      </w:r>
      <w:bookmarkEnd w:id="80"/>
    </w:p>
    <w:p w:rsidR="007B0B00" w:rsidRPr="00D737B1" w:rsidRDefault="003B5FB7" w:rsidP="007B0B00">
      <w:pPr>
        <w:pStyle w:val="BodyText"/>
        <w:rPr>
          <w:rFonts w:ascii="Verdana" w:hAnsi="Verdana"/>
          <w:sz w:val="20"/>
        </w:rPr>
      </w:pPr>
      <w:r w:rsidRPr="003B5FB7">
        <w:rPr>
          <w:rFonts w:ascii="Verdana" w:hAnsi="Verdana"/>
          <w:b/>
          <w:bCs/>
          <w:sz w:val="20"/>
        </w:rPr>
        <w:t>"NGET"</w:t>
      </w:r>
      <w:r w:rsidRPr="003B5FB7">
        <w:rPr>
          <w:rFonts w:ascii="Verdana" w:hAnsi="Verdana"/>
          <w:sz w:val="20"/>
        </w:rPr>
        <w:t xml:space="preserve"> means National Grid Electricity Transmission plc (registered number 2366977) whose registered office is situated at 1-3 Strand, London, WC2 5EH;</w:t>
      </w:r>
    </w:p>
    <w:p w:rsidR="007B0B00" w:rsidRPr="00D737B1" w:rsidRDefault="003B5FB7" w:rsidP="007B0B00">
      <w:pPr>
        <w:pStyle w:val="BodyText"/>
        <w:rPr>
          <w:rFonts w:ascii="Verdana" w:hAnsi="Verdana"/>
          <w:sz w:val="20"/>
        </w:rPr>
      </w:pPr>
      <w:r w:rsidRPr="003B5FB7">
        <w:rPr>
          <w:rFonts w:ascii="Verdana" w:hAnsi="Verdana"/>
          <w:b/>
          <w:bCs/>
          <w:sz w:val="20"/>
        </w:rPr>
        <w:t xml:space="preserve">"Offshore </w:t>
      </w:r>
      <w:r w:rsidR="00C13D9A">
        <w:rPr>
          <w:rFonts w:ascii="Verdana" w:hAnsi="Verdana"/>
          <w:b/>
          <w:bCs/>
          <w:sz w:val="20"/>
        </w:rPr>
        <w:t xml:space="preserve">Electricity </w:t>
      </w:r>
      <w:r w:rsidRPr="003B5FB7">
        <w:rPr>
          <w:rFonts w:ascii="Verdana" w:hAnsi="Verdana"/>
          <w:b/>
          <w:bCs/>
          <w:sz w:val="20"/>
        </w:rPr>
        <w:t>Transmission Licence"</w:t>
      </w:r>
      <w:r w:rsidRPr="003B5FB7">
        <w:rPr>
          <w:rFonts w:ascii="Verdana" w:hAnsi="Verdana"/>
          <w:sz w:val="20"/>
        </w:rPr>
        <w:t xml:space="preserve"> means a licence granted</w:t>
      </w:r>
      <w:r w:rsidRPr="003B5FB7">
        <w:rPr>
          <w:rFonts w:ascii="Verdana" w:hAnsi="Verdana"/>
          <w:b/>
          <w:bCs/>
          <w:sz w:val="20"/>
        </w:rPr>
        <w:t xml:space="preserve"> </w:t>
      </w:r>
      <w:r w:rsidRPr="003B5FB7">
        <w:rPr>
          <w:rFonts w:ascii="Verdana" w:hAnsi="Verdana"/>
          <w:sz w:val="20"/>
        </w:rPr>
        <w:t>pursuant to section 6(1</w:t>
      </w:r>
      <w:proofErr w:type="gramStart"/>
      <w:r w:rsidRPr="003B5FB7">
        <w:rPr>
          <w:rFonts w:ascii="Verdana" w:hAnsi="Verdana"/>
          <w:sz w:val="20"/>
        </w:rPr>
        <w:t>)(</w:t>
      </w:r>
      <w:proofErr w:type="gramEnd"/>
      <w:r w:rsidRPr="003B5FB7">
        <w:rPr>
          <w:rFonts w:ascii="Verdana" w:hAnsi="Verdana"/>
          <w:sz w:val="20"/>
        </w:rPr>
        <w:t>b) of the Electricity Act in relation to the transmission of electricity offshore, where offshore means:</w:t>
      </w:r>
    </w:p>
    <w:p w:rsidR="00E00BE5" w:rsidRDefault="003B5FB7" w:rsidP="00794CF7">
      <w:pPr>
        <w:pStyle w:val="BodyText"/>
        <w:numPr>
          <w:ilvl w:val="0"/>
          <w:numId w:val="8"/>
        </w:numPr>
        <w:tabs>
          <w:tab w:val="clear" w:pos="1069"/>
          <w:tab w:val="clear" w:pos="1559"/>
          <w:tab w:val="left" w:pos="1134"/>
        </w:tabs>
        <w:ind w:left="1134" w:hanging="425"/>
        <w:rPr>
          <w:rFonts w:ascii="Verdana" w:hAnsi="Verdana"/>
          <w:sz w:val="20"/>
        </w:rPr>
      </w:pPr>
      <w:r w:rsidRPr="003B5FB7">
        <w:rPr>
          <w:rFonts w:ascii="Verdana" w:hAnsi="Verdana"/>
          <w:sz w:val="20"/>
        </w:rPr>
        <w:t>waters in or adjacent to Great Britain which are between the mean low water mark and the seaward limits of the territorial sea;</w:t>
      </w:r>
    </w:p>
    <w:p w:rsidR="00E00BE5" w:rsidRDefault="003B5FB7" w:rsidP="00794CF7">
      <w:pPr>
        <w:pStyle w:val="BodyText"/>
        <w:numPr>
          <w:ilvl w:val="0"/>
          <w:numId w:val="8"/>
        </w:numPr>
        <w:tabs>
          <w:tab w:val="clear" w:pos="1069"/>
          <w:tab w:val="clear" w:pos="1559"/>
          <w:tab w:val="left" w:pos="1134"/>
        </w:tabs>
        <w:ind w:left="1134" w:hanging="425"/>
        <w:rPr>
          <w:rFonts w:ascii="Verdana" w:hAnsi="Verdana"/>
          <w:sz w:val="20"/>
        </w:rPr>
      </w:pPr>
      <w:r w:rsidRPr="00E00BE5">
        <w:rPr>
          <w:rFonts w:ascii="Verdana" w:hAnsi="Verdana"/>
          <w:sz w:val="20"/>
        </w:rPr>
        <w:t>waters within an area designated under section 1(7) of the Continental Shelf Act 1964 and/or section 84(4) of the Energy Act 2004</w:t>
      </w:r>
      <w:r w:rsidR="00C13D9A" w:rsidRPr="00E00BE5">
        <w:rPr>
          <w:rFonts w:ascii="Verdana" w:hAnsi="Verdana"/>
          <w:sz w:val="20"/>
        </w:rPr>
        <w:t>; an</w:t>
      </w:r>
      <w:r w:rsidR="00E00BE5">
        <w:rPr>
          <w:rFonts w:ascii="Verdana" w:hAnsi="Verdana"/>
          <w:sz w:val="20"/>
        </w:rPr>
        <w:t xml:space="preserve">d </w:t>
      </w:r>
    </w:p>
    <w:p w:rsidR="00C13D9A" w:rsidRPr="00E00BE5" w:rsidRDefault="00C13D9A" w:rsidP="00794CF7">
      <w:pPr>
        <w:pStyle w:val="BodyText"/>
        <w:numPr>
          <w:ilvl w:val="0"/>
          <w:numId w:val="8"/>
        </w:numPr>
        <w:tabs>
          <w:tab w:val="clear" w:pos="1069"/>
          <w:tab w:val="clear" w:pos="1559"/>
          <w:tab w:val="left" w:pos="1134"/>
        </w:tabs>
        <w:ind w:left="1134" w:hanging="425"/>
        <w:rPr>
          <w:rFonts w:ascii="Verdana" w:hAnsi="Verdana"/>
          <w:sz w:val="20"/>
        </w:rPr>
      </w:pPr>
      <w:r w:rsidRPr="00E00BE5">
        <w:rPr>
          <w:rFonts w:ascii="Verdana" w:hAnsi="Verdana"/>
          <w:sz w:val="20"/>
        </w:rPr>
        <w:t>waters within an area designated under section 84(4) of the Energy Act 2004</w:t>
      </w:r>
    </w:p>
    <w:p w:rsidR="00C13D9A" w:rsidRDefault="003B5FB7" w:rsidP="007B0B00">
      <w:pPr>
        <w:pStyle w:val="BodyText"/>
        <w:ind w:left="1091"/>
        <w:rPr>
          <w:rFonts w:ascii="Verdana" w:hAnsi="Verdana"/>
          <w:sz w:val="20"/>
        </w:rPr>
      </w:pPr>
      <w:proofErr w:type="gramStart"/>
      <w:r w:rsidRPr="003B5FB7">
        <w:rPr>
          <w:rFonts w:ascii="Verdana" w:hAnsi="Verdana"/>
          <w:sz w:val="20"/>
        </w:rPr>
        <w:t>and</w:t>
      </w:r>
      <w:proofErr w:type="gramEnd"/>
      <w:r w:rsidRPr="003B5FB7">
        <w:rPr>
          <w:rFonts w:ascii="Verdana" w:hAnsi="Verdana"/>
          <w:sz w:val="20"/>
        </w:rPr>
        <w:t xml:space="preserve"> includes the Renewable Energy Zone</w:t>
      </w:r>
      <w:r w:rsidR="00E00BE5">
        <w:rPr>
          <w:rFonts w:ascii="Verdana" w:hAnsi="Verdana"/>
          <w:sz w:val="20"/>
        </w:rPr>
        <w:t>.</w:t>
      </w:r>
    </w:p>
    <w:p w:rsidR="007B0B00" w:rsidRPr="00D737B1" w:rsidRDefault="003B5FB7" w:rsidP="00C13D9A">
      <w:pPr>
        <w:pStyle w:val="BodyText"/>
        <w:rPr>
          <w:rFonts w:ascii="Verdana" w:hAnsi="Verdana"/>
          <w:sz w:val="20"/>
        </w:rPr>
      </w:pPr>
      <w:r w:rsidRPr="003B5FB7">
        <w:rPr>
          <w:rFonts w:ascii="Verdana" w:hAnsi="Verdana"/>
          <w:sz w:val="20"/>
        </w:rPr>
        <w:t>"</w:t>
      </w:r>
      <w:r w:rsidRPr="003B5FB7">
        <w:rPr>
          <w:rFonts w:ascii="Verdana" w:hAnsi="Verdana"/>
          <w:b/>
          <w:bCs/>
          <w:sz w:val="20"/>
        </w:rPr>
        <w:t xml:space="preserve">Offshore </w:t>
      </w:r>
      <w:r w:rsidR="00C13D9A">
        <w:rPr>
          <w:rFonts w:ascii="Verdana" w:hAnsi="Verdana"/>
          <w:b/>
          <w:bCs/>
          <w:sz w:val="20"/>
        </w:rPr>
        <w:t xml:space="preserve">Electricity </w:t>
      </w:r>
      <w:r w:rsidRPr="003B5FB7">
        <w:rPr>
          <w:rFonts w:ascii="Verdana" w:hAnsi="Verdana"/>
          <w:b/>
          <w:bCs/>
          <w:sz w:val="20"/>
        </w:rPr>
        <w:t>Transmission Licensee</w:t>
      </w:r>
      <w:r w:rsidRPr="003B5FB7">
        <w:rPr>
          <w:rFonts w:ascii="Verdana" w:hAnsi="Verdana"/>
          <w:sz w:val="20"/>
        </w:rPr>
        <w:t>" means the holder of an</w:t>
      </w:r>
      <w:r w:rsidR="00C13D9A">
        <w:rPr>
          <w:rFonts w:ascii="Verdana" w:hAnsi="Verdana"/>
          <w:sz w:val="20"/>
        </w:rPr>
        <w:t xml:space="preserve"> Offshore Transmission Licence.</w:t>
      </w:r>
    </w:p>
    <w:p w:rsidR="007B0B00" w:rsidRPr="00D737B1" w:rsidRDefault="003B5FB7" w:rsidP="007B0B00">
      <w:pPr>
        <w:pStyle w:val="BodyText"/>
        <w:rPr>
          <w:rFonts w:ascii="Verdana" w:hAnsi="Verdana"/>
          <w:sz w:val="20"/>
        </w:rPr>
      </w:pPr>
      <w:r w:rsidRPr="003B5FB7">
        <w:rPr>
          <w:rFonts w:ascii="Verdana" w:hAnsi="Verdana"/>
          <w:b/>
          <w:bCs/>
          <w:sz w:val="20"/>
        </w:rPr>
        <w:t>"Ofgem"</w:t>
      </w:r>
      <w:r w:rsidRPr="003B5FB7">
        <w:rPr>
          <w:rFonts w:ascii="Verdana" w:hAnsi="Verdana"/>
          <w:sz w:val="20"/>
        </w:rPr>
        <w:t xml:space="preserve"> means the Office of Gas and El</w:t>
      </w:r>
      <w:r w:rsidR="00C13D9A">
        <w:rPr>
          <w:rFonts w:ascii="Verdana" w:hAnsi="Verdana"/>
          <w:sz w:val="20"/>
        </w:rPr>
        <w:t>ectricity Markets.</w:t>
      </w:r>
    </w:p>
    <w:p w:rsidR="007B0B00" w:rsidRPr="00D737B1" w:rsidRDefault="003B5FB7" w:rsidP="007B0B00">
      <w:pPr>
        <w:pStyle w:val="BodyText"/>
        <w:outlineLvl w:val="0"/>
        <w:rPr>
          <w:rFonts w:ascii="Verdana" w:hAnsi="Verdana"/>
          <w:sz w:val="20"/>
        </w:rPr>
      </w:pPr>
      <w:bookmarkStart w:id="81" w:name="_Toc249178488"/>
      <w:r w:rsidRPr="003B5FB7">
        <w:rPr>
          <w:rFonts w:ascii="Verdana" w:hAnsi="Verdana"/>
          <w:b/>
          <w:bCs/>
          <w:sz w:val="20"/>
        </w:rPr>
        <w:t>"OFTO"</w:t>
      </w:r>
      <w:r w:rsidRPr="003B5FB7">
        <w:rPr>
          <w:rFonts w:ascii="Verdana" w:hAnsi="Verdana"/>
          <w:sz w:val="20"/>
        </w:rPr>
        <w:t xml:space="preserve"> means the </w:t>
      </w:r>
      <w:r w:rsidR="00C13D9A">
        <w:rPr>
          <w:rFonts w:ascii="Verdana" w:hAnsi="Verdana"/>
          <w:sz w:val="20"/>
        </w:rPr>
        <w:t>holder of an Offshore Electricity Transmission Licence.</w:t>
      </w:r>
      <w:bookmarkEnd w:id="81"/>
      <w:r w:rsidR="00C13D9A">
        <w:rPr>
          <w:rFonts w:ascii="Verdana" w:hAnsi="Verdana"/>
          <w:sz w:val="20"/>
        </w:rPr>
        <w:t xml:space="preserve"> </w:t>
      </w:r>
    </w:p>
    <w:p w:rsidR="00C13D9A" w:rsidRPr="00D737B1" w:rsidRDefault="00C13D9A" w:rsidP="00C13D9A">
      <w:pPr>
        <w:pStyle w:val="BodyText"/>
        <w:outlineLvl w:val="0"/>
        <w:rPr>
          <w:rFonts w:ascii="Verdana" w:hAnsi="Verdana"/>
          <w:sz w:val="20"/>
        </w:rPr>
      </w:pPr>
      <w:bookmarkStart w:id="82" w:name="_Toc249178489"/>
      <w:r w:rsidRPr="00C13D9A">
        <w:rPr>
          <w:rFonts w:ascii="Verdana" w:hAnsi="Verdana"/>
          <w:b/>
          <w:sz w:val="20"/>
        </w:rPr>
        <w:t>“Portal”</w:t>
      </w:r>
      <w:r>
        <w:rPr>
          <w:rFonts w:ascii="Verdana" w:hAnsi="Verdana"/>
          <w:sz w:val="20"/>
        </w:rPr>
        <w:t xml:space="preserve"> means the Offshore Transmission Electronic Tendering Portal described in section 4 of the Tender Rules.</w:t>
      </w:r>
      <w:bookmarkEnd w:id="82"/>
    </w:p>
    <w:p w:rsidR="007B0B00" w:rsidRDefault="003B5FB7" w:rsidP="007B0B00">
      <w:pPr>
        <w:pStyle w:val="BodyText"/>
        <w:outlineLvl w:val="0"/>
        <w:rPr>
          <w:rFonts w:ascii="Verdana" w:hAnsi="Verdana"/>
          <w:sz w:val="20"/>
        </w:rPr>
      </w:pPr>
      <w:bookmarkStart w:id="83" w:name="_Toc249178490"/>
      <w:r w:rsidRPr="003B5FB7">
        <w:rPr>
          <w:rFonts w:ascii="Verdana" w:hAnsi="Verdana"/>
          <w:b/>
          <w:bCs/>
          <w:sz w:val="20"/>
        </w:rPr>
        <w:t xml:space="preserve">"Preferred Bidder" </w:t>
      </w:r>
      <w:r w:rsidRPr="003B5FB7">
        <w:rPr>
          <w:rFonts w:ascii="Verdana" w:hAnsi="Verdana"/>
          <w:sz w:val="20"/>
        </w:rPr>
        <w:t>means</w:t>
      </w:r>
      <w:r w:rsidR="00C13D9A">
        <w:rPr>
          <w:rFonts w:ascii="Verdana" w:hAnsi="Verdana"/>
          <w:sz w:val="20"/>
        </w:rPr>
        <w:t>, in relation to the Qualifying Project, the Qualifying B</w:t>
      </w:r>
      <w:r w:rsidRPr="003B5FB7">
        <w:rPr>
          <w:rFonts w:ascii="Verdana" w:hAnsi="Verdana"/>
          <w:sz w:val="20"/>
        </w:rPr>
        <w:t>idder determined by</w:t>
      </w:r>
      <w:r w:rsidRPr="003B5FB7">
        <w:rPr>
          <w:rFonts w:ascii="Verdana" w:hAnsi="Verdana"/>
          <w:b/>
          <w:bCs/>
          <w:sz w:val="20"/>
        </w:rPr>
        <w:t xml:space="preserve"> </w:t>
      </w:r>
      <w:r w:rsidRPr="003B5FB7">
        <w:rPr>
          <w:rFonts w:ascii="Verdana" w:hAnsi="Verdana"/>
          <w:sz w:val="20"/>
        </w:rPr>
        <w:t xml:space="preserve">Ofgem, in its sole discretion and following its evaluation of the </w:t>
      </w:r>
      <w:r w:rsidR="00C13D9A">
        <w:rPr>
          <w:rFonts w:ascii="Verdana" w:hAnsi="Verdana"/>
          <w:sz w:val="20"/>
        </w:rPr>
        <w:t xml:space="preserve">ITT Submissions </w:t>
      </w:r>
      <w:r w:rsidRPr="003B5FB7">
        <w:rPr>
          <w:rFonts w:ascii="Verdana" w:hAnsi="Verdana"/>
          <w:sz w:val="20"/>
        </w:rPr>
        <w:t xml:space="preserve">received (including any BAFO submissions requested), as the </w:t>
      </w:r>
      <w:r w:rsidR="00C13D9A">
        <w:rPr>
          <w:rFonts w:ascii="Verdana" w:hAnsi="Verdana"/>
          <w:sz w:val="20"/>
        </w:rPr>
        <w:t xml:space="preserve">Qualifying </w:t>
      </w:r>
      <w:r w:rsidRPr="003B5FB7">
        <w:rPr>
          <w:rFonts w:ascii="Verdana" w:hAnsi="Verdana"/>
          <w:sz w:val="20"/>
        </w:rPr>
        <w:t xml:space="preserve">Bidder </w:t>
      </w:r>
      <w:r w:rsidRPr="003B5FB7">
        <w:rPr>
          <w:rFonts w:ascii="Verdana" w:hAnsi="Verdana"/>
          <w:sz w:val="20"/>
        </w:rPr>
        <w:lastRenderedPageBreak/>
        <w:t xml:space="preserve">it intends </w:t>
      </w:r>
      <w:r w:rsidR="00C13D9A">
        <w:rPr>
          <w:rFonts w:ascii="Verdana" w:hAnsi="Verdana"/>
          <w:sz w:val="20"/>
        </w:rPr>
        <w:t xml:space="preserve">(subject to the satisfaction of the conditions specified by Ofgem) </w:t>
      </w:r>
      <w:r w:rsidRPr="003B5FB7">
        <w:rPr>
          <w:rFonts w:ascii="Verdana" w:hAnsi="Verdana"/>
          <w:sz w:val="20"/>
        </w:rPr>
        <w:t xml:space="preserve">to </w:t>
      </w:r>
      <w:r w:rsidR="00C13D9A">
        <w:rPr>
          <w:rFonts w:ascii="Verdana" w:hAnsi="Verdana"/>
          <w:sz w:val="20"/>
        </w:rPr>
        <w:t xml:space="preserve">grant </w:t>
      </w:r>
      <w:r w:rsidRPr="003B5FB7">
        <w:rPr>
          <w:rFonts w:ascii="Verdana" w:hAnsi="Verdana"/>
          <w:sz w:val="20"/>
        </w:rPr>
        <w:t xml:space="preserve">the Offshore </w:t>
      </w:r>
      <w:r w:rsidR="00C13D9A">
        <w:rPr>
          <w:rFonts w:ascii="Verdana" w:hAnsi="Verdana"/>
          <w:sz w:val="20"/>
        </w:rPr>
        <w:t xml:space="preserve">Electricity </w:t>
      </w:r>
      <w:r w:rsidRPr="003B5FB7">
        <w:rPr>
          <w:rFonts w:ascii="Verdana" w:hAnsi="Verdana"/>
          <w:sz w:val="20"/>
        </w:rPr>
        <w:t>Transmission Licence to</w:t>
      </w:r>
      <w:r w:rsidR="00C13D9A">
        <w:rPr>
          <w:rFonts w:ascii="Verdana" w:hAnsi="Verdana"/>
          <w:sz w:val="20"/>
        </w:rPr>
        <w:t>.</w:t>
      </w:r>
      <w:bookmarkEnd w:id="83"/>
    </w:p>
    <w:p w:rsidR="007B0B00" w:rsidRPr="00D737B1" w:rsidRDefault="003B5FB7" w:rsidP="007B0B00">
      <w:pPr>
        <w:pStyle w:val="BodyText"/>
        <w:outlineLvl w:val="0"/>
        <w:rPr>
          <w:rFonts w:ascii="Verdana" w:hAnsi="Verdana"/>
          <w:sz w:val="20"/>
        </w:rPr>
      </w:pPr>
      <w:bookmarkStart w:id="84" w:name="_Toc249178491"/>
      <w:bookmarkStart w:id="85" w:name="_Toc210033229"/>
      <w:r w:rsidRPr="003B5FB7">
        <w:rPr>
          <w:rFonts w:ascii="Verdana" w:hAnsi="Verdana"/>
          <w:b/>
          <w:bCs/>
          <w:sz w:val="20"/>
        </w:rPr>
        <w:t>"Pre</w:t>
      </w:r>
      <w:r w:rsidR="00C13D9A">
        <w:rPr>
          <w:rFonts w:ascii="Verdana" w:hAnsi="Verdana"/>
          <w:b/>
          <w:bCs/>
          <w:sz w:val="20"/>
        </w:rPr>
        <w:t>-Q</w:t>
      </w:r>
      <w:r w:rsidRPr="003B5FB7">
        <w:rPr>
          <w:rFonts w:ascii="Verdana" w:hAnsi="Verdana"/>
          <w:b/>
          <w:bCs/>
          <w:sz w:val="20"/>
        </w:rPr>
        <w:t>ualification Document"</w:t>
      </w:r>
      <w:r w:rsidRPr="003B5FB7">
        <w:rPr>
          <w:rFonts w:ascii="Verdana" w:hAnsi="Verdana"/>
          <w:sz w:val="20"/>
        </w:rPr>
        <w:t xml:space="preserve"> means this document prepared and issued by Ofgem </w:t>
      </w:r>
      <w:r w:rsidR="00C13D9A">
        <w:rPr>
          <w:rFonts w:ascii="Verdana" w:hAnsi="Verdana"/>
          <w:sz w:val="20"/>
        </w:rPr>
        <w:t xml:space="preserve">for the purpose of selecting a </w:t>
      </w:r>
      <w:proofErr w:type="spellStart"/>
      <w:r w:rsidR="00C13D9A">
        <w:rPr>
          <w:rFonts w:ascii="Verdana" w:hAnsi="Verdana"/>
          <w:sz w:val="20"/>
        </w:rPr>
        <w:t>longlist</w:t>
      </w:r>
      <w:proofErr w:type="spellEnd"/>
      <w:r w:rsidR="00C13D9A">
        <w:rPr>
          <w:rFonts w:ascii="Verdana" w:hAnsi="Verdana"/>
          <w:sz w:val="20"/>
        </w:rPr>
        <w:t xml:space="preserve"> of Qualifying Applicants to progress to the QTT stage and which sets out the rules and requirements of the P</w:t>
      </w:r>
      <w:r w:rsidR="00174759">
        <w:rPr>
          <w:rFonts w:ascii="Verdana" w:hAnsi="Verdana"/>
          <w:sz w:val="20"/>
        </w:rPr>
        <w:t>re-</w:t>
      </w:r>
      <w:r w:rsidR="00C13D9A">
        <w:rPr>
          <w:rFonts w:ascii="Verdana" w:hAnsi="Verdana"/>
          <w:sz w:val="20"/>
        </w:rPr>
        <w:t>Q</w:t>
      </w:r>
      <w:r w:rsidR="00174759">
        <w:rPr>
          <w:rFonts w:ascii="Verdana" w:hAnsi="Verdana"/>
          <w:sz w:val="20"/>
        </w:rPr>
        <w:t>ualification</w:t>
      </w:r>
      <w:r w:rsidR="00C13D9A">
        <w:rPr>
          <w:rFonts w:ascii="Verdana" w:hAnsi="Verdana"/>
          <w:sz w:val="20"/>
        </w:rPr>
        <w:t xml:space="preserve"> stage.</w:t>
      </w:r>
      <w:bookmarkEnd w:id="84"/>
      <w:r w:rsidR="00C13D9A">
        <w:rPr>
          <w:rFonts w:ascii="Verdana" w:hAnsi="Verdana"/>
          <w:sz w:val="20"/>
        </w:rPr>
        <w:t xml:space="preserve"> </w:t>
      </w:r>
      <w:bookmarkEnd w:id="85"/>
    </w:p>
    <w:p w:rsidR="007B0B00" w:rsidRPr="00D737B1" w:rsidRDefault="003B5FB7" w:rsidP="007B0B00">
      <w:pPr>
        <w:pStyle w:val="BodyText"/>
        <w:outlineLvl w:val="0"/>
        <w:rPr>
          <w:rFonts w:ascii="Verdana" w:hAnsi="Verdana"/>
          <w:sz w:val="20"/>
        </w:rPr>
      </w:pPr>
      <w:bookmarkStart w:id="86" w:name="_Toc210033231"/>
      <w:bookmarkStart w:id="87" w:name="_Toc249178492"/>
      <w:r w:rsidRPr="003B5FB7">
        <w:rPr>
          <w:rFonts w:ascii="Verdana" w:hAnsi="Verdana"/>
          <w:b/>
          <w:bCs/>
          <w:sz w:val="20"/>
        </w:rPr>
        <w:t>"Pre</w:t>
      </w:r>
      <w:r w:rsidR="00C13D9A">
        <w:rPr>
          <w:rFonts w:ascii="Verdana" w:hAnsi="Verdana"/>
          <w:b/>
          <w:bCs/>
          <w:sz w:val="20"/>
        </w:rPr>
        <w:t>-Q</w:t>
      </w:r>
      <w:r w:rsidRPr="003B5FB7">
        <w:rPr>
          <w:rFonts w:ascii="Verdana" w:hAnsi="Verdana"/>
          <w:b/>
          <w:bCs/>
          <w:sz w:val="20"/>
        </w:rPr>
        <w:t>ualification Stage"</w:t>
      </w:r>
      <w:r w:rsidRPr="003B5FB7">
        <w:rPr>
          <w:rFonts w:ascii="Verdana" w:hAnsi="Verdana"/>
          <w:sz w:val="20"/>
        </w:rPr>
        <w:t xml:space="preserve"> means the period of a Tender Process starting from the publication of the Prequalification Document, including the preparation, submission and evaluation of Prequalification Submissions and ending once Ofgem has published the long list of Applicants who have prequalified for the Qualification to Tender Stage.</w:t>
      </w:r>
      <w:bookmarkEnd w:id="86"/>
      <w:bookmarkEnd w:id="87"/>
    </w:p>
    <w:p w:rsidR="007B0B00" w:rsidRDefault="003B5FB7" w:rsidP="007B0B00">
      <w:pPr>
        <w:pStyle w:val="BodyText"/>
        <w:outlineLvl w:val="0"/>
        <w:rPr>
          <w:rFonts w:ascii="Verdana" w:hAnsi="Verdana"/>
          <w:sz w:val="20"/>
        </w:rPr>
      </w:pPr>
      <w:bookmarkStart w:id="88" w:name="_Toc210033232"/>
      <w:bookmarkStart w:id="89" w:name="_Toc249178493"/>
      <w:r w:rsidRPr="003B5FB7">
        <w:rPr>
          <w:rFonts w:ascii="Verdana" w:hAnsi="Verdana"/>
          <w:b/>
          <w:bCs/>
          <w:sz w:val="20"/>
        </w:rPr>
        <w:t>"Pre</w:t>
      </w:r>
      <w:r w:rsidR="00C13D9A">
        <w:rPr>
          <w:rFonts w:ascii="Verdana" w:hAnsi="Verdana"/>
          <w:b/>
          <w:bCs/>
          <w:sz w:val="20"/>
        </w:rPr>
        <w:t>-Q</w:t>
      </w:r>
      <w:r w:rsidRPr="003B5FB7">
        <w:rPr>
          <w:rFonts w:ascii="Verdana" w:hAnsi="Verdana"/>
          <w:b/>
          <w:bCs/>
          <w:sz w:val="20"/>
        </w:rPr>
        <w:t xml:space="preserve">ualification Submission(s)" </w:t>
      </w:r>
      <w:r w:rsidRPr="003B5FB7">
        <w:rPr>
          <w:rFonts w:ascii="Verdana" w:hAnsi="Verdana"/>
          <w:sz w:val="20"/>
        </w:rPr>
        <w:t>means a</w:t>
      </w:r>
      <w:r w:rsidR="00C13D9A">
        <w:rPr>
          <w:rFonts w:ascii="Verdana" w:hAnsi="Verdana"/>
          <w:sz w:val="20"/>
        </w:rPr>
        <w:t xml:space="preserve">n Applicant’s response </w:t>
      </w:r>
      <w:r w:rsidRPr="003B5FB7">
        <w:rPr>
          <w:rFonts w:ascii="Verdana" w:hAnsi="Verdana"/>
          <w:sz w:val="20"/>
        </w:rPr>
        <w:t>to the Pre</w:t>
      </w:r>
      <w:r w:rsidR="00C13D9A">
        <w:rPr>
          <w:rFonts w:ascii="Verdana" w:hAnsi="Verdana"/>
          <w:sz w:val="20"/>
        </w:rPr>
        <w:t>-Q</w:t>
      </w:r>
      <w:r w:rsidRPr="003B5FB7">
        <w:rPr>
          <w:rFonts w:ascii="Verdana" w:hAnsi="Verdana"/>
          <w:sz w:val="20"/>
        </w:rPr>
        <w:t>ualification Document</w:t>
      </w:r>
      <w:bookmarkEnd w:id="88"/>
      <w:r w:rsidR="00A73441">
        <w:rPr>
          <w:rFonts w:ascii="Verdana" w:hAnsi="Verdana"/>
          <w:sz w:val="20"/>
        </w:rPr>
        <w:t>.</w:t>
      </w:r>
      <w:bookmarkEnd w:id="89"/>
    </w:p>
    <w:p w:rsidR="00723E05" w:rsidRPr="00D737B1" w:rsidRDefault="00723E05" w:rsidP="007B0B00">
      <w:pPr>
        <w:pStyle w:val="BodyText"/>
        <w:outlineLvl w:val="0"/>
        <w:rPr>
          <w:rFonts w:ascii="Verdana" w:hAnsi="Verdana"/>
          <w:sz w:val="20"/>
        </w:rPr>
      </w:pPr>
      <w:bookmarkStart w:id="90" w:name="_Toc249178494"/>
      <w:r w:rsidRPr="002F330E">
        <w:rPr>
          <w:rFonts w:ascii="Verdana" w:hAnsi="Verdana"/>
          <w:b/>
          <w:sz w:val="20"/>
        </w:rPr>
        <w:t>“Project Availability Standard”</w:t>
      </w:r>
      <w:r w:rsidRPr="002F330E">
        <w:rPr>
          <w:rFonts w:ascii="Verdana" w:hAnsi="Verdana"/>
          <w:sz w:val="20"/>
        </w:rPr>
        <w:t xml:space="preserve"> means </w:t>
      </w:r>
      <w:r w:rsidR="002F330E" w:rsidRPr="002F330E">
        <w:rPr>
          <w:rFonts w:ascii="Verdana" w:hAnsi="Verdana"/>
          <w:sz w:val="20"/>
        </w:rPr>
        <w:t>the Availability Standard as set out in the Project Specific Special Licence Conditions</w:t>
      </w:r>
      <w:bookmarkEnd w:id="90"/>
    </w:p>
    <w:p w:rsidR="007B0B00" w:rsidRPr="00D737B1" w:rsidRDefault="003B5FB7" w:rsidP="007B0B00">
      <w:pPr>
        <w:pStyle w:val="BodyText"/>
        <w:rPr>
          <w:rFonts w:ascii="Verdana" w:hAnsi="Verdana"/>
          <w:sz w:val="20"/>
        </w:rPr>
      </w:pPr>
      <w:r w:rsidRPr="003B5FB7">
        <w:rPr>
          <w:rFonts w:ascii="Verdana" w:hAnsi="Verdana"/>
          <w:b/>
          <w:sz w:val="20"/>
        </w:rPr>
        <w:t>"Qualification to Tender Document"</w:t>
      </w:r>
      <w:r w:rsidRPr="003B5FB7">
        <w:rPr>
          <w:rFonts w:ascii="Verdana" w:hAnsi="Verdana"/>
          <w:sz w:val="20"/>
        </w:rPr>
        <w:t xml:space="preserve"> means the document prepared and issued by Ofgem </w:t>
      </w:r>
      <w:r w:rsidR="00174759">
        <w:rPr>
          <w:rFonts w:ascii="Verdana" w:hAnsi="Verdana"/>
          <w:sz w:val="20"/>
        </w:rPr>
        <w:t>for the purpose of selecting a shortlist of Qualifying Bidders to progress to the ITT stage and which sets out the rules and requirements of the Qualification to Tender stage.</w:t>
      </w:r>
    </w:p>
    <w:p w:rsidR="007B0B00" w:rsidRPr="00D737B1" w:rsidRDefault="003B5FB7" w:rsidP="007B0B00">
      <w:pPr>
        <w:pStyle w:val="BodyText"/>
        <w:rPr>
          <w:rFonts w:ascii="Verdana" w:hAnsi="Verdana"/>
          <w:sz w:val="20"/>
        </w:rPr>
      </w:pPr>
      <w:r w:rsidRPr="003B5FB7">
        <w:rPr>
          <w:rFonts w:ascii="Verdana" w:hAnsi="Verdana"/>
          <w:b/>
          <w:sz w:val="20"/>
        </w:rPr>
        <w:t xml:space="preserve">"Qualification to Tender Stage" </w:t>
      </w:r>
      <w:r w:rsidRPr="003B5FB7">
        <w:rPr>
          <w:rFonts w:ascii="Verdana" w:hAnsi="Verdana"/>
          <w:sz w:val="20"/>
        </w:rPr>
        <w:t xml:space="preserve">means the period of a Tender Process starting from Ofgem publishing the </w:t>
      </w:r>
      <w:proofErr w:type="spellStart"/>
      <w:r w:rsidRPr="003B5FB7">
        <w:rPr>
          <w:rFonts w:ascii="Verdana" w:hAnsi="Verdana"/>
          <w:sz w:val="20"/>
        </w:rPr>
        <w:t>longlist</w:t>
      </w:r>
      <w:proofErr w:type="spellEnd"/>
      <w:r w:rsidRPr="003B5FB7">
        <w:rPr>
          <w:rFonts w:ascii="Verdana" w:hAnsi="Verdana"/>
          <w:sz w:val="20"/>
        </w:rPr>
        <w:t xml:space="preserve"> of Applicants who have pre-qualified, including the preparation, submission and evaluation of Q</w:t>
      </w:r>
      <w:r w:rsidR="00174759">
        <w:rPr>
          <w:rFonts w:ascii="Verdana" w:hAnsi="Verdana"/>
          <w:sz w:val="20"/>
        </w:rPr>
        <w:t>ualification to Tender S</w:t>
      </w:r>
      <w:r w:rsidRPr="003B5FB7">
        <w:rPr>
          <w:rFonts w:ascii="Verdana" w:hAnsi="Verdana"/>
          <w:sz w:val="20"/>
        </w:rPr>
        <w:t xml:space="preserve">ubmissions and ending once Ofgem has notified the Applicants of its selection of </w:t>
      </w:r>
      <w:r w:rsidR="00174759">
        <w:rPr>
          <w:rFonts w:ascii="Verdana" w:hAnsi="Verdana"/>
          <w:sz w:val="20"/>
        </w:rPr>
        <w:t xml:space="preserve">Qualifying </w:t>
      </w:r>
      <w:r w:rsidRPr="003B5FB7">
        <w:rPr>
          <w:rFonts w:ascii="Verdana" w:hAnsi="Verdana"/>
          <w:sz w:val="20"/>
        </w:rPr>
        <w:t xml:space="preserve">Bidders for the </w:t>
      </w:r>
      <w:r w:rsidR="00174759">
        <w:rPr>
          <w:rFonts w:ascii="Verdana" w:hAnsi="Verdana"/>
          <w:sz w:val="20"/>
        </w:rPr>
        <w:t xml:space="preserve">Qualifying </w:t>
      </w:r>
      <w:r w:rsidRPr="003B5FB7">
        <w:rPr>
          <w:rFonts w:ascii="Verdana" w:hAnsi="Verdana"/>
          <w:sz w:val="20"/>
        </w:rPr>
        <w:t>Projects;</w:t>
      </w:r>
    </w:p>
    <w:p w:rsidR="007B0B00" w:rsidRDefault="003B5FB7" w:rsidP="007B0B00">
      <w:pPr>
        <w:tabs>
          <w:tab w:val="clear" w:pos="709"/>
          <w:tab w:val="clear" w:pos="1559"/>
          <w:tab w:val="clear" w:pos="2268"/>
          <w:tab w:val="clear" w:pos="2977"/>
          <w:tab w:val="clear" w:pos="3686"/>
          <w:tab w:val="clear" w:pos="4394"/>
          <w:tab w:val="clear" w:pos="8789"/>
        </w:tabs>
        <w:spacing w:after="120" w:line="240" w:lineRule="auto"/>
        <w:jc w:val="left"/>
        <w:rPr>
          <w:rFonts w:ascii="Verdana" w:eastAsia="Times New Roman" w:hAnsi="Verdana"/>
          <w:sz w:val="20"/>
          <w:lang w:eastAsia="en-GB"/>
        </w:rPr>
      </w:pPr>
      <w:r w:rsidRPr="003B5FB7">
        <w:rPr>
          <w:rFonts w:ascii="Verdana" w:eastAsia="Times New Roman" w:hAnsi="Verdana"/>
          <w:b/>
          <w:bCs/>
          <w:sz w:val="20"/>
          <w:lang w:eastAsia="en-GB"/>
        </w:rPr>
        <w:t>"Qualification to Tender Submission"</w:t>
      </w:r>
      <w:r w:rsidRPr="003B5FB7">
        <w:rPr>
          <w:rFonts w:ascii="Verdana" w:eastAsia="Times New Roman" w:hAnsi="Verdana"/>
          <w:sz w:val="20"/>
          <w:lang w:eastAsia="en-GB"/>
        </w:rPr>
        <w:t xml:space="preserve"> means a</w:t>
      </w:r>
      <w:r w:rsidR="00174759">
        <w:rPr>
          <w:rFonts w:ascii="Verdana" w:eastAsia="Times New Roman" w:hAnsi="Verdana"/>
          <w:sz w:val="20"/>
          <w:lang w:eastAsia="en-GB"/>
        </w:rPr>
        <w:t xml:space="preserve"> Qualifying Applicant’s </w:t>
      </w:r>
      <w:r w:rsidRPr="003B5FB7">
        <w:rPr>
          <w:rFonts w:ascii="Verdana" w:eastAsia="Times New Roman" w:hAnsi="Verdana"/>
          <w:sz w:val="20"/>
          <w:lang w:eastAsia="en-GB"/>
        </w:rPr>
        <w:t>response to the Qualification to Tender Document</w:t>
      </w:r>
      <w:r w:rsidR="00174759">
        <w:rPr>
          <w:rFonts w:ascii="Verdana" w:eastAsia="Times New Roman" w:hAnsi="Verdana"/>
          <w:sz w:val="20"/>
          <w:lang w:eastAsia="en-GB"/>
        </w:rPr>
        <w:t>.</w:t>
      </w:r>
    </w:p>
    <w:p w:rsidR="00174759" w:rsidRDefault="00174759" w:rsidP="007B0B00">
      <w:pPr>
        <w:tabs>
          <w:tab w:val="clear" w:pos="709"/>
          <w:tab w:val="clear" w:pos="1559"/>
          <w:tab w:val="clear" w:pos="2268"/>
          <w:tab w:val="clear" w:pos="2977"/>
          <w:tab w:val="clear" w:pos="3686"/>
          <w:tab w:val="clear" w:pos="4394"/>
          <w:tab w:val="clear" w:pos="8789"/>
        </w:tabs>
        <w:spacing w:after="120" w:line="240" w:lineRule="auto"/>
        <w:jc w:val="left"/>
        <w:rPr>
          <w:rFonts w:ascii="Verdana" w:eastAsia="Times New Roman" w:hAnsi="Verdana"/>
          <w:sz w:val="20"/>
          <w:lang w:eastAsia="en-GB"/>
        </w:rPr>
      </w:pPr>
      <w:r w:rsidRPr="00174759">
        <w:rPr>
          <w:rFonts w:ascii="Verdana" w:eastAsia="Times New Roman" w:hAnsi="Verdana"/>
          <w:b/>
          <w:sz w:val="20"/>
          <w:lang w:eastAsia="en-GB"/>
        </w:rPr>
        <w:t>“Qualifying Bidder”</w:t>
      </w:r>
      <w:r>
        <w:rPr>
          <w:rFonts w:ascii="Verdana" w:eastAsia="Times New Roman" w:hAnsi="Verdana"/>
          <w:sz w:val="20"/>
          <w:lang w:eastAsia="en-GB"/>
        </w:rPr>
        <w:t xml:space="preserve"> means an entity invited to submit an ITT Submission to Ofgem in response to this ITT Document.</w:t>
      </w:r>
    </w:p>
    <w:p w:rsidR="00174759" w:rsidRPr="00D737B1" w:rsidRDefault="00174759" w:rsidP="007B0B00">
      <w:pPr>
        <w:tabs>
          <w:tab w:val="clear" w:pos="709"/>
          <w:tab w:val="clear" w:pos="1559"/>
          <w:tab w:val="clear" w:pos="2268"/>
          <w:tab w:val="clear" w:pos="2977"/>
          <w:tab w:val="clear" w:pos="3686"/>
          <w:tab w:val="clear" w:pos="4394"/>
          <w:tab w:val="clear" w:pos="8789"/>
        </w:tabs>
        <w:spacing w:after="120" w:line="240" w:lineRule="auto"/>
        <w:jc w:val="left"/>
        <w:rPr>
          <w:rFonts w:ascii="Verdana" w:eastAsia="Times New Roman" w:hAnsi="Verdana"/>
          <w:sz w:val="20"/>
          <w:lang w:eastAsia="en-GB"/>
        </w:rPr>
      </w:pPr>
      <w:r w:rsidRPr="00174759">
        <w:rPr>
          <w:rFonts w:ascii="Verdana" w:eastAsia="Times New Roman" w:hAnsi="Verdana"/>
          <w:b/>
          <w:sz w:val="20"/>
          <w:lang w:eastAsia="en-GB"/>
        </w:rPr>
        <w:t>“Qualifying Project”</w:t>
      </w:r>
      <w:r>
        <w:rPr>
          <w:rFonts w:ascii="Verdana" w:eastAsia="Times New Roman" w:hAnsi="Verdana"/>
          <w:sz w:val="20"/>
          <w:lang w:eastAsia="en-GB"/>
        </w:rPr>
        <w:t xml:space="preserve"> means an</w:t>
      </w:r>
      <w:r w:rsidR="00421348">
        <w:rPr>
          <w:rFonts w:ascii="Verdana" w:eastAsia="Times New Roman" w:hAnsi="Verdana"/>
          <w:sz w:val="20"/>
          <w:lang w:eastAsia="en-GB"/>
        </w:rPr>
        <w:t>y</w:t>
      </w:r>
      <w:r>
        <w:rPr>
          <w:rFonts w:ascii="Verdana" w:eastAsia="Times New Roman" w:hAnsi="Verdana"/>
          <w:sz w:val="20"/>
          <w:lang w:eastAsia="en-GB"/>
        </w:rPr>
        <w:t xml:space="preserve"> offshore generation project in respect of which Ofgem determines that the Developer has satisfied the pre-conditions described in Schedules 1 and 2 to the Tender Regulations. </w:t>
      </w:r>
    </w:p>
    <w:p w:rsidR="007B0B00" w:rsidRPr="00D737B1" w:rsidRDefault="003B5FB7" w:rsidP="007B0B00">
      <w:pPr>
        <w:pStyle w:val="BodyText"/>
        <w:rPr>
          <w:rFonts w:ascii="Verdana" w:hAnsi="Verdana"/>
          <w:sz w:val="20"/>
        </w:rPr>
      </w:pPr>
      <w:r w:rsidRPr="003B5FB7">
        <w:rPr>
          <w:rFonts w:ascii="Verdana" w:hAnsi="Verdana"/>
          <w:b/>
          <w:bCs/>
          <w:sz w:val="20"/>
        </w:rPr>
        <w:t>"Related Party"</w:t>
      </w:r>
      <w:r w:rsidRPr="003B5FB7">
        <w:rPr>
          <w:rFonts w:ascii="Verdana" w:hAnsi="Verdana"/>
          <w:sz w:val="20"/>
        </w:rPr>
        <w:t xml:space="preserve"> or </w:t>
      </w:r>
      <w:r w:rsidRPr="003B5FB7">
        <w:rPr>
          <w:rFonts w:ascii="Verdana" w:hAnsi="Verdana"/>
          <w:b/>
          <w:bCs/>
          <w:sz w:val="20"/>
        </w:rPr>
        <w:t>"Related Parties"</w:t>
      </w:r>
      <w:r w:rsidRPr="003B5FB7">
        <w:rPr>
          <w:rFonts w:ascii="Verdana" w:hAnsi="Verdana"/>
          <w:sz w:val="20"/>
        </w:rPr>
        <w:t xml:space="preserve"> </w:t>
      </w:r>
      <w:proofErr w:type="gramStart"/>
      <w:r w:rsidRPr="003B5FB7">
        <w:rPr>
          <w:rFonts w:ascii="Verdana" w:hAnsi="Verdana"/>
          <w:sz w:val="20"/>
        </w:rPr>
        <w:t>means employees</w:t>
      </w:r>
      <w:proofErr w:type="gramEnd"/>
      <w:r w:rsidRPr="003B5FB7">
        <w:rPr>
          <w:rFonts w:ascii="Verdana" w:hAnsi="Verdana"/>
          <w:sz w:val="20"/>
        </w:rPr>
        <w:t>, officers, directors, stakeholders and su</w:t>
      </w:r>
      <w:r w:rsidR="00174759">
        <w:rPr>
          <w:rFonts w:ascii="Verdana" w:hAnsi="Verdana"/>
          <w:sz w:val="20"/>
        </w:rPr>
        <w:t>ppliers of the associated Party.</w:t>
      </w:r>
    </w:p>
    <w:p w:rsidR="007B0B00" w:rsidRPr="00D737B1" w:rsidRDefault="003B5FB7" w:rsidP="007B0B00">
      <w:pPr>
        <w:pStyle w:val="BodyText"/>
        <w:rPr>
          <w:rFonts w:ascii="Verdana" w:hAnsi="Verdana"/>
          <w:sz w:val="20"/>
        </w:rPr>
      </w:pPr>
      <w:r w:rsidRPr="003B5FB7">
        <w:rPr>
          <w:rFonts w:ascii="Verdana" w:hAnsi="Verdana"/>
          <w:b/>
          <w:bCs/>
          <w:sz w:val="20"/>
        </w:rPr>
        <w:t>"Renewable Energy Zone"</w:t>
      </w:r>
      <w:r w:rsidRPr="003B5FB7">
        <w:rPr>
          <w:rFonts w:ascii="Verdana" w:hAnsi="Verdana"/>
          <w:sz w:val="20"/>
        </w:rPr>
        <w:t xml:space="preserve"> means the area designated as such pursuant to secti</w:t>
      </w:r>
      <w:r w:rsidR="00174759">
        <w:rPr>
          <w:rFonts w:ascii="Verdana" w:hAnsi="Verdana"/>
          <w:sz w:val="20"/>
        </w:rPr>
        <w:t>on 84(4) of the Energy Act 2004.</w:t>
      </w:r>
    </w:p>
    <w:p w:rsidR="007B0B00" w:rsidRDefault="003B5FB7" w:rsidP="007B0B00">
      <w:pPr>
        <w:pStyle w:val="BodyText"/>
        <w:outlineLvl w:val="0"/>
        <w:rPr>
          <w:rFonts w:ascii="Verdana" w:hAnsi="Verdana"/>
          <w:sz w:val="20"/>
        </w:rPr>
      </w:pPr>
      <w:bookmarkStart w:id="91" w:name="_Toc249178495"/>
      <w:r w:rsidRPr="003B5FB7">
        <w:rPr>
          <w:rFonts w:ascii="Verdana" w:hAnsi="Verdana"/>
          <w:b/>
          <w:bCs/>
          <w:sz w:val="20"/>
        </w:rPr>
        <w:t xml:space="preserve">"Reserve Bidder" </w:t>
      </w:r>
      <w:r w:rsidRPr="003B5FB7">
        <w:rPr>
          <w:rFonts w:ascii="Verdana" w:hAnsi="Verdana"/>
          <w:sz w:val="20"/>
        </w:rPr>
        <w:t>means</w:t>
      </w:r>
      <w:r w:rsidRPr="003B5FB7">
        <w:rPr>
          <w:rFonts w:ascii="Verdana" w:hAnsi="Verdana"/>
          <w:b/>
          <w:bCs/>
          <w:sz w:val="20"/>
        </w:rPr>
        <w:t xml:space="preserve"> </w:t>
      </w:r>
      <w:r w:rsidRPr="003B5FB7">
        <w:rPr>
          <w:rFonts w:ascii="Verdana" w:hAnsi="Verdana"/>
          <w:sz w:val="20"/>
        </w:rPr>
        <w:t xml:space="preserve">the </w:t>
      </w:r>
      <w:r w:rsidR="00174759">
        <w:rPr>
          <w:rFonts w:ascii="Verdana" w:hAnsi="Verdana"/>
          <w:sz w:val="20"/>
        </w:rPr>
        <w:t xml:space="preserve">Qualifying </w:t>
      </w:r>
      <w:r w:rsidRPr="003B5FB7">
        <w:rPr>
          <w:rFonts w:ascii="Verdana" w:hAnsi="Verdana"/>
          <w:sz w:val="20"/>
        </w:rPr>
        <w:t>Bidder determined by</w:t>
      </w:r>
      <w:r w:rsidRPr="003B5FB7">
        <w:rPr>
          <w:rFonts w:ascii="Verdana" w:hAnsi="Verdana"/>
          <w:b/>
          <w:bCs/>
          <w:sz w:val="20"/>
        </w:rPr>
        <w:t xml:space="preserve"> </w:t>
      </w:r>
      <w:r w:rsidRPr="003B5FB7">
        <w:rPr>
          <w:rFonts w:ascii="Verdana" w:hAnsi="Verdana"/>
          <w:sz w:val="20"/>
        </w:rPr>
        <w:t xml:space="preserve">Ofgem, in its sole discretion and following its evaluation of the </w:t>
      </w:r>
      <w:r w:rsidR="00174759">
        <w:rPr>
          <w:rFonts w:ascii="Verdana" w:hAnsi="Verdana"/>
          <w:sz w:val="20"/>
        </w:rPr>
        <w:t>ITT Submissions re</w:t>
      </w:r>
      <w:r w:rsidRPr="003B5FB7">
        <w:rPr>
          <w:rFonts w:ascii="Verdana" w:hAnsi="Verdana"/>
          <w:sz w:val="20"/>
        </w:rPr>
        <w:t xml:space="preserve">ceived (including any BAFO submissions requested), as the second choice </w:t>
      </w:r>
      <w:r w:rsidR="00174759">
        <w:rPr>
          <w:rFonts w:ascii="Verdana" w:hAnsi="Verdana"/>
          <w:sz w:val="20"/>
        </w:rPr>
        <w:t xml:space="preserve">Qualifying </w:t>
      </w:r>
      <w:r w:rsidRPr="003B5FB7">
        <w:rPr>
          <w:rFonts w:ascii="Verdana" w:hAnsi="Verdana"/>
          <w:sz w:val="20"/>
        </w:rPr>
        <w:t>Bidder t</w:t>
      </w:r>
      <w:r w:rsidR="00174759">
        <w:rPr>
          <w:rFonts w:ascii="Verdana" w:hAnsi="Verdana"/>
          <w:sz w:val="20"/>
        </w:rPr>
        <w:t xml:space="preserve">o which </w:t>
      </w:r>
      <w:r w:rsidRPr="003B5FB7">
        <w:rPr>
          <w:rFonts w:ascii="Verdana" w:hAnsi="Verdana"/>
          <w:sz w:val="20"/>
        </w:rPr>
        <w:t xml:space="preserve">Ofgem would consider </w:t>
      </w:r>
      <w:r w:rsidR="00174759">
        <w:rPr>
          <w:rFonts w:ascii="Verdana" w:hAnsi="Verdana"/>
          <w:sz w:val="20"/>
        </w:rPr>
        <w:t xml:space="preserve">granting </w:t>
      </w:r>
      <w:r w:rsidRPr="003B5FB7">
        <w:rPr>
          <w:rFonts w:ascii="Verdana" w:hAnsi="Verdana"/>
          <w:sz w:val="20"/>
        </w:rPr>
        <w:t xml:space="preserve">the Offshore </w:t>
      </w:r>
      <w:r w:rsidR="00174759">
        <w:rPr>
          <w:rFonts w:ascii="Verdana" w:hAnsi="Verdana"/>
          <w:sz w:val="20"/>
        </w:rPr>
        <w:t xml:space="preserve">Electricity </w:t>
      </w:r>
      <w:r w:rsidRPr="003B5FB7">
        <w:rPr>
          <w:rFonts w:ascii="Verdana" w:hAnsi="Verdana"/>
          <w:sz w:val="20"/>
        </w:rPr>
        <w:t xml:space="preserve">Transmission Licence should Ofgem ultimately decide not to </w:t>
      </w:r>
      <w:r w:rsidR="00174759">
        <w:rPr>
          <w:rFonts w:ascii="Verdana" w:hAnsi="Verdana"/>
          <w:sz w:val="20"/>
        </w:rPr>
        <w:t xml:space="preserve">grant </w:t>
      </w:r>
      <w:r w:rsidRPr="003B5FB7">
        <w:rPr>
          <w:rFonts w:ascii="Verdana" w:hAnsi="Verdana"/>
          <w:sz w:val="20"/>
        </w:rPr>
        <w:t xml:space="preserve">the Offshore </w:t>
      </w:r>
      <w:r w:rsidR="00174759">
        <w:rPr>
          <w:rFonts w:ascii="Verdana" w:hAnsi="Verdana"/>
          <w:sz w:val="20"/>
        </w:rPr>
        <w:t xml:space="preserve">Electricity </w:t>
      </w:r>
      <w:r w:rsidRPr="003B5FB7">
        <w:rPr>
          <w:rFonts w:ascii="Verdana" w:hAnsi="Verdana"/>
          <w:sz w:val="20"/>
        </w:rPr>
        <w:t xml:space="preserve">Transmission </w:t>
      </w:r>
      <w:r w:rsidR="00174759">
        <w:rPr>
          <w:rFonts w:ascii="Verdana" w:hAnsi="Verdana"/>
          <w:sz w:val="20"/>
        </w:rPr>
        <w:t>Licence to the Preferred Bidder.</w:t>
      </w:r>
      <w:bookmarkEnd w:id="91"/>
    </w:p>
    <w:p w:rsidR="00174759" w:rsidRDefault="00174759" w:rsidP="007B0B00">
      <w:pPr>
        <w:pStyle w:val="BodyText"/>
        <w:outlineLvl w:val="0"/>
        <w:rPr>
          <w:rFonts w:ascii="Verdana" w:hAnsi="Verdana"/>
          <w:sz w:val="20"/>
        </w:rPr>
      </w:pPr>
      <w:bookmarkStart w:id="92" w:name="_Toc249178496"/>
      <w:r w:rsidRPr="00174759">
        <w:rPr>
          <w:rFonts w:ascii="Verdana" w:hAnsi="Verdana"/>
          <w:b/>
          <w:sz w:val="20"/>
        </w:rPr>
        <w:t>“Sale and Purchase Agreement”</w:t>
      </w:r>
      <w:r>
        <w:rPr>
          <w:rFonts w:ascii="Verdana" w:hAnsi="Verdana"/>
          <w:sz w:val="20"/>
        </w:rPr>
        <w:t xml:space="preserve"> </w:t>
      </w:r>
      <w:r w:rsidR="00421348" w:rsidRPr="00421348">
        <w:rPr>
          <w:rFonts w:ascii="Verdana" w:hAnsi="Verdana"/>
          <w:b/>
          <w:sz w:val="20"/>
        </w:rPr>
        <w:t>or “SPA”</w:t>
      </w:r>
      <w:r w:rsidR="00421348">
        <w:rPr>
          <w:rFonts w:ascii="Verdana" w:hAnsi="Verdana"/>
          <w:sz w:val="20"/>
        </w:rPr>
        <w:t xml:space="preserve"> means </w:t>
      </w:r>
      <w:r w:rsidR="0076561E">
        <w:rPr>
          <w:rFonts w:ascii="Verdana" w:hAnsi="Verdana"/>
          <w:sz w:val="20"/>
        </w:rPr>
        <w:t xml:space="preserve">in relation to each Qualifying Project, </w:t>
      </w:r>
      <w:r>
        <w:rPr>
          <w:rFonts w:ascii="Verdana" w:hAnsi="Verdana"/>
          <w:sz w:val="20"/>
        </w:rPr>
        <w:t>means</w:t>
      </w:r>
      <w:r w:rsidR="0076561E">
        <w:rPr>
          <w:rFonts w:ascii="Verdana" w:hAnsi="Verdana"/>
          <w:sz w:val="20"/>
        </w:rPr>
        <w:t xml:space="preserve"> the transfer agreement to be entered into between the Preferred Bidder and the relevant Developer in accordance with the Tender Regulations.</w:t>
      </w:r>
      <w:bookmarkEnd w:id="92"/>
    </w:p>
    <w:p w:rsidR="00174759" w:rsidRPr="00D737B1" w:rsidRDefault="00174759" w:rsidP="007B0B00">
      <w:pPr>
        <w:pStyle w:val="BodyText"/>
        <w:outlineLvl w:val="0"/>
        <w:rPr>
          <w:rFonts w:ascii="Verdana" w:hAnsi="Verdana"/>
          <w:sz w:val="20"/>
        </w:rPr>
      </w:pPr>
      <w:bookmarkStart w:id="93" w:name="_Toc249178497"/>
      <w:r w:rsidRPr="00174759">
        <w:rPr>
          <w:rFonts w:ascii="Verdana" w:hAnsi="Verdana"/>
          <w:b/>
          <w:sz w:val="20"/>
        </w:rPr>
        <w:t>“Successful Bidder”</w:t>
      </w:r>
      <w:r>
        <w:rPr>
          <w:rFonts w:ascii="Verdana" w:hAnsi="Verdana"/>
          <w:sz w:val="20"/>
        </w:rPr>
        <w:t xml:space="preserve"> means a Preferred Bidder to which Ofgem has determined to grant the Offshore Electricity Transmission Licence.</w:t>
      </w:r>
      <w:bookmarkEnd w:id="93"/>
    </w:p>
    <w:p w:rsidR="007B0B00" w:rsidRPr="00D737B1" w:rsidRDefault="003B5FB7" w:rsidP="007B0B00">
      <w:pPr>
        <w:pStyle w:val="BodyText"/>
        <w:outlineLvl w:val="0"/>
        <w:rPr>
          <w:rFonts w:ascii="Verdana" w:hAnsi="Verdana"/>
          <w:sz w:val="20"/>
        </w:rPr>
      </w:pPr>
      <w:bookmarkStart w:id="94" w:name="_Toc249178498"/>
      <w:r w:rsidRPr="003B5FB7">
        <w:rPr>
          <w:rFonts w:ascii="Verdana" w:hAnsi="Verdana"/>
          <w:b/>
          <w:bCs/>
          <w:sz w:val="20"/>
        </w:rPr>
        <w:t>"Tender Process"</w:t>
      </w:r>
      <w:r w:rsidRPr="003B5FB7">
        <w:rPr>
          <w:rFonts w:ascii="Verdana" w:hAnsi="Verdana"/>
          <w:sz w:val="20"/>
        </w:rPr>
        <w:t xml:space="preserve"> means the competitive process run by Ofgem in order to identify a </w:t>
      </w:r>
      <w:r w:rsidR="00174759">
        <w:rPr>
          <w:rFonts w:ascii="Verdana" w:hAnsi="Verdana"/>
          <w:sz w:val="20"/>
        </w:rPr>
        <w:t xml:space="preserve">Successful Bidder </w:t>
      </w:r>
      <w:r w:rsidRPr="003B5FB7">
        <w:rPr>
          <w:rFonts w:ascii="Verdana" w:hAnsi="Verdana"/>
          <w:sz w:val="20"/>
        </w:rPr>
        <w:t xml:space="preserve">to be </w:t>
      </w:r>
      <w:r w:rsidR="00174759">
        <w:rPr>
          <w:rFonts w:ascii="Verdana" w:hAnsi="Verdana"/>
          <w:sz w:val="20"/>
        </w:rPr>
        <w:t xml:space="preserve">granted an </w:t>
      </w:r>
      <w:r w:rsidRPr="003B5FB7">
        <w:rPr>
          <w:rFonts w:ascii="Verdana" w:hAnsi="Verdana"/>
          <w:sz w:val="20"/>
        </w:rPr>
        <w:t xml:space="preserve">Offshore </w:t>
      </w:r>
      <w:r w:rsidR="00174759">
        <w:rPr>
          <w:rFonts w:ascii="Verdana" w:hAnsi="Verdana"/>
          <w:sz w:val="20"/>
        </w:rPr>
        <w:t xml:space="preserve">Electricity </w:t>
      </w:r>
      <w:r w:rsidRPr="003B5FB7">
        <w:rPr>
          <w:rFonts w:ascii="Verdana" w:hAnsi="Verdana"/>
          <w:sz w:val="20"/>
        </w:rPr>
        <w:t xml:space="preserve">Transmission Licence in relation to </w:t>
      </w:r>
      <w:r w:rsidR="00174759">
        <w:rPr>
          <w:rFonts w:ascii="Verdana" w:hAnsi="Verdana"/>
          <w:sz w:val="20"/>
        </w:rPr>
        <w:t xml:space="preserve">a particular Qualifying </w:t>
      </w:r>
      <w:r w:rsidRPr="003B5FB7">
        <w:rPr>
          <w:rFonts w:ascii="Verdana" w:hAnsi="Verdana"/>
          <w:sz w:val="20"/>
        </w:rPr>
        <w:t>Project</w:t>
      </w:r>
      <w:r w:rsidR="00174759">
        <w:rPr>
          <w:rFonts w:ascii="Verdana" w:hAnsi="Verdana"/>
          <w:sz w:val="20"/>
        </w:rPr>
        <w:t>, in accordance with the Tender Regulations.</w:t>
      </w:r>
      <w:bookmarkEnd w:id="94"/>
    </w:p>
    <w:p w:rsidR="007B0B00" w:rsidRDefault="003B5FB7" w:rsidP="007B0B00">
      <w:pPr>
        <w:pStyle w:val="BodyText"/>
        <w:outlineLvl w:val="0"/>
        <w:rPr>
          <w:rFonts w:ascii="Verdana" w:hAnsi="Verdana"/>
          <w:sz w:val="20"/>
        </w:rPr>
      </w:pPr>
      <w:bookmarkStart w:id="95" w:name="_Toc249178499"/>
      <w:r w:rsidRPr="003B5FB7">
        <w:rPr>
          <w:rFonts w:ascii="Verdana" w:hAnsi="Verdana"/>
          <w:b/>
          <w:bCs/>
          <w:sz w:val="20"/>
        </w:rPr>
        <w:lastRenderedPageBreak/>
        <w:t>"Tender Regulations"</w:t>
      </w:r>
      <w:r w:rsidR="00174759">
        <w:rPr>
          <w:rFonts w:ascii="Verdana" w:hAnsi="Verdana"/>
          <w:sz w:val="20"/>
        </w:rPr>
        <w:t xml:space="preserve"> means the </w:t>
      </w:r>
      <w:r w:rsidR="00421348">
        <w:rPr>
          <w:rFonts w:ascii="Verdana" w:hAnsi="Verdana"/>
          <w:sz w:val="20"/>
        </w:rPr>
        <w:t xml:space="preserve">Electricity (Competitive Tenders for Offshore Transmission Licences) </w:t>
      </w:r>
      <w:r w:rsidR="00174759">
        <w:rPr>
          <w:rFonts w:ascii="Verdana" w:hAnsi="Verdana"/>
          <w:sz w:val="20"/>
        </w:rPr>
        <w:t xml:space="preserve">Regulations </w:t>
      </w:r>
      <w:r w:rsidR="00421348">
        <w:rPr>
          <w:rFonts w:ascii="Verdana" w:hAnsi="Verdana"/>
          <w:sz w:val="20"/>
        </w:rPr>
        <w:t>2009;</w:t>
      </w:r>
      <w:bookmarkEnd w:id="95"/>
    </w:p>
    <w:p w:rsidR="00421348" w:rsidRDefault="00421348" w:rsidP="007B0B00">
      <w:pPr>
        <w:pStyle w:val="BodyText"/>
        <w:outlineLvl w:val="0"/>
        <w:rPr>
          <w:rFonts w:ascii="Verdana" w:hAnsi="Verdana"/>
          <w:sz w:val="20"/>
        </w:rPr>
      </w:pPr>
      <w:bookmarkStart w:id="96" w:name="_Toc249178500"/>
      <w:r w:rsidRPr="00421348">
        <w:rPr>
          <w:rFonts w:ascii="Verdana" w:hAnsi="Verdana"/>
          <w:b/>
          <w:sz w:val="20"/>
        </w:rPr>
        <w:t>“Tender Revenue Stream”</w:t>
      </w:r>
      <w:r>
        <w:rPr>
          <w:rFonts w:ascii="Verdana" w:hAnsi="Verdana"/>
          <w:sz w:val="20"/>
        </w:rPr>
        <w:t xml:space="preserve"> means a constant revenue stream in real terms submitted by the Qualifying Bidder for the relevant Qualifying Project;</w:t>
      </w:r>
      <w:bookmarkEnd w:id="96"/>
    </w:p>
    <w:p w:rsidR="0071113A" w:rsidRDefault="0071113A" w:rsidP="007B0B00">
      <w:pPr>
        <w:pStyle w:val="BodyText"/>
        <w:outlineLvl w:val="0"/>
        <w:rPr>
          <w:rFonts w:ascii="Verdana" w:hAnsi="Verdana"/>
          <w:sz w:val="20"/>
        </w:rPr>
      </w:pPr>
      <w:bookmarkStart w:id="97" w:name="_Toc249178501"/>
      <w:r w:rsidRPr="0071113A">
        <w:rPr>
          <w:rFonts w:ascii="Verdana" w:hAnsi="Verdana"/>
          <w:b/>
          <w:sz w:val="20"/>
        </w:rPr>
        <w:t>“Tender Round”</w:t>
      </w:r>
      <w:r>
        <w:rPr>
          <w:rFonts w:ascii="Verdana" w:hAnsi="Verdana"/>
          <w:sz w:val="20"/>
        </w:rPr>
        <w:t xml:space="preserve"> means a competitive process run by Ofgem in order to identify Successful Bidders to be granted Offshore Electricity Transmission Licences in relation to Qualifying Projects.</w:t>
      </w:r>
      <w:bookmarkEnd w:id="97"/>
    </w:p>
    <w:p w:rsidR="0071113A" w:rsidRDefault="0071113A" w:rsidP="007B0B00">
      <w:pPr>
        <w:pStyle w:val="BodyText"/>
        <w:outlineLvl w:val="0"/>
        <w:rPr>
          <w:rFonts w:ascii="Verdana" w:hAnsi="Verdana"/>
          <w:sz w:val="20"/>
        </w:rPr>
      </w:pPr>
      <w:bookmarkStart w:id="98" w:name="_Toc249178502"/>
      <w:r w:rsidRPr="0071113A">
        <w:rPr>
          <w:rFonts w:ascii="Verdana" w:hAnsi="Verdana"/>
          <w:b/>
          <w:sz w:val="20"/>
        </w:rPr>
        <w:t>“Tender Rules”</w:t>
      </w:r>
      <w:r>
        <w:rPr>
          <w:rFonts w:ascii="Verdana" w:hAnsi="Verdana"/>
          <w:sz w:val="20"/>
        </w:rPr>
        <w:t xml:space="preserve"> means the rules relating to the Tender Round published by Ofgem pursuant to regulation 7(4) of the Tender Regulations (as amended by documents subsequently issued by Ofgem in connection with the Tender Round or a Tender Process.</w:t>
      </w:r>
      <w:bookmarkEnd w:id="98"/>
      <w:r>
        <w:rPr>
          <w:rFonts w:ascii="Verdana" w:hAnsi="Verdana"/>
          <w:sz w:val="20"/>
        </w:rPr>
        <w:t xml:space="preserve"> </w:t>
      </w:r>
    </w:p>
    <w:p w:rsidR="00F702BE" w:rsidRDefault="00F702BE" w:rsidP="007B0B00">
      <w:pPr>
        <w:pStyle w:val="BodyText"/>
        <w:outlineLvl w:val="0"/>
        <w:rPr>
          <w:rFonts w:ascii="Verdana" w:hAnsi="Verdana"/>
          <w:sz w:val="20"/>
        </w:rPr>
      </w:pPr>
      <w:bookmarkStart w:id="99" w:name="_Toc249178503"/>
      <w:r w:rsidRPr="00E00BE5">
        <w:rPr>
          <w:rFonts w:ascii="Verdana" w:hAnsi="Verdana"/>
          <w:b/>
          <w:sz w:val="20"/>
        </w:rPr>
        <w:t>“Third Package”</w:t>
      </w:r>
      <w:r>
        <w:rPr>
          <w:rFonts w:ascii="Verdana" w:hAnsi="Verdana"/>
          <w:sz w:val="20"/>
        </w:rPr>
        <w:t xml:space="preserve"> means a</w:t>
      </w:r>
      <w:r w:rsidRPr="001A52FC">
        <w:rPr>
          <w:rFonts w:ascii="Verdana" w:hAnsi="Verdana"/>
          <w:sz w:val="20"/>
        </w:rPr>
        <w:t xml:space="preserve"> package of European legislation on the liberalisation of EU gas and electricity markets</w:t>
      </w:r>
      <w:r>
        <w:rPr>
          <w:rFonts w:ascii="Verdana" w:hAnsi="Verdana"/>
          <w:sz w:val="20"/>
        </w:rPr>
        <w:t xml:space="preserve"> which entered into force on 3 September 2009.</w:t>
      </w:r>
      <w:bookmarkEnd w:id="99"/>
    </w:p>
    <w:p w:rsidR="00A234AD" w:rsidRPr="00D737B1" w:rsidRDefault="00A234AD" w:rsidP="00A234AD">
      <w:pPr>
        <w:pStyle w:val="BodyText"/>
        <w:rPr>
          <w:rFonts w:ascii="Verdana" w:hAnsi="Verdana"/>
        </w:rPr>
      </w:pPr>
    </w:p>
    <w:p w:rsidR="0072603E" w:rsidRDefault="0072603E"/>
    <w:sectPr w:rsidR="0072603E" w:rsidSect="00B8770B">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FD" w:rsidRDefault="00F850FD">
      <w:r>
        <w:separator/>
      </w:r>
    </w:p>
  </w:endnote>
  <w:endnote w:type="continuationSeparator" w:id="0">
    <w:p w:rsidR="00F850FD" w:rsidRDefault="00F8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Omega-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6C" w:rsidRPr="00DB44A0" w:rsidRDefault="004F436C">
    <w:pPr>
      <w:pStyle w:val="Footer"/>
      <w:tabs>
        <w:tab w:val="clear" w:pos="8789"/>
        <w:tab w:val="right" w:pos="8787"/>
      </w:tabs>
      <w:rPr>
        <w:rFonts w:ascii="Verdana" w:hAnsi="Verdana"/>
        <w:sz w:val="18"/>
        <w:szCs w:val="18"/>
      </w:rPr>
    </w:pPr>
    <w:r>
      <w:tab/>
    </w:r>
    <w:r w:rsidR="00320A8C" w:rsidRPr="00DB44A0">
      <w:rPr>
        <w:rFonts w:ascii="Verdana" w:hAnsi="Verdana"/>
        <w:noProof/>
        <w:sz w:val="18"/>
        <w:szCs w:val="18"/>
      </w:rPr>
      <w:fldChar w:fldCharType="begin"/>
    </w:r>
    <w:r w:rsidRPr="00DB44A0">
      <w:rPr>
        <w:rFonts w:ascii="Verdana" w:hAnsi="Verdana"/>
        <w:noProof/>
        <w:sz w:val="18"/>
        <w:szCs w:val="18"/>
      </w:rPr>
      <w:instrText xml:space="preserve"> PAGE  \* MERGEFORMAT </w:instrText>
    </w:r>
    <w:r w:rsidR="00320A8C" w:rsidRPr="00DB44A0">
      <w:rPr>
        <w:rFonts w:ascii="Verdana" w:hAnsi="Verdana"/>
        <w:noProof/>
        <w:sz w:val="18"/>
        <w:szCs w:val="18"/>
      </w:rPr>
      <w:fldChar w:fldCharType="separate"/>
    </w:r>
    <w:r w:rsidR="00433BA5">
      <w:rPr>
        <w:rFonts w:ascii="Verdana" w:hAnsi="Verdana"/>
        <w:noProof/>
        <w:sz w:val="18"/>
        <w:szCs w:val="18"/>
      </w:rPr>
      <w:t>48</w:t>
    </w:r>
    <w:r w:rsidR="00320A8C" w:rsidRPr="00DB44A0">
      <w:rPr>
        <w:rFonts w:ascii="Verdana" w:hAnsi="Verdana"/>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FD" w:rsidRDefault="00F850FD">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rsidR="00F850FD" w:rsidRDefault="00F850FD">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 w:id="1">
    <w:p w:rsidR="004F436C" w:rsidRDefault="004F436C">
      <w:pPr>
        <w:pStyle w:val="FootnoteText"/>
      </w:pPr>
      <w:r>
        <w:rPr>
          <w:rStyle w:val="FootnoteReference"/>
        </w:rPr>
        <w:footnoteRef/>
      </w:r>
      <w:r>
        <w:t xml:space="preserve"> Appendix 1 contains the meeting schedule for Qualifying Bidders during the ITT stage.  This will be updated on a weekly basis. </w:t>
      </w:r>
    </w:p>
    <w:p w:rsidR="004F436C" w:rsidRPr="00B07DC0" w:rsidRDefault="004F436C" w:rsidP="00B07DC0">
      <w:pPr>
        <w:pStyle w:val="FootnoteTextContinue"/>
      </w:pPr>
    </w:p>
  </w:footnote>
  <w:footnote w:id="2">
    <w:p w:rsidR="004F436C" w:rsidRPr="00126BA9" w:rsidRDefault="004F436C" w:rsidP="00126BA9">
      <w:pPr>
        <w:pStyle w:val="FootnoteText"/>
      </w:pPr>
      <w:r w:rsidRPr="00126BA9">
        <w:rPr>
          <w:rStyle w:val="FootnoteReference"/>
        </w:rPr>
        <w:footnoteRef/>
      </w:r>
      <w:r w:rsidRPr="00126BA9">
        <w:t xml:space="preserve"> Formerly the Department for Business, Enterprise and Regulatory Reform (BERR) and the Department for Trade and Industry (DTI)</w:t>
      </w:r>
    </w:p>
  </w:footnote>
  <w:footnote w:id="3">
    <w:p w:rsidR="004F436C" w:rsidRDefault="004F436C">
      <w:pPr>
        <w:pStyle w:val="FootnoteText"/>
      </w:pPr>
      <w:r>
        <w:rPr>
          <w:rStyle w:val="FootnoteReference"/>
        </w:rPr>
        <w:footnoteRef/>
      </w:r>
      <w:r>
        <w:t xml:space="preserve"> Qualifying Bidders should be aware that Ofgem is consulting on the detailed legal drafting of the Special Licence Conditions during the ITT stage of the tender process.  Qualifying Bidders will be contacted separately in this regard. </w:t>
      </w:r>
    </w:p>
  </w:footnote>
  <w:footnote w:id="4">
    <w:p w:rsidR="004F436C" w:rsidRDefault="004F436C">
      <w:pPr>
        <w:pStyle w:val="FootnoteText"/>
      </w:pPr>
      <w:r>
        <w:rPr>
          <w:rStyle w:val="FootnoteReference"/>
        </w:rPr>
        <w:footnoteRef/>
      </w:r>
      <w:r>
        <w:t xml:space="preserve"> Qualifying Bidders shortlisted for </w:t>
      </w:r>
      <w:proofErr w:type="spellStart"/>
      <w:r>
        <w:t>Sheringham</w:t>
      </w:r>
      <w:proofErr w:type="spellEnd"/>
      <w:r>
        <w:t xml:space="preserve"> Shoal should be aware of ongoing discussions with respect to the transfer arrangements.  Further information is set out in the SPA Commentary that is available in the Data Room for this Qualifying Project.</w:t>
      </w:r>
    </w:p>
  </w:footnote>
  <w:footnote w:id="5">
    <w:p w:rsidR="004F436C" w:rsidRDefault="004F436C">
      <w:pPr>
        <w:pStyle w:val="FootnoteText"/>
      </w:pPr>
      <w:r>
        <w:rPr>
          <w:rStyle w:val="FootnoteReference"/>
        </w:rPr>
        <w:footnoteRef/>
      </w:r>
      <w:r>
        <w:t xml:space="preserve"> </w:t>
      </w:r>
      <w:r w:rsidRPr="000A42DC">
        <w:t xml:space="preserve">Qualifying </w:t>
      </w:r>
      <w:r>
        <w:t>Bidders</w:t>
      </w:r>
      <w:r w:rsidRPr="000A42DC">
        <w:t xml:space="preserve"> </w:t>
      </w:r>
      <w:r>
        <w:t xml:space="preserve">shortlisted for Greater </w:t>
      </w:r>
      <w:proofErr w:type="spellStart"/>
      <w:r>
        <w:t>Gabbard</w:t>
      </w:r>
      <w:proofErr w:type="spellEnd"/>
      <w:r>
        <w:t xml:space="preserve"> </w:t>
      </w:r>
      <w:r w:rsidRPr="000A42DC">
        <w:t xml:space="preserve">should be aware of the specific arrangements </w:t>
      </w:r>
      <w:r>
        <w:t xml:space="preserve">for the transfer of the transmission assets.  </w:t>
      </w:r>
      <w:r w:rsidRPr="000A42DC">
        <w:t xml:space="preserve">Further information is </w:t>
      </w:r>
      <w:r>
        <w:t>set out in Appendix 2 and in the SPA Commentary that is available in the Data Room for this Qualifying Project.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6C" w:rsidRPr="00753590" w:rsidRDefault="004F436C" w:rsidP="00A234AD">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6C" w:rsidRDefault="004F43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3AD08E"/>
    <w:lvl w:ilvl="0">
      <w:start w:val="1"/>
      <w:numFmt w:val="bullet"/>
      <w:pStyle w:val="ListBullet"/>
      <w:lvlText w:val=""/>
      <w:lvlJc w:val="left"/>
      <w:pPr>
        <w:tabs>
          <w:tab w:val="num" w:pos="644"/>
        </w:tabs>
        <w:ind w:left="644" w:hanging="360"/>
      </w:pPr>
      <w:rPr>
        <w:rFonts w:ascii="Symbol" w:hAnsi="Symbol" w:hint="default"/>
      </w:rPr>
    </w:lvl>
  </w:abstractNum>
  <w:abstractNum w:abstractNumId="1">
    <w:nsid w:val="FFFFFFFB"/>
    <w:multiLevelType w:val="multilevel"/>
    <w:tmpl w:val="79C8923C"/>
    <w:lvl w:ilvl="0">
      <w:start w:val="1"/>
      <w:numFmt w:val="decimal"/>
      <w:pStyle w:val="Heading1"/>
      <w:lvlText w:val="%1."/>
      <w:lvlJc w:val="left"/>
      <w:pPr>
        <w:tabs>
          <w:tab w:val="num" w:pos="709"/>
        </w:tabs>
        <w:ind w:left="709" w:hanging="709"/>
      </w:pPr>
      <w:rPr>
        <w:rFonts w:hint="default"/>
        <w:b w:val="0"/>
        <w:bCs/>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70"/>
        </w:tabs>
        <w:ind w:left="1570" w:hanging="850"/>
      </w:pPr>
      <w:rPr>
        <w:rFonts w:hint="default"/>
        <w:b w:val="0"/>
        <w:bCs w:val="0"/>
      </w:rPr>
    </w:lvl>
    <w:lvl w:ilvl="3">
      <w:start w:val="1"/>
      <w:numFmt w:val="upperLetter"/>
      <w:pStyle w:val="Heading4"/>
      <w:lvlText w:val="(%4)"/>
      <w:lvlJc w:val="left"/>
      <w:pPr>
        <w:tabs>
          <w:tab w:val="num" w:pos="2694"/>
        </w:tabs>
        <w:ind w:left="2694" w:hanging="709"/>
      </w:pPr>
      <w:rPr>
        <w:rFonts w:ascii="Verdana" w:eastAsia="Batang" w:hAnsi="Verdana" w:cs="Times New Roman"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decimal"/>
      <w:lvlText w:val="%7."/>
      <w:lvlJc w:val="left"/>
      <w:pPr>
        <w:tabs>
          <w:tab w:val="num" w:pos="1134"/>
        </w:tabs>
        <w:ind w:left="1134" w:hanging="708"/>
      </w:pPr>
      <w:rPr>
        <w:rFonts w:ascii="Verdana" w:eastAsia="Times New Roman" w:hAnsi="Verdana" w:cs="Times New Roman"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5653426"/>
    <w:multiLevelType w:val="hybridMultilevel"/>
    <w:tmpl w:val="53844D9A"/>
    <w:lvl w:ilvl="0" w:tplc="1EFC1BEA">
      <w:start w:val="1"/>
      <w:numFmt w:val="upperLetter"/>
      <w:lvlText w:val="(%1)"/>
      <w:lvlJc w:val="left"/>
      <w:pPr>
        <w:ind w:left="1301" w:hanging="45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5F37244"/>
    <w:multiLevelType w:val="hybridMultilevel"/>
    <w:tmpl w:val="1970655E"/>
    <w:lvl w:ilvl="0" w:tplc="1EFC1BEA">
      <w:start w:val="1"/>
      <w:numFmt w:val="upperLetter"/>
      <w:lvlText w:val="(%1)"/>
      <w:lvlJc w:val="left"/>
      <w:pPr>
        <w:ind w:left="1301" w:hanging="450"/>
      </w:pPr>
      <w:rPr>
        <w:rFonts w:hint="default"/>
      </w:rPr>
    </w:lvl>
    <w:lvl w:ilvl="1" w:tplc="08090019">
      <w:start w:val="1"/>
      <w:numFmt w:val="lowerLetter"/>
      <w:lvlText w:val="%2."/>
      <w:lvlJc w:val="left"/>
      <w:pPr>
        <w:ind w:left="1931" w:hanging="360"/>
      </w:pPr>
    </w:lvl>
    <w:lvl w:ilvl="2" w:tplc="4BCC2DC8">
      <w:start w:val="1"/>
      <w:numFmt w:val="lowerRoman"/>
      <w:lvlText w:val="%3)"/>
      <w:lvlJc w:val="left"/>
      <w:pPr>
        <w:ind w:left="3191" w:hanging="72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3B94BF2"/>
    <w:multiLevelType w:val="hybridMultilevel"/>
    <w:tmpl w:val="864EDC0E"/>
    <w:lvl w:ilvl="0" w:tplc="93C2ECAA">
      <w:start w:val="1"/>
      <w:numFmt w:val="upperLetter"/>
      <w:lvlText w:val="(%1)"/>
      <w:lvlJc w:val="left"/>
      <w:pPr>
        <w:ind w:left="2520" w:hanging="360"/>
      </w:pPr>
      <w:rPr>
        <w:rFonts w:ascii="Verdana" w:eastAsia="Batang" w:hAnsi="Verdana" w:cs="Times New Roman"/>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144F5601"/>
    <w:multiLevelType w:val="hybridMultilevel"/>
    <w:tmpl w:val="B23A03A6"/>
    <w:lvl w:ilvl="0" w:tplc="7564FEEC">
      <w:start w:val="1"/>
      <w:numFmt w:val="upperLetter"/>
      <w:lvlText w:val="(%1)"/>
      <w:lvlJc w:val="left"/>
      <w:pPr>
        <w:ind w:left="720" w:hanging="360"/>
      </w:pPr>
      <w:rPr>
        <w:rFonts w:ascii="Verdana" w:eastAsia="Calibri" w:hAnsi="Verdana"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184167"/>
    <w:multiLevelType w:val="hybridMultilevel"/>
    <w:tmpl w:val="99106F42"/>
    <w:lvl w:ilvl="0" w:tplc="9FFABCDA">
      <w:start w:val="1"/>
      <w:numFmt w:val="upperLetter"/>
      <w:lvlText w:val="(%1)"/>
      <w:lvlJc w:val="left"/>
      <w:pPr>
        <w:ind w:left="1830" w:hanging="360"/>
      </w:pPr>
      <w:rPr>
        <w:rFonts w:hint="default"/>
      </w:rPr>
    </w:lvl>
    <w:lvl w:ilvl="1" w:tplc="08090019">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7">
    <w:nsid w:val="1D7C4780"/>
    <w:multiLevelType w:val="hybridMultilevel"/>
    <w:tmpl w:val="5B6CD328"/>
    <w:lvl w:ilvl="0" w:tplc="1EFACDAA">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862DEE"/>
    <w:multiLevelType w:val="hybridMultilevel"/>
    <w:tmpl w:val="323C830A"/>
    <w:lvl w:ilvl="0" w:tplc="08090005">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nsid w:val="1EAB360E"/>
    <w:multiLevelType w:val="hybridMultilevel"/>
    <w:tmpl w:val="262CCDC0"/>
    <w:lvl w:ilvl="0" w:tplc="4128033C">
      <w:start w:val="4"/>
      <w:numFmt w:val="bullet"/>
      <w:lvlText w:val="-"/>
      <w:lvlJc w:val="left"/>
      <w:pPr>
        <w:ind w:left="1930" w:hanging="360"/>
      </w:pPr>
      <w:rPr>
        <w:rFonts w:ascii="Verdana" w:eastAsia="Batang" w:hAnsi="Verdana" w:cs="Times New Roman" w:hint="default"/>
      </w:rPr>
    </w:lvl>
    <w:lvl w:ilvl="1" w:tplc="08090003">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0">
    <w:nsid w:val="21EE6EC4"/>
    <w:multiLevelType w:val="hybridMultilevel"/>
    <w:tmpl w:val="5674125C"/>
    <w:lvl w:ilvl="0" w:tplc="6EDED11C">
      <w:start w:val="5"/>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nsid w:val="22112394"/>
    <w:multiLevelType w:val="hybridMultilevel"/>
    <w:tmpl w:val="9EC69092"/>
    <w:lvl w:ilvl="0" w:tplc="CFAECA88">
      <w:start w:val="1"/>
      <w:numFmt w:val="lowerLetter"/>
      <w:lvlText w:val="%1."/>
      <w:lvlJc w:val="left"/>
      <w:pPr>
        <w:ind w:left="720" w:hanging="360"/>
      </w:pPr>
      <w:rPr>
        <w:rFonts w:ascii="Verdana" w:eastAsia="Calibri" w:hAnsi="Verdana"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2750F02"/>
    <w:multiLevelType w:val="hybridMultilevel"/>
    <w:tmpl w:val="D7FA224C"/>
    <w:lvl w:ilvl="0" w:tplc="445E38A0">
      <w:start w:val="1"/>
      <w:numFmt w:val="upperLetter"/>
      <w:lvlText w:val="(%1)"/>
      <w:lvlJc w:val="left"/>
      <w:pPr>
        <w:ind w:left="1440" w:hanging="360"/>
      </w:pPr>
      <w:rPr>
        <w:rFonts w:ascii="Verdana" w:eastAsia="Calibri" w:hAnsi="Verdana" w:cs="Times New Roman"/>
      </w:rPr>
    </w:lvl>
    <w:lvl w:ilvl="1" w:tplc="08090019" w:tentative="1">
      <w:start w:val="1"/>
      <w:numFmt w:val="bullet"/>
      <w:lvlText w:val="o"/>
      <w:lvlJc w:val="left"/>
      <w:pPr>
        <w:ind w:left="2160" w:hanging="360"/>
      </w:pPr>
      <w:rPr>
        <w:rFonts w:ascii="Courier New" w:hAnsi="Courier New" w:cs="Arial"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Arial"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Arial" w:hint="default"/>
      </w:rPr>
    </w:lvl>
    <w:lvl w:ilvl="8" w:tplc="0809001B" w:tentative="1">
      <w:start w:val="1"/>
      <w:numFmt w:val="bullet"/>
      <w:lvlText w:val=""/>
      <w:lvlJc w:val="left"/>
      <w:pPr>
        <w:ind w:left="7200" w:hanging="360"/>
      </w:pPr>
      <w:rPr>
        <w:rFonts w:ascii="Wingdings" w:hAnsi="Wingdings" w:hint="default"/>
      </w:rPr>
    </w:lvl>
  </w:abstractNum>
  <w:abstractNum w:abstractNumId="13">
    <w:nsid w:val="28AF73D7"/>
    <w:multiLevelType w:val="hybridMultilevel"/>
    <w:tmpl w:val="CA6ACD92"/>
    <w:lvl w:ilvl="0" w:tplc="543CDDFC">
      <w:start w:val="1"/>
      <w:numFmt w:val="upp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BE10D5"/>
    <w:multiLevelType w:val="hybridMultilevel"/>
    <w:tmpl w:val="D40089C4"/>
    <w:lvl w:ilvl="0" w:tplc="78AE49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253A57"/>
    <w:multiLevelType w:val="hybridMultilevel"/>
    <w:tmpl w:val="322E6DC2"/>
    <w:lvl w:ilvl="0" w:tplc="08090005">
      <w:start w:val="1"/>
      <w:numFmt w:val="bullet"/>
      <w:lvlText w:val=""/>
      <w:lvlJc w:val="left"/>
      <w:pPr>
        <w:ind w:left="2290" w:hanging="360"/>
      </w:pPr>
      <w:rPr>
        <w:rFonts w:ascii="Wingdings" w:hAnsi="Wingdings"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6">
    <w:nsid w:val="31DE5B14"/>
    <w:multiLevelType w:val="hybridMultilevel"/>
    <w:tmpl w:val="A0AA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453602"/>
    <w:multiLevelType w:val="hybridMultilevel"/>
    <w:tmpl w:val="AE8C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AA3B93"/>
    <w:multiLevelType w:val="hybridMultilevel"/>
    <w:tmpl w:val="7360B6F2"/>
    <w:lvl w:ilvl="0" w:tplc="37484A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723A19"/>
    <w:multiLevelType w:val="hybridMultilevel"/>
    <w:tmpl w:val="BDA26DCE"/>
    <w:lvl w:ilvl="0" w:tplc="8A5C791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202DE7"/>
    <w:multiLevelType w:val="hybridMultilevel"/>
    <w:tmpl w:val="EBF4B154"/>
    <w:lvl w:ilvl="0" w:tplc="8C3C6A26">
      <w:start w:val="1"/>
      <w:numFmt w:val="upperLetter"/>
      <w:lvlText w:val="(%1)"/>
      <w:lvlJc w:val="left"/>
      <w:pPr>
        <w:ind w:left="720" w:hanging="360"/>
      </w:pPr>
      <w:rPr>
        <w:rFonts w:ascii="Verdana" w:eastAsia="Batang" w:hAnsi="Verdana"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AF3382"/>
    <w:multiLevelType w:val="hybridMultilevel"/>
    <w:tmpl w:val="0E485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BB74EE"/>
    <w:multiLevelType w:val="hybridMultilevel"/>
    <w:tmpl w:val="1E889630"/>
    <w:lvl w:ilvl="0" w:tplc="08090005">
      <w:start w:val="1"/>
      <w:numFmt w:val="bullet"/>
      <w:lvlText w:val=""/>
      <w:lvlJc w:val="left"/>
      <w:pPr>
        <w:ind w:left="2290" w:hanging="360"/>
      </w:pPr>
      <w:rPr>
        <w:rFonts w:ascii="Wingdings" w:hAnsi="Wingdings"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23">
    <w:nsid w:val="3E143F13"/>
    <w:multiLevelType w:val="multilevel"/>
    <w:tmpl w:val="9AE00D96"/>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24">
    <w:nsid w:val="3EA7486D"/>
    <w:multiLevelType w:val="hybridMultilevel"/>
    <w:tmpl w:val="341EEC4C"/>
    <w:lvl w:ilvl="0" w:tplc="AE068724">
      <w:start w:val="1"/>
      <w:numFmt w:val="lowerRoman"/>
      <w:lvlText w:val="(%1)"/>
      <w:lvlJc w:val="left"/>
      <w:pPr>
        <w:ind w:left="1080" w:hanging="360"/>
      </w:pPr>
      <w:rPr>
        <w:rFonts w:ascii="Verdana" w:eastAsia="Calibri" w:hAnsi="Verdana"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0900716"/>
    <w:multiLevelType w:val="hybridMultilevel"/>
    <w:tmpl w:val="1410318A"/>
    <w:lvl w:ilvl="0" w:tplc="1EFACDAA">
      <w:start w:val="4"/>
      <w:numFmt w:val="decimal"/>
      <w:lvlText w:val="%1."/>
      <w:lvlJc w:val="left"/>
      <w:pPr>
        <w:ind w:left="78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6">
    <w:nsid w:val="424F1D13"/>
    <w:multiLevelType w:val="hybridMultilevel"/>
    <w:tmpl w:val="3758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14212B"/>
    <w:multiLevelType w:val="hybridMultilevel"/>
    <w:tmpl w:val="AA4CA074"/>
    <w:lvl w:ilvl="0" w:tplc="68D66D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48867786"/>
    <w:multiLevelType w:val="multilevel"/>
    <w:tmpl w:val="32BE11E6"/>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509"/>
        </w:tabs>
        <w:ind w:left="2509"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514335C"/>
    <w:multiLevelType w:val="hybridMultilevel"/>
    <w:tmpl w:val="A51CA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515489"/>
    <w:multiLevelType w:val="hybridMultilevel"/>
    <w:tmpl w:val="9D622836"/>
    <w:lvl w:ilvl="0" w:tplc="08090019">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1">
    <w:nsid w:val="5630349D"/>
    <w:multiLevelType w:val="hybridMultilevel"/>
    <w:tmpl w:val="314214A6"/>
    <w:lvl w:ilvl="0" w:tplc="3E363016">
      <w:start w:val="1"/>
      <w:numFmt w:val="decimal"/>
      <w:lvlText w:val="%1."/>
      <w:lvlJc w:val="left"/>
      <w:pPr>
        <w:ind w:left="360" w:hanging="360"/>
      </w:pPr>
      <w:rPr>
        <w:rFonts w:ascii="Verdana" w:hAnsi="Verdana" w:cs="Arial" w:hint="default"/>
        <w:b w:val="0"/>
        <w:i w:val="0"/>
        <w:sz w:val="20"/>
        <w:szCs w:val="20"/>
      </w:rPr>
    </w:lvl>
    <w:lvl w:ilvl="1" w:tplc="021EA386">
      <w:start w:val="1"/>
      <w:numFmt w:val="lowerLetter"/>
      <w:lvlText w:val="%2."/>
      <w:lvlJc w:val="left"/>
      <w:pPr>
        <w:ind w:left="1440" w:hanging="360"/>
      </w:pPr>
    </w:lvl>
    <w:lvl w:ilvl="2" w:tplc="EE503D36" w:tentative="1">
      <w:start w:val="1"/>
      <w:numFmt w:val="lowerRoman"/>
      <w:lvlText w:val="%3."/>
      <w:lvlJc w:val="right"/>
      <w:pPr>
        <w:ind w:left="2160" w:hanging="180"/>
      </w:pPr>
    </w:lvl>
    <w:lvl w:ilvl="3" w:tplc="A0EE6478" w:tentative="1">
      <w:start w:val="1"/>
      <w:numFmt w:val="decimal"/>
      <w:lvlText w:val="%4."/>
      <w:lvlJc w:val="left"/>
      <w:pPr>
        <w:ind w:left="2880" w:hanging="360"/>
      </w:pPr>
    </w:lvl>
    <w:lvl w:ilvl="4" w:tplc="B0DC69DE" w:tentative="1">
      <w:start w:val="1"/>
      <w:numFmt w:val="lowerLetter"/>
      <w:lvlText w:val="%5."/>
      <w:lvlJc w:val="left"/>
      <w:pPr>
        <w:ind w:left="3600" w:hanging="360"/>
      </w:pPr>
    </w:lvl>
    <w:lvl w:ilvl="5" w:tplc="0224804A" w:tentative="1">
      <w:start w:val="1"/>
      <w:numFmt w:val="lowerRoman"/>
      <w:lvlText w:val="%6."/>
      <w:lvlJc w:val="right"/>
      <w:pPr>
        <w:ind w:left="4320" w:hanging="180"/>
      </w:pPr>
    </w:lvl>
    <w:lvl w:ilvl="6" w:tplc="034E0E9A" w:tentative="1">
      <w:start w:val="1"/>
      <w:numFmt w:val="decimal"/>
      <w:lvlText w:val="%7."/>
      <w:lvlJc w:val="left"/>
      <w:pPr>
        <w:ind w:left="5040" w:hanging="360"/>
      </w:pPr>
    </w:lvl>
    <w:lvl w:ilvl="7" w:tplc="80BAFE74" w:tentative="1">
      <w:start w:val="1"/>
      <w:numFmt w:val="lowerLetter"/>
      <w:lvlText w:val="%8."/>
      <w:lvlJc w:val="left"/>
      <w:pPr>
        <w:ind w:left="5760" w:hanging="360"/>
      </w:pPr>
    </w:lvl>
    <w:lvl w:ilvl="8" w:tplc="58029886" w:tentative="1">
      <w:start w:val="1"/>
      <w:numFmt w:val="lowerRoman"/>
      <w:lvlText w:val="%9."/>
      <w:lvlJc w:val="right"/>
      <w:pPr>
        <w:ind w:left="6480" w:hanging="180"/>
      </w:pPr>
    </w:lvl>
  </w:abstractNum>
  <w:abstractNum w:abstractNumId="32">
    <w:nsid w:val="56872EBD"/>
    <w:multiLevelType w:val="hybridMultilevel"/>
    <w:tmpl w:val="AFE696D8"/>
    <w:lvl w:ilvl="0" w:tplc="8834DA4A">
      <w:start w:val="1"/>
      <w:numFmt w:val="bullet"/>
      <w:pStyle w:val="StyleBodyTextubricb9ptBefore6ptAfter6p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nsid w:val="57D07F8B"/>
    <w:multiLevelType w:val="hybridMultilevel"/>
    <w:tmpl w:val="3EFA4B54"/>
    <w:lvl w:ilvl="0" w:tplc="1EFC1BEA">
      <w:start w:val="1"/>
      <w:numFmt w:val="upperLetter"/>
      <w:lvlText w:val="(%1)"/>
      <w:lvlJc w:val="left"/>
      <w:pPr>
        <w:ind w:left="1301" w:hanging="450"/>
      </w:pPr>
      <w:rPr>
        <w:rFonts w:hint="default"/>
      </w:rPr>
    </w:lvl>
    <w:lvl w:ilvl="1" w:tplc="08090019">
      <w:start w:val="1"/>
      <w:numFmt w:val="lowerLetter"/>
      <w:lvlText w:val="%2."/>
      <w:lvlJc w:val="left"/>
      <w:pPr>
        <w:ind w:left="1931" w:hanging="360"/>
      </w:pPr>
    </w:lvl>
    <w:lvl w:ilvl="2" w:tplc="4BCC2DC8">
      <w:start w:val="1"/>
      <w:numFmt w:val="lowerRoman"/>
      <w:lvlText w:val="%3)"/>
      <w:lvlJc w:val="left"/>
      <w:pPr>
        <w:ind w:left="3191" w:hanging="720"/>
      </w:pPr>
      <w:rPr>
        <w:rFonts w:hint="default"/>
      </w:rPr>
    </w:lvl>
    <w:lvl w:ilvl="3" w:tplc="259EAC3A">
      <w:start w:val="1"/>
      <w:numFmt w:val="lowerRoman"/>
      <w:lvlText w:val="(%4)"/>
      <w:lvlJc w:val="left"/>
      <w:pPr>
        <w:ind w:left="3731" w:hanging="720"/>
      </w:pPr>
      <w:rPr>
        <w:rFonts w:hint="default"/>
      </w:r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nsid w:val="582975C6"/>
    <w:multiLevelType w:val="hybridMultilevel"/>
    <w:tmpl w:val="0EDED05A"/>
    <w:lvl w:ilvl="0" w:tplc="529219A4">
      <w:start w:val="1"/>
      <w:numFmt w:val="bullet"/>
      <w:pStyle w:val="Text-bulleted"/>
      <w:lvlText w:val=""/>
      <w:lvlJc w:val="left"/>
      <w:pPr>
        <w:tabs>
          <w:tab w:val="num" w:pos="360"/>
        </w:tabs>
        <w:ind w:left="360" w:hanging="360"/>
      </w:pPr>
      <w:rPr>
        <w:rFonts w:ascii="Wingdings" w:hAnsi="Wingdings" w:hint="default"/>
      </w:rPr>
    </w:lvl>
    <w:lvl w:ilvl="1" w:tplc="1CF2E474">
      <w:start w:val="1"/>
      <w:numFmt w:val="bullet"/>
      <w:lvlText w:val="o"/>
      <w:lvlJc w:val="left"/>
      <w:pPr>
        <w:tabs>
          <w:tab w:val="num" w:pos="1080"/>
        </w:tabs>
        <w:ind w:left="1080" w:hanging="360"/>
      </w:pPr>
      <w:rPr>
        <w:rFonts w:ascii="Courier New" w:hAnsi="Courier New" w:cs="Arial" w:hint="default"/>
      </w:rPr>
    </w:lvl>
    <w:lvl w:ilvl="2" w:tplc="EADC9858">
      <w:start w:val="1"/>
      <w:numFmt w:val="bullet"/>
      <w:lvlText w:val=""/>
      <w:lvlJc w:val="left"/>
      <w:pPr>
        <w:tabs>
          <w:tab w:val="num" w:pos="1800"/>
        </w:tabs>
        <w:ind w:left="1800" w:hanging="360"/>
      </w:pPr>
      <w:rPr>
        <w:rFonts w:ascii="Wingdings" w:hAnsi="Wingdings" w:hint="default"/>
      </w:rPr>
    </w:lvl>
    <w:lvl w:ilvl="3" w:tplc="0C28B0F2" w:tentative="1">
      <w:start w:val="1"/>
      <w:numFmt w:val="bullet"/>
      <w:lvlText w:val=""/>
      <w:lvlJc w:val="left"/>
      <w:pPr>
        <w:tabs>
          <w:tab w:val="num" w:pos="2520"/>
        </w:tabs>
        <w:ind w:left="2520" w:hanging="360"/>
      </w:pPr>
      <w:rPr>
        <w:rFonts w:ascii="Symbol" w:hAnsi="Symbol" w:hint="default"/>
      </w:rPr>
    </w:lvl>
    <w:lvl w:ilvl="4" w:tplc="ADFAD20C" w:tentative="1">
      <w:start w:val="1"/>
      <w:numFmt w:val="bullet"/>
      <w:lvlText w:val="o"/>
      <w:lvlJc w:val="left"/>
      <w:pPr>
        <w:tabs>
          <w:tab w:val="num" w:pos="3240"/>
        </w:tabs>
        <w:ind w:left="3240" w:hanging="360"/>
      </w:pPr>
      <w:rPr>
        <w:rFonts w:ascii="Courier New" w:hAnsi="Courier New" w:cs="Arial" w:hint="default"/>
      </w:rPr>
    </w:lvl>
    <w:lvl w:ilvl="5" w:tplc="A9D49CA6" w:tentative="1">
      <w:start w:val="1"/>
      <w:numFmt w:val="bullet"/>
      <w:lvlText w:val=""/>
      <w:lvlJc w:val="left"/>
      <w:pPr>
        <w:tabs>
          <w:tab w:val="num" w:pos="3960"/>
        </w:tabs>
        <w:ind w:left="3960" w:hanging="360"/>
      </w:pPr>
      <w:rPr>
        <w:rFonts w:ascii="Wingdings" w:hAnsi="Wingdings" w:hint="default"/>
      </w:rPr>
    </w:lvl>
    <w:lvl w:ilvl="6" w:tplc="2C5C15D0" w:tentative="1">
      <w:start w:val="1"/>
      <w:numFmt w:val="bullet"/>
      <w:lvlText w:val=""/>
      <w:lvlJc w:val="left"/>
      <w:pPr>
        <w:tabs>
          <w:tab w:val="num" w:pos="4680"/>
        </w:tabs>
        <w:ind w:left="4680" w:hanging="360"/>
      </w:pPr>
      <w:rPr>
        <w:rFonts w:ascii="Symbol" w:hAnsi="Symbol" w:hint="default"/>
      </w:rPr>
    </w:lvl>
    <w:lvl w:ilvl="7" w:tplc="1B701726" w:tentative="1">
      <w:start w:val="1"/>
      <w:numFmt w:val="bullet"/>
      <w:lvlText w:val="o"/>
      <w:lvlJc w:val="left"/>
      <w:pPr>
        <w:tabs>
          <w:tab w:val="num" w:pos="5400"/>
        </w:tabs>
        <w:ind w:left="5400" w:hanging="360"/>
      </w:pPr>
      <w:rPr>
        <w:rFonts w:ascii="Courier New" w:hAnsi="Courier New" w:cs="Arial" w:hint="default"/>
      </w:rPr>
    </w:lvl>
    <w:lvl w:ilvl="8" w:tplc="82B00648" w:tentative="1">
      <w:start w:val="1"/>
      <w:numFmt w:val="bullet"/>
      <w:lvlText w:val=""/>
      <w:lvlJc w:val="left"/>
      <w:pPr>
        <w:tabs>
          <w:tab w:val="num" w:pos="6120"/>
        </w:tabs>
        <w:ind w:left="6120" w:hanging="360"/>
      </w:pPr>
      <w:rPr>
        <w:rFonts w:ascii="Wingdings" w:hAnsi="Wingdings" w:hint="default"/>
      </w:rPr>
    </w:lvl>
  </w:abstractNum>
  <w:abstractNum w:abstractNumId="35">
    <w:nsid w:val="59974DBB"/>
    <w:multiLevelType w:val="hybridMultilevel"/>
    <w:tmpl w:val="056AF7BE"/>
    <w:lvl w:ilvl="0" w:tplc="4128033C">
      <w:start w:val="4"/>
      <w:numFmt w:val="bullet"/>
      <w:lvlText w:val="-"/>
      <w:lvlJc w:val="left"/>
      <w:pPr>
        <w:ind w:left="2650" w:hanging="360"/>
      </w:pPr>
      <w:rPr>
        <w:rFonts w:ascii="Verdana" w:eastAsia="Batang"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9EC6D71"/>
    <w:multiLevelType w:val="hybridMultilevel"/>
    <w:tmpl w:val="56C4184C"/>
    <w:lvl w:ilvl="0" w:tplc="04090001">
      <w:start w:val="1"/>
      <w:numFmt w:val="lowerLetter"/>
      <w:lvlText w:val="(%1)"/>
      <w:lvlJc w:val="left"/>
      <w:pPr>
        <w:tabs>
          <w:tab w:val="num" w:pos="1069"/>
        </w:tabs>
        <w:ind w:left="1069" w:hanging="360"/>
      </w:pPr>
      <w:rPr>
        <w:rFonts w:hint="default"/>
      </w:rPr>
    </w:lvl>
    <w:lvl w:ilvl="1" w:tplc="04090003" w:tentative="1">
      <w:start w:val="1"/>
      <w:numFmt w:val="lowerLetter"/>
      <w:lvlText w:val="%2."/>
      <w:lvlJc w:val="left"/>
      <w:pPr>
        <w:tabs>
          <w:tab w:val="num" w:pos="1789"/>
        </w:tabs>
        <w:ind w:left="1789" w:hanging="360"/>
      </w:pPr>
    </w:lvl>
    <w:lvl w:ilvl="2" w:tplc="04090005" w:tentative="1">
      <w:start w:val="1"/>
      <w:numFmt w:val="lowerRoman"/>
      <w:lvlText w:val="%3."/>
      <w:lvlJc w:val="right"/>
      <w:pPr>
        <w:tabs>
          <w:tab w:val="num" w:pos="2509"/>
        </w:tabs>
        <w:ind w:left="2509" w:hanging="180"/>
      </w:p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abstractNum w:abstractNumId="37">
    <w:nsid w:val="5E0B1585"/>
    <w:multiLevelType w:val="hybridMultilevel"/>
    <w:tmpl w:val="D5C443AE"/>
    <w:lvl w:ilvl="0" w:tplc="08090005">
      <w:start w:val="1"/>
      <w:numFmt w:val="bullet"/>
      <w:lvlText w:val=""/>
      <w:lvlJc w:val="left"/>
      <w:pPr>
        <w:ind w:left="1425" w:hanging="360"/>
      </w:pPr>
      <w:rPr>
        <w:rFonts w:ascii="Wingdings" w:hAnsi="Wingdings" w:hint="default"/>
      </w:rPr>
    </w:lvl>
    <w:lvl w:ilvl="1" w:tplc="04090019" w:tentative="1">
      <w:start w:val="1"/>
      <w:numFmt w:val="bullet"/>
      <w:lvlText w:val="o"/>
      <w:lvlJc w:val="left"/>
      <w:pPr>
        <w:ind w:left="2145" w:hanging="360"/>
      </w:pPr>
      <w:rPr>
        <w:rFonts w:ascii="Courier New" w:hAnsi="Courier New" w:cs="Courier New" w:hint="default"/>
      </w:rPr>
    </w:lvl>
    <w:lvl w:ilvl="2" w:tplc="0409001B" w:tentative="1">
      <w:start w:val="1"/>
      <w:numFmt w:val="bullet"/>
      <w:lvlText w:val=""/>
      <w:lvlJc w:val="left"/>
      <w:pPr>
        <w:ind w:left="2865" w:hanging="360"/>
      </w:pPr>
      <w:rPr>
        <w:rFonts w:ascii="Wingdings" w:hAnsi="Wingdings" w:hint="default"/>
      </w:rPr>
    </w:lvl>
    <w:lvl w:ilvl="3" w:tplc="0409000F" w:tentative="1">
      <w:start w:val="1"/>
      <w:numFmt w:val="bullet"/>
      <w:lvlText w:val=""/>
      <w:lvlJc w:val="left"/>
      <w:pPr>
        <w:ind w:left="3585" w:hanging="360"/>
      </w:pPr>
      <w:rPr>
        <w:rFonts w:ascii="Symbol" w:hAnsi="Symbol" w:hint="default"/>
      </w:rPr>
    </w:lvl>
    <w:lvl w:ilvl="4" w:tplc="04090019" w:tentative="1">
      <w:start w:val="1"/>
      <w:numFmt w:val="bullet"/>
      <w:lvlText w:val="o"/>
      <w:lvlJc w:val="left"/>
      <w:pPr>
        <w:ind w:left="4305" w:hanging="360"/>
      </w:pPr>
      <w:rPr>
        <w:rFonts w:ascii="Courier New" w:hAnsi="Courier New" w:cs="Courier New" w:hint="default"/>
      </w:rPr>
    </w:lvl>
    <w:lvl w:ilvl="5" w:tplc="0409001B" w:tentative="1">
      <w:start w:val="1"/>
      <w:numFmt w:val="bullet"/>
      <w:lvlText w:val=""/>
      <w:lvlJc w:val="left"/>
      <w:pPr>
        <w:ind w:left="5025" w:hanging="360"/>
      </w:pPr>
      <w:rPr>
        <w:rFonts w:ascii="Wingdings" w:hAnsi="Wingdings" w:hint="default"/>
      </w:rPr>
    </w:lvl>
    <w:lvl w:ilvl="6" w:tplc="0409000F" w:tentative="1">
      <w:start w:val="1"/>
      <w:numFmt w:val="bullet"/>
      <w:lvlText w:val=""/>
      <w:lvlJc w:val="left"/>
      <w:pPr>
        <w:ind w:left="5745" w:hanging="360"/>
      </w:pPr>
      <w:rPr>
        <w:rFonts w:ascii="Symbol" w:hAnsi="Symbol" w:hint="default"/>
      </w:rPr>
    </w:lvl>
    <w:lvl w:ilvl="7" w:tplc="04090019" w:tentative="1">
      <w:start w:val="1"/>
      <w:numFmt w:val="bullet"/>
      <w:lvlText w:val="o"/>
      <w:lvlJc w:val="left"/>
      <w:pPr>
        <w:ind w:left="6465" w:hanging="360"/>
      </w:pPr>
      <w:rPr>
        <w:rFonts w:ascii="Courier New" w:hAnsi="Courier New" w:cs="Courier New" w:hint="default"/>
      </w:rPr>
    </w:lvl>
    <w:lvl w:ilvl="8" w:tplc="0409001B" w:tentative="1">
      <w:start w:val="1"/>
      <w:numFmt w:val="bullet"/>
      <w:lvlText w:val=""/>
      <w:lvlJc w:val="left"/>
      <w:pPr>
        <w:ind w:left="7185" w:hanging="360"/>
      </w:pPr>
      <w:rPr>
        <w:rFonts w:ascii="Wingdings" w:hAnsi="Wingdings" w:hint="default"/>
      </w:rPr>
    </w:lvl>
  </w:abstractNum>
  <w:abstractNum w:abstractNumId="38">
    <w:nsid w:val="639D5B8E"/>
    <w:multiLevelType w:val="hybridMultilevel"/>
    <w:tmpl w:val="98C0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F32A4C"/>
    <w:multiLevelType w:val="hybridMultilevel"/>
    <w:tmpl w:val="DC4256F4"/>
    <w:lvl w:ilvl="0" w:tplc="259EAC3A">
      <w:start w:val="1"/>
      <w:numFmt w:val="lowerRoman"/>
      <w:lvlText w:val="(%1)"/>
      <w:lvlJc w:val="left"/>
      <w:pPr>
        <w:ind w:left="373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E49362A"/>
    <w:multiLevelType w:val="hybridMultilevel"/>
    <w:tmpl w:val="83D64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B8423C"/>
    <w:multiLevelType w:val="hybridMultilevel"/>
    <w:tmpl w:val="817037E0"/>
    <w:lvl w:ilvl="0" w:tplc="6EDED1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0C588D"/>
    <w:multiLevelType w:val="hybridMultilevel"/>
    <w:tmpl w:val="429E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416BA"/>
    <w:multiLevelType w:val="hybridMultilevel"/>
    <w:tmpl w:val="53844D9A"/>
    <w:lvl w:ilvl="0" w:tplc="1EFC1BEA">
      <w:start w:val="1"/>
      <w:numFmt w:val="upperLetter"/>
      <w:lvlText w:val="(%1)"/>
      <w:lvlJc w:val="left"/>
      <w:pPr>
        <w:ind w:left="1301" w:hanging="45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nsid w:val="798F30D8"/>
    <w:multiLevelType w:val="multilevel"/>
    <w:tmpl w:val="7B6C7702"/>
    <w:styleLink w:val="ParaNumbering"/>
    <w:lvl w:ilvl="0">
      <w:start w:val="1"/>
      <w:numFmt w:val="decimal"/>
      <w:lvlRestart w:val="0"/>
      <w:lvlText w:val=""/>
      <w:lvlJc w:val="left"/>
      <w:pPr>
        <w:tabs>
          <w:tab w:val="num" w:pos="0"/>
        </w:tabs>
        <w:ind w:left="0" w:firstLine="0"/>
      </w:pPr>
      <w:rPr>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7A001BF2"/>
    <w:multiLevelType w:val="hybridMultilevel"/>
    <w:tmpl w:val="58E23AF8"/>
    <w:lvl w:ilvl="0" w:tplc="36CA53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D80B15"/>
    <w:multiLevelType w:val="hybridMultilevel"/>
    <w:tmpl w:val="9E9C3768"/>
    <w:name w:val="AddNumbering"/>
    <w:lvl w:ilvl="0" w:tplc="380A575C">
      <w:start w:val="1"/>
      <w:numFmt w:val="bullet"/>
      <w:lvlText w:val=""/>
      <w:lvlJc w:val="left"/>
      <w:pPr>
        <w:ind w:left="2160" w:hanging="360"/>
      </w:pPr>
      <w:rPr>
        <w:rFonts w:ascii="Symbol" w:hAnsi="Symbol" w:hint="default"/>
      </w:rPr>
    </w:lvl>
    <w:lvl w:ilvl="1" w:tplc="FBC67C10" w:tentative="1">
      <w:start w:val="1"/>
      <w:numFmt w:val="bullet"/>
      <w:lvlText w:val="o"/>
      <w:lvlJc w:val="left"/>
      <w:pPr>
        <w:ind w:left="2880" w:hanging="360"/>
      </w:pPr>
      <w:rPr>
        <w:rFonts w:ascii="Courier New" w:hAnsi="Courier New" w:cs="Courier New" w:hint="default"/>
      </w:rPr>
    </w:lvl>
    <w:lvl w:ilvl="2" w:tplc="12941A32" w:tentative="1">
      <w:start w:val="1"/>
      <w:numFmt w:val="bullet"/>
      <w:lvlText w:val=""/>
      <w:lvlJc w:val="left"/>
      <w:pPr>
        <w:ind w:left="3600" w:hanging="360"/>
      </w:pPr>
      <w:rPr>
        <w:rFonts w:ascii="Wingdings" w:hAnsi="Wingdings" w:hint="default"/>
      </w:rPr>
    </w:lvl>
    <w:lvl w:ilvl="3" w:tplc="546AE1D2" w:tentative="1">
      <w:start w:val="1"/>
      <w:numFmt w:val="bullet"/>
      <w:lvlText w:val=""/>
      <w:lvlJc w:val="left"/>
      <w:pPr>
        <w:ind w:left="4320" w:hanging="360"/>
      </w:pPr>
      <w:rPr>
        <w:rFonts w:ascii="Symbol" w:hAnsi="Symbol" w:hint="default"/>
      </w:rPr>
    </w:lvl>
    <w:lvl w:ilvl="4" w:tplc="D312E12E" w:tentative="1">
      <w:start w:val="1"/>
      <w:numFmt w:val="bullet"/>
      <w:lvlText w:val="o"/>
      <w:lvlJc w:val="left"/>
      <w:pPr>
        <w:ind w:left="5040" w:hanging="360"/>
      </w:pPr>
      <w:rPr>
        <w:rFonts w:ascii="Courier New" w:hAnsi="Courier New" w:cs="Courier New" w:hint="default"/>
      </w:rPr>
    </w:lvl>
    <w:lvl w:ilvl="5" w:tplc="522CC9BA" w:tentative="1">
      <w:start w:val="1"/>
      <w:numFmt w:val="bullet"/>
      <w:lvlText w:val=""/>
      <w:lvlJc w:val="left"/>
      <w:pPr>
        <w:ind w:left="5760" w:hanging="360"/>
      </w:pPr>
      <w:rPr>
        <w:rFonts w:ascii="Wingdings" w:hAnsi="Wingdings" w:hint="default"/>
      </w:rPr>
    </w:lvl>
    <w:lvl w:ilvl="6" w:tplc="941C9830" w:tentative="1">
      <w:start w:val="1"/>
      <w:numFmt w:val="bullet"/>
      <w:lvlText w:val=""/>
      <w:lvlJc w:val="left"/>
      <w:pPr>
        <w:ind w:left="6480" w:hanging="360"/>
      </w:pPr>
      <w:rPr>
        <w:rFonts w:ascii="Symbol" w:hAnsi="Symbol" w:hint="default"/>
      </w:rPr>
    </w:lvl>
    <w:lvl w:ilvl="7" w:tplc="0DF0F618" w:tentative="1">
      <w:start w:val="1"/>
      <w:numFmt w:val="bullet"/>
      <w:lvlText w:val="o"/>
      <w:lvlJc w:val="left"/>
      <w:pPr>
        <w:ind w:left="7200" w:hanging="360"/>
      </w:pPr>
      <w:rPr>
        <w:rFonts w:ascii="Courier New" w:hAnsi="Courier New" w:cs="Courier New" w:hint="default"/>
      </w:rPr>
    </w:lvl>
    <w:lvl w:ilvl="8" w:tplc="80A0FFEE" w:tentative="1">
      <w:start w:val="1"/>
      <w:numFmt w:val="bullet"/>
      <w:lvlText w:val=""/>
      <w:lvlJc w:val="left"/>
      <w:pPr>
        <w:ind w:left="7920" w:hanging="360"/>
      </w:pPr>
      <w:rPr>
        <w:rFonts w:ascii="Wingdings" w:hAnsi="Wingdings" w:hint="default"/>
      </w:rPr>
    </w:lvl>
  </w:abstractNum>
  <w:abstractNum w:abstractNumId="48">
    <w:nsid w:val="7E1251BB"/>
    <w:multiLevelType w:val="hybridMultilevel"/>
    <w:tmpl w:val="69D4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0"/>
  </w:num>
  <w:num w:numId="4">
    <w:abstractNumId w:val="40"/>
  </w:num>
  <w:num w:numId="5">
    <w:abstractNumId w:val="34"/>
  </w:num>
  <w:num w:numId="6">
    <w:abstractNumId w:val="28"/>
  </w:num>
  <w:num w:numId="7">
    <w:abstractNumId w:val="23"/>
  </w:num>
  <w:num w:numId="8">
    <w:abstractNumId w:val="36"/>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9"/>
  </w:num>
  <w:num w:numId="13">
    <w:abstractNumId w:val="4"/>
  </w:num>
  <w:num w:numId="14">
    <w:abstractNumId w:val="31"/>
  </w:num>
  <w:num w:numId="15">
    <w:abstractNumId w:val="5"/>
  </w:num>
  <w:num w:numId="16">
    <w:abstractNumId w:val="26"/>
  </w:num>
  <w:num w:numId="17">
    <w:abstractNumId w:val="48"/>
  </w:num>
  <w:num w:numId="18">
    <w:abstractNumId w:val="17"/>
  </w:num>
  <w:num w:numId="19">
    <w:abstractNumId w:val="43"/>
  </w:num>
  <w:num w:numId="20">
    <w:abstractNumId w:val="38"/>
  </w:num>
  <w:num w:numId="21">
    <w:abstractNumId w:val="20"/>
  </w:num>
  <w:num w:numId="22">
    <w:abstractNumId w:val="24"/>
  </w:num>
  <w:num w:numId="23">
    <w:abstractNumId w:val="8"/>
  </w:num>
  <w:num w:numId="24">
    <w:abstractNumId w:val="37"/>
  </w:num>
  <w:num w:numId="25">
    <w:abstractNumId w:val="19"/>
  </w:num>
  <w:num w:numId="26">
    <w:abstractNumId w:val="1"/>
    <w:lvlOverride w:ilvl="0">
      <w:startOverride w:val="1"/>
    </w:lvlOverride>
    <w:lvlOverride w:ilvl="1">
      <w:startOverride w:val="1"/>
    </w:lvlOverride>
    <w:lvlOverride w:ilvl="2">
      <w:startOverride w:val="1"/>
    </w:lvlOverride>
    <w:lvlOverride w:ilvl="3">
      <w:startOverride w:val="1"/>
    </w:lvlOverride>
  </w:num>
  <w:num w:numId="27">
    <w:abstractNumId w:val="21"/>
  </w:num>
  <w:num w:numId="28">
    <w:abstractNumId w:val="3"/>
  </w:num>
  <w:num w:numId="29">
    <w:abstractNumId w:val="41"/>
  </w:num>
  <w:num w:numId="30">
    <w:abstractNumId w:val="14"/>
  </w:num>
  <w:num w:numId="31">
    <w:abstractNumId w:val="16"/>
  </w:num>
  <w:num w:numId="32">
    <w:abstractNumId w:val="29"/>
  </w:num>
  <w:num w:numId="33">
    <w:abstractNumId w:val="30"/>
  </w:num>
  <w:num w:numId="34">
    <w:abstractNumId w:val="44"/>
  </w:num>
  <w:num w:numId="35">
    <w:abstractNumId w:val="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3"/>
  </w:num>
  <w:num w:numId="39">
    <w:abstractNumId w:val="33"/>
  </w:num>
  <w:num w:numId="40">
    <w:abstractNumId w:val="35"/>
  </w:num>
  <w:num w:numId="41">
    <w:abstractNumId w:val="22"/>
  </w:num>
  <w:num w:numId="42">
    <w:abstractNumId w:val="15"/>
  </w:num>
  <w:num w:numId="43">
    <w:abstractNumId w:val="27"/>
  </w:num>
  <w:num w:numId="44">
    <w:abstractNumId w:val="46"/>
  </w:num>
  <w:num w:numId="45">
    <w:abstractNumId w:val="6"/>
  </w:num>
  <w:num w:numId="46">
    <w:abstractNumId w:val="39"/>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num>
  <w:num w:numId="50">
    <w:abstractNumId w:val="1"/>
  </w:num>
  <w:num w:numId="51">
    <w:abstractNumId w:val="1"/>
    <w:lvlOverride w:ilvl="0">
      <w:startOverride w:val="9"/>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52">
    <w:abstractNumId w:val="42"/>
  </w:num>
  <w:num w:numId="53">
    <w:abstractNumId w:val="10"/>
  </w:num>
  <w:num w:numId="54">
    <w:abstractNumId w:val="25"/>
  </w:num>
  <w:num w:numId="55">
    <w:abstractNumId w:val="7"/>
  </w:num>
  <w:num w:numId="56">
    <w:abstractNumId w:val="1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F01"/>
  <w:stylePaneSortMethod w:val="0000"/>
  <w:defaultTabStop w:val="720"/>
  <w:noPunctuationKerning/>
  <w:characterSpacingControl w:val="doNotCompress"/>
  <w:hdrShapeDefaults>
    <o:shapedefaults v:ext="edit" spidmax="10242"/>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9C8"/>
    <w:rsid w:val="000011B5"/>
    <w:rsid w:val="00005A54"/>
    <w:rsid w:val="00007198"/>
    <w:rsid w:val="00011746"/>
    <w:rsid w:val="00023A3A"/>
    <w:rsid w:val="0002409F"/>
    <w:rsid w:val="00030777"/>
    <w:rsid w:val="000353E0"/>
    <w:rsid w:val="00036F16"/>
    <w:rsid w:val="00043E5C"/>
    <w:rsid w:val="00047ABD"/>
    <w:rsid w:val="00052454"/>
    <w:rsid w:val="00057EFA"/>
    <w:rsid w:val="00061797"/>
    <w:rsid w:val="0006237E"/>
    <w:rsid w:val="00067DCA"/>
    <w:rsid w:val="000713B2"/>
    <w:rsid w:val="000727AC"/>
    <w:rsid w:val="000778EC"/>
    <w:rsid w:val="00080C8B"/>
    <w:rsid w:val="00082A6B"/>
    <w:rsid w:val="00087662"/>
    <w:rsid w:val="000956F9"/>
    <w:rsid w:val="0009594B"/>
    <w:rsid w:val="0009635A"/>
    <w:rsid w:val="00097133"/>
    <w:rsid w:val="00097410"/>
    <w:rsid w:val="000B113B"/>
    <w:rsid w:val="000B3108"/>
    <w:rsid w:val="000B5FE4"/>
    <w:rsid w:val="000B702A"/>
    <w:rsid w:val="000C28F4"/>
    <w:rsid w:val="000C5D5C"/>
    <w:rsid w:val="000D013F"/>
    <w:rsid w:val="000D54A1"/>
    <w:rsid w:val="000D59E0"/>
    <w:rsid w:val="000D787D"/>
    <w:rsid w:val="000D7D00"/>
    <w:rsid w:val="000E5B0C"/>
    <w:rsid w:val="000F08F4"/>
    <w:rsid w:val="0010318D"/>
    <w:rsid w:val="00106628"/>
    <w:rsid w:val="00110467"/>
    <w:rsid w:val="00112457"/>
    <w:rsid w:val="00126BA9"/>
    <w:rsid w:val="00133B3C"/>
    <w:rsid w:val="0014578D"/>
    <w:rsid w:val="00146E97"/>
    <w:rsid w:val="0015454F"/>
    <w:rsid w:val="00154E25"/>
    <w:rsid w:val="00157320"/>
    <w:rsid w:val="00165EC8"/>
    <w:rsid w:val="00166B65"/>
    <w:rsid w:val="00167ECC"/>
    <w:rsid w:val="00174759"/>
    <w:rsid w:val="00175290"/>
    <w:rsid w:val="00184396"/>
    <w:rsid w:val="0018484A"/>
    <w:rsid w:val="001944D9"/>
    <w:rsid w:val="00195B9D"/>
    <w:rsid w:val="001969C8"/>
    <w:rsid w:val="00197607"/>
    <w:rsid w:val="001A0D45"/>
    <w:rsid w:val="001A3291"/>
    <w:rsid w:val="001A46CF"/>
    <w:rsid w:val="001A52FC"/>
    <w:rsid w:val="001B1103"/>
    <w:rsid w:val="001B2BBC"/>
    <w:rsid w:val="001B6B99"/>
    <w:rsid w:val="001C4F4A"/>
    <w:rsid w:val="001D299D"/>
    <w:rsid w:val="001D37B1"/>
    <w:rsid w:val="001D5E03"/>
    <w:rsid w:val="001D6DDE"/>
    <w:rsid w:val="001D731E"/>
    <w:rsid w:val="001E40DC"/>
    <w:rsid w:val="001E4F3D"/>
    <w:rsid w:val="001E6127"/>
    <w:rsid w:val="001E7439"/>
    <w:rsid w:val="001F1040"/>
    <w:rsid w:val="001F24B4"/>
    <w:rsid w:val="00220692"/>
    <w:rsid w:val="00220E32"/>
    <w:rsid w:val="00223553"/>
    <w:rsid w:val="00223CA1"/>
    <w:rsid w:val="00230992"/>
    <w:rsid w:val="002319B5"/>
    <w:rsid w:val="002367E5"/>
    <w:rsid w:val="00237207"/>
    <w:rsid w:val="00252190"/>
    <w:rsid w:val="0025390E"/>
    <w:rsid w:val="002562CD"/>
    <w:rsid w:val="00270D4E"/>
    <w:rsid w:val="00272A04"/>
    <w:rsid w:val="002760E2"/>
    <w:rsid w:val="00277C2D"/>
    <w:rsid w:val="00283DBA"/>
    <w:rsid w:val="00286EA6"/>
    <w:rsid w:val="002946B6"/>
    <w:rsid w:val="002A0ED5"/>
    <w:rsid w:val="002A4B22"/>
    <w:rsid w:val="002A792E"/>
    <w:rsid w:val="002C14E9"/>
    <w:rsid w:val="002C5ADA"/>
    <w:rsid w:val="002C66C8"/>
    <w:rsid w:val="002D1C88"/>
    <w:rsid w:val="002F330E"/>
    <w:rsid w:val="002F3617"/>
    <w:rsid w:val="002F7CDA"/>
    <w:rsid w:val="00300364"/>
    <w:rsid w:val="003045E9"/>
    <w:rsid w:val="00312778"/>
    <w:rsid w:val="003144AD"/>
    <w:rsid w:val="003156AF"/>
    <w:rsid w:val="00320A8C"/>
    <w:rsid w:val="00334514"/>
    <w:rsid w:val="00342AA0"/>
    <w:rsid w:val="00351954"/>
    <w:rsid w:val="00360706"/>
    <w:rsid w:val="00363638"/>
    <w:rsid w:val="0036530C"/>
    <w:rsid w:val="003711E3"/>
    <w:rsid w:val="00376141"/>
    <w:rsid w:val="003847A5"/>
    <w:rsid w:val="003A0123"/>
    <w:rsid w:val="003B0CBC"/>
    <w:rsid w:val="003B17AA"/>
    <w:rsid w:val="003B1FE7"/>
    <w:rsid w:val="003B24CB"/>
    <w:rsid w:val="003B27D3"/>
    <w:rsid w:val="003B5FB7"/>
    <w:rsid w:val="003C3A7F"/>
    <w:rsid w:val="003C5189"/>
    <w:rsid w:val="003C5661"/>
    <w:rsid w:val="003C6989"/>
    <w:rsid w:val="003C6A9B"/>
    <w:rsid w:val="003D086F"/>
    <w:rsid w:val="003E10F3"/>
    <w:rsid w:val="003E6D86"/>
    <w:rsid w:val="003F01A1"/>
    <w:rsid w:val="003F0F7D"/>
    <w:rsid w:val="003F44B1"/>
    <w:rsid w:val="00402BA6"/>
    <w:rsid w:val="0041405A"/>
    <w:rsid w:val="004153AB"/>
    <w:rsid w:val="004157B8"/>
    <w:rsid w:val="00421348"/>
    <w:rsid w:val="00427405"/>
    <w:rsid w:val="00433BA5"/>
    <w:rsid w:val="00434EC0"/>
    <w:rsid w:val="0044038D"/>
    <w:rsid w:val="004460DE"/>
    <w:rsid w:val="00451DF8"/>
    <w:rsid w:val="004555B8"/>
    <w:rsid w:val="0045665A"/>
    <w:rsid w:val="0045760E"/>
    <w:rsid w:val="00457D05"/>
    <w:rsid w:val="00467FE0"/>
    <w:rsid w:val="0047253A"/>
    <w:rsid w:val="00487F99"/>
    <w:rsid w:val="00494339"/>
    <w:rsid w:val="0049653F"/>
    <w:rsid w:val="004974BB"/>
    <w:rsid w:val="004B298B"/>
    <w:rsid w:val="004B4382"/>
    <w:rsid w:val="004B5FB7"/>
    <w:rsid w:val="004C0DD0"/>
    <w:rsid w:val="004C5B2E"/>
    <w:rsid w:val="004C5EE8"/>
    <w:rsid w:val="004D086A"/>
    <w:rsid w:val="004D2036"/>
    <w:rsid w:val="004D2C65"/>
    <w:rsid w:val="004D73BE"/>
    <w:rsid w:val="004E190B"/>
    <w:rsid w:val="004F436C"/>
    <w:rsid w:val="004F6736"/>
    <w:rsid w:val="00500676"/>
    <w:rsid w:val="005006CF"/>
    <w:rsid w:val="0050165F"/>
    <w:rsid w:val="005022E0"/>
    <w:rsid w:val="00565675"/>
    <w:rsid w:val="0056570C"/>
    <w:rsid w:val="00566E40"/>
    <w:rsid w:val="0057051A"/>
    <w:rsid w:val="00570A4C"/>
    <w:rsid w:val="00577774"/>
    <w:rsid w:val="0058199C"/>
    <w:rsid w:val="0058207F"/>
    <w:rsid w:val="00586100"/>
    <w:rsid w:val="00594815"/>
    <w:rsid w:val="005A1C10"/>
    <w:rsid w:val="005A3C00"/>
    <w:rsid w:val="005A43CE"/>
    <w:rsid w:val="005B0A0A"/>
    <w:rsid w:val="005B31D6"/>
    <w:rsid w:val="005B39E8"/>
    <w:rsid w:val="005B66B2"/>
    <w:rsid w:val="005C236C"/>
    <w:rsid w:val="005C335D"/>
    <w:rsid w:val="005C572A"/>
    <w:rsid w:val="005C689A"/>
    <w:rsid w:val="005D205F"/>
    <w:rsid w:val="005D687B"/>
    <w:rsid w:val="005D689B"/>
    <w:rsid w:val="005E18F5"/>
    <w:rsid w:val="005F22B0"/>
    <w:rsid w:val="005F2571"/>
    <w:rsid w:val="005F3BB6"/>
    <w:rsid w:val="005F5ACC"/>
    <w:rsid w:val="00631D6E"/>
    <w:rsid w:val="006335D6"/>
    <w:rsid w:val="0063700B"/>
    <w:rsid w:val="006426DB"/>
    <w:rsid w:val="00652E0E"/>
    <w:rsid w:val="006610C6"/>
    <w:rsid w:val="00662AF9"/>
    <w:rsid w:val="00674409"/>
    <w:rsid w:val="00682A3B"/>
    <w:rsid w:val="00686D99"/>
    <w:rsid w:val="00687493"/>
    <w:rsid w:val="00687E95"/>
    <w:rsid w:val="00691CE4"/>
    <w:rsid w:val="00692EE6"/>
    <w:rsid w:val="00695747"/>
    <w:rsid w:val="00696BB0"/>
    <w:rsid w:val="00697F41"/>
    <w:rsid w:val="006A4950"/>
    <w:rsid w:val="006B60C0"/>
    <w:rsid w:val="006C1FAB"/>
    <w:rsid w:val="006C2B9C"/>
    <w:rsid w:val="006C469F"/>
    <w:rsid w:val="006D5443"/>
    <w:rsid w:val="006D55DD"/>
    <w:rsid w:val="006E2556"/>
    <w:rsid w:val="006E5E11"/>
    <w:rsid w:val="006F78C9"/>
    <w:rsid w:val="0070082A"/>
    <w:rsid w:val="0071113A"/>
    <w:rsid w:val="00711AC6"/>
    <w:rsid w:val="0071200F"/>
    <w:rsid w:val="0071622C"/>
    <w:rsid w:val="00723E05"/>
    <w:rsid w:val="0072460A"/>
    <w:rsid w:val="0072603E"/>
    <w:rsid w:val="00733EA7"/>
    <w:rsid w:val="00741E9E"/>
    <w:rsid w:val="00746816"/>
    <w:rsid w:val="007506AB"/>
    <w:rsid w:val="00753F20"/>
    <w:rsid w:val="0075540C"/>
    <w:rsid w:val="00756C67"/>
    <w:rsid w:val="00756CA6"/>
    <w:rsid w:val="00757832"/>
    <w:rsid w:val="00761695"/>
    <w:rsid w:val="00761926"/>
    <w:rsid w:val="0076561E"/>
    <w:rsid w:val="0076720D"/>
    <w:rsid w:val="00773F06"/>
    <w:rsid w:val="007740F0"/>
    <w:rsid w:val="00775AE5"/>
    <w:rsid w:val="00780875"/>
    <w:rsid w:val="00782A00"/>
    <w:rsid w:val="00784C3F"/>
    <w:rsid w:val="00793FB9"/>
    <w:rsid w:val="00794CF7"/>
    <w:rsid w:val="007A4DE0"/>
    <w:rsid w:val="007B0B00"/>
    <w:rsid w:val="007B3E55"/>
    <w:rsid w:val="007B5F66"/>
    <w:rsid w:val="007C20D9"/>
    <w:rsid w:val="007C37A6"/>
    <w:rsid w:val="007D1133"/>
    <w:rsid w:val="007D2D57"/>
    <w:rsid w:val="007D6414"/>
    <w:rsid w:val="007D71E1"/>
    <w:rsid w:val="007E3C98"/>
    <w:rsid w:val="007E6DE0"/>
    <w:rsid w:val="007F0A4E"/>
    <w:rsid w:val="00814BB7"/>
    <w:rsid w:val="008166E8"/>
    <w:rsid w:val="00820AFF"/>
    <w:rsid w:val="00821E08"/>
    <w:rsid w:val="00821E0C"/>
    <w:rsid w:val="00833DB0"/>
    <w:rsid w:val="0083604C"/>
    <w:rsid w:val="00852DEE"/>
    <w:rsid w:val="00870AFC"/>
    <w:rsid w:val="00873652"/>
    <w:rsid w:val="008736E0"/>
    <w:rsid w:val="00882943"/>
    <w:rsid w:val="00882E9B"/>
    <w:rsid w:val="00893875"/>
    <w:rsid w:val="008A2CAE"/>
    <w:rsid w:val="008A3160"/>
    <w:rsid w:val="008A3650"/>
    <w:rsid w:val="008A3A3A"/>
    <w:rsid w:val="008B039D"/>
    <w:rsid w:val="008B2D9D"/>
    <w:rsid w:val="008B3761"/>
    <w:rsid w:val="008B44DD"/>
    <w:rsid w:val="008B4BCC"/>
    <w:rsid w:val="008B5D8D"/>
    <w:rsid w:val="008C5048"/>
    <w:rsid w:val="008D0D10"/>
    <w:rsid w:val="008D5578"/>
    <w:rsid w:val="008E3E41"/>
    <w:rsid w:val="008E5492"/>
    <w:rsid w:val="008E5C5D"/>
    <w:rsid w:val="008E7262"/>
    <w:rsid w:val="008F1CB4"/>
    <w:rsid w:val="008F36F5"/>
    <w:rsid w:val="008F62A8"/>
    <w:rsid w:val="0090403C"/>
    <w:rsid w:val="00907194"/>
    <w:rsid w:val="00912720"/>
    <w:rsid w:val="009143EB"/>
    <w:rsid w:val="00920E44"/>
    <w:rsid w:val="00925F3E"/>
    <w:rsid w:val="0093166A"/>
    <w:rsid w:val="00935D26"/>
    <w:rsid w:val="00942AA5"/>
    <w:rsid w:val="00943E29"/>
    <w:rsid w:val="00951AA0"/>
    <w:rsid w:val="00957300"/>
    <w:rsid w:val="00961DF6"/>
    <w:rsid w:val="0097335F"/>
    <w:rsid w:val="00976056"/>
    <w:rsid w:val="00982303"/>
    <w:rsid w:val="009953FD"/>
    <w:rsid w:val="009A4651"/>
    <w:rsid w:val="009B4984"/>
    <w:rsid w:val="009B6766"/>
    <w:rsid w:val="009B794C"/>
    <w:rsid w:val="009C113F"/>
    <w:rsid w:val="009C16AF"/>
    <w:rsid w:val="009C3A37"/>
    <w:rsid w:val="009C3C0F"/>
    <w:rsid w:val="009C4060"/>
    <w:rsid w:val="009C49AA"/>
    <w:rsid w:val="009D11DA"/>
    <w:rsid w:val="009D124E"/>
    <w:rsid w:val="009D5C7D"/>
    <w:rsid w:val="009D7CF0"/>
    <w:rsid w:val="009E1D5C"/>
    <w:rsid w:val="009F3829"/>
    <w:rsid w:val="009F77A1"/>
    <w:rsid w:val="00A00243"/>
    <w:rsid w:val="00A025AC"/>
    <w:rsid w:val="00A05AB7"/>
    <w:rsid w:val="00A0648C"/>
    <w:rsid w:val="00A1054F"/>
    <w:rsid w:val="00A2085A"/>
    <w:rsid w:val="00A234AD"/>
    <w:rsid w:val="00A24BB4"/>
    <w:rsid w:val="00A360C6"/>
    <w:rsid w:val="00A46181"/>
    <w:rsid w:val="00A46743"/>
    <w:rsid w:val="00A558B0"/>
    <w:rsid w:val="00A57281"/>
    <w:rsid w:val="00A61DD5"/>
    <w:rsid w:val="00A63796"/>
    <w:rsid w:val="00A723DE"/>
    <w:rsid w:val="00A73441"/>
    <w:rsid w:val="00A73495"/>
    <w:rsid w:val="00A906FB"/>
    <w:rsid w:val="00A90DFF"/>
    <w:rsid w:val="00A9131B"/>
    <w:rsid w:val="00A92476"/>
    <w:rsid w:val="00A97D08"/>
    <w:rsid w:val="00AA079C"/>
    <w:rsid w:val="00AA14F8"/>
    <w:rsid w:val="00AB0EC5"/>
    <w:rsid w:val="00AB2C2F"/>
    <w:rsid w:val="00AC49AA"/>
    <w:rsid w:val="00AD0FB1"/>
    <w:rsid w:val="00AD223C"/>
    <w:rsid w:val="00AD33D5"/>
    <w:rsid w:val="00AD6569"/>
    <w:rsid w:val="00AD6D64"/>
    <w:rsid w:val="00AE0746"/>
    <w:rsid w:val="00AE6854"/>
    <w:rsid w:val="00AF376C"/>
    <w:rsid w:val="00AF5B0B"/>
    <w:rsid w:val="00B01A34"/>
    <w:rsid w:val="00B06943"/>
    <w:rsid w:val="00B077DA"/>
    <w:rsid w:val="00B07DC0"/>
    <w:rsid w:val="00B13D2D"/>
    <w:rsid w:val="00B13FB8"/>
    <w:rsid w:val="00B156B4"/>
    <w:rsid w:val="00B22D16"/>
    <w:rsid w:val="00B24F59"/>
    <w:rsid w:val="00B324E8"/>
    <w:rsid w:val="00B42C9B"/>
    <w:rsid w:val="00B45DFD"/>
    <w:rsid w:val="00B47D87"/>
    <w:rsid w:val="00B47EB7"/>
    <w:rsid w:val="00B633EC"/>
    <w:rsid w:val="00B63556"/>
    <w:rsid w:val="00B74F13"/>
    <w:rsid w:val="00B76124"/>
    <w:rsid w:val="00B8114A"/>
    <w:rsid w:val="00B870EF"/>
    <w:rsid w:val="00B8770B"/>
    <w:rsid w:val="00B87E55"/>
    <w:rsid w:val="00B9203D"/>
    <w:rsid w:val="00B92674"/>
    <w:rsid w:val="00B97509"/>
    <w:rsid w:val="00BA0206"/>
    <w:rsid w:val="00BA1C9E"/>
    <w:rsid w:val="00BB7527"/>
    <w:rsid w:val="00BC1FAD"/>
    <w:rsid w:val="00BD3E8D"/>
    <w:rsid w:val="00BD4654"/>
    <w:rsid w:val="00BE0A3D"/>
    <w:rsid w:val="00BE375C"/>
    <w:rsid w:val="00BF65A5"/>
    <w:rsid w:val="00C00132"/>
    <w:rsid w:val="00C03689"/>
    <w:rsid w:val="00C0462C"/>
    <w:rsid w:val="00C1140E"/>
    <w:rsid w:val="00C12F12"/>
    <w:rsid w:val="00C13D9A"/>
    <w:rsid w:val="00C15EB0"/>
    <w:rsid w:val="00C255C1"/>
    <w:rsid w:val="00C33FAA"/>
    <w:rsid w:val="00C73EAB"/>
    <w:rsid w:val="00C84FF4"/>
    <w:rsid w:val="00C868D0"/>
    <w:rsid w:val="00C9192C"/>
    <w:rsid w:val="00CA062F"/>
    <w:rsid w:val="00CA11A6"/>
    <w:rsid w:val="00CA1D64"/>
    <w:rsid w:val="00CA1D9F"/>
    <w:rsid w:val="00CA55BA"/>
    <w:rsid w:val="00CB29DD"/>
    <w:rsid w:val="00CB3D99"/>
    <w:rsid w:val="00CB4432"/>
    <w:rsid w:val="00CB4D1D"/>
    <w:rsid w:val="00CB59A6"/>
    <w:rsid w:val="00CC25AC"/>
    <w:rsid w:val="00CC38A7"/>
    <w:rsid w:val="00CC4272"/>
    <w:rsid w:val="00CC4D64"/>
    <w:rsid w:val="00CC513B"/>
    <w:rsid w:val="00CC53BD"/>
    <w:rsid w:val="00CC6897"/>
    <w:rsid w:val="00CC6F53"/>
    <w:rsid w:val="00CD22B3"/>
    <w:rsid w:val="00CE6266"/>
    <w:rsid w:val="00CF0487"/>
    <w:rsid w:val="00CF60EB"/>
    <w:rsid w:val="00D03BD2"/>
    <w:rsid w:val="00D05816"/>
    <w:rsid w:val="00D05E3B"/>
    <w:rsid w:val="00D07E5B"/>
    <w:rsid w:val="00D11B50"/>
    <w:rsid w:val="00D129AC"/>
    <w:rsid w:val="00D15E2F"/>
    <w:rsid w:val="00D23032"/>
    <w:rsid w:val="00D23A58"/>
    <w:rsid w:val="00D31DB1"/>
    <w:rsid w:val="00D32F47"/>
    <w:rsid w:val="00D356C6"/>
    <w:rsid w:val="00D3711B"/>
    <w:rsid w:val="00D40834"/>
    <w:rsid w:val="00D43FD2"/>
    <w:rsid w:val="00D50A14"/>
    <w:rsid w:val="00D6693C"/>
    <w:rsid w:val="00D70665"/>
    <w:rsid w:val="00D706CE"/>
    <w:rsid w:val="00D737B1"/>
    <w:rsid w:val="00D74666"/>
    <w:rsid w:val="00D751F3"/>
    <w:rsid w:val="00D84248"/>
    <w:rsid w:val="00D85C0D"/>
    <w:rsid w:val="00D926BA"/>
    <w:rsid w:val="00D92902"/>
    <w:rsid w:val="00D94708"/>
    <w:rsid w:val="00D97FA1"/>
    <w:rsid w:val="00DA2290"/>
    <w:rsid w:val="00DB0168"/>
    <w:rsid w:val="00DB2DB9"/>
    <w:rsid w:val="00DB44A0"/>
    <w:rsid w:val="00DC03AF"/>
    <w:rsid w:val="00DC46AB"/>
    <w:rsid w:val="00DD1F89"/>
    <w:rsid w:val="00DD4211"/>
    <w:rsid w:val="00DD60BA"/>
    <w:rsid w:val="00DE1838"/>
    <w:rsid w:val="00DE1A62"/>
    <w:rsid w:val="00DE3618"/>
    <w:rsid w:val="00DE4ADB"/>
    <w:rsid w:val="00DE5880"/>
    <w:rsid w:val="00DE5AC2"/>
    <w:rsid w:val="00DF7F04"/>
    <w:rsid w:val="00E00BE5"/>
    <w:rsid w:val="00E041B4"/>
    <w:rsid w:val="00E07A85"/>
    <w:rsid w:val="00E101F0"/>
    <w:rsid w:val="00E11FA1"/>
    <w:rsid w:val="00E12BDC"/>
    <w:rsid w:val="00E175B6"/>
    <w:rsid w:val="00E44557"/>
    <w:rsid w:val="00E46743"/>
    <w:rsid w:val="00E47ED7"/>
    <w:rsid w:val="00E543A6"/>
    <w:rsid w:val="00E56B46"/>
    <w:rsid w:val="00E56E21"/>
    <w:rsid w:val="00E5757B"/>
    <w:rsid w:val="00E61ABE"/>
    <w:rsid w:val="00E6691A"/>
    <w:rsid w:val="00E7525D"/>
    <w:rsid w:val="00E76177"/>
    <w:rsid w:val="00E92601"/>
    <w:rsid w:val="00E934D7"/>
    <w:rsid w:val="00E95388"/>
    <w:rsid w:val="00EA336D"/>
    <w:rsid w:val="00EB2CA8"/>
    <w:rsid w:val="00EB5C6B"/>
    <w:rsid w:val="00EB641A"/>
    <w:rsid w:val="00EC322C"/>
    <w:rsid w:val="00ED0392"/>
    <w:rsid w:val="00ED1E98"/>
    <w:rsid w:val="00ED3872"/>
    <w:rsid w:val="00ED4CF9"/>
    <w:rsid w:val="00ED570B"/>
    <w:rsid w:val="00EE1C44"/>
    <w:rsid w:val="00EE290F"/>
    <w:rsid w:val="00EE3FDC"/>
    <w:rsid w:val="00EE6D40"/>
    <w:rsid w:val="00F02C00"/>
    <w:rsid w:val="00F24C6A"/>
    <w:rsid w:val="00F25AB6"/>
    <w:rsid w:val="00F25BE9"/>
    <w:rsid w:val="00F26876"/>
    <w:rsid w:val="00F41231"/>
    <w:rsid w:val="00F50B7E"/>
    <w:rsid w:val="00F635FB"/>
    <w:rsid w:val="00F649C8"/>
    <w:rsid w:val="00F702BE"/>
    <w:rsid w:val="00F75BC2"/>
    <w:rsid w:val="00F804F8"/>
    <w:rsid w:val="00F850FD"/>
    <w:rsid w:val="00F856F6"/>
    <w:rsid w:val="00F86E9C"/>
    <w:rsid w:val="00F87384"/>
    <w:rsid w:val="00F9311B"/>
    <w:rsid w:val="00F940EA"/>
    <w:rsid w:val="00F9432E"/>
    <w:rsid w:val="00FA2823"/>
    <w:rsid w:val="00FB62F7"/>
    <w:rsid w:val="00FC0C51"/>
    <w:rsid w:val="00FC11D4"/>
    <w:rsid w:val="00FC27F6"/>
    <w:rsid w:val="00FD1A8E"/>
    <w:rsid w:val="00FD26FF"/>
    <w:rsid w:val="00FD5905"/>
    <w:rsid w:val="00FE0E1C"/>
    <w:rsid w:val="00FE3E93"/>
    <w:rsid w:val="00FE634F"/>
    <w:rsid w:val="00FF2520"/>
    <w:rsid w:val="00FF3986"/>
  </w:rsids>
  <m:mathPr>
    <m:mathFont m:val="Cambria Math"/>
    <m:brkBin m:val="before"/>
    <m:brkBinSub m:val="--"/>
    <m:smallFrac m:val="off"/>
    <m:dispDef m:val="off"/>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E86426"/>
    <w:pPr>
      <w:tabs>
        <w:tab w:val="left" w:pos="709"/>
        <w:tab w:val="left" w:pos="1559"/>
        <w:tab w:val="left" w:pos="2268"/>
        <w:tab w:val="left" w:pos="2977"/>
        <w:tab w:val="left" w:pos="3686"/>
        <w:tab w:val="left" w:pos="4394"/>
        <w:tab w:val="right" w:pos="8789"/>
      </w:tabs>
      <w:spacing w:line="260" w:lineRule="atLeast"/>
      <w:jc w:val="both"/>
    </w:pPr>
    <w:rPr>
      <w:sz w:val="22"/>
      <w:lang w:eastAsia="ko-KR"/>
    </w:rPr>
  </w:style>
  <w:style w:type="paragraph" w:styleId="Heading1">
    <w:name w:val="heading 1"/>
    <w:basedOn w:val="Normal"/>
    <w:next w:val="BodyText"/>
    <w:link w:val="Heading1Char"/>
    <w:qFormat/>
    <w:rsid w:val="00F02C00"/>
    <w:pPr>
      <w:keepNext/>
      <w:numPr>
        <w:numId w:val="37"/>
      </w:numPr>
      <w:spacing w:before="200" w:after="100"/>
      <w:outlineLvl w:val="0"/>
    </w:pPr>
    <w:rPr>
      <w:b/>
      <w:caps/>
    </w:rPr>
  </w:style>
  <w:style w:type="paragraph" w:styleId="Heading2">
    <w:name w:val="heading 2"/>
    <w:basedOn w:val="Normal"/>
    <w:next w:val="BodyText"/>
    <w:link w:val="Heading2Char"/>
    <w:qFormat/>
    <w:rsid w:val="00F02C00"/>
    <w:pPr>
      <w:keepNext/>
      <w:numPr>
        <w:ilvl w:val="1"/>
        <w:numId w:val="37"/>
      </w:numPr>
      <w:spacing w:before="100" w:after="100"/>
      <w:outlineLvl w:val="1"/>
    </w:pPr>
    <w:rPr>
      <w:b/>
    </w:rPr>
  </w:style>
  <w:style w:type="paragraph" w:styleId="Heading3">
    <w:name w:val="heading 3"/>
    <w:basedOn w:val="Normal"/>
    <w:next w:val="BodyText"/>
    <w:qFormat/>
    <w:rsid w:val="00F02C00"/>
    <w:pPr>
      <w:numPr>
        <w:ilvl w:val="2"/>
        <w:numId w:val="37"/>
      </w:numPr>
      <w:tabs>
        <w:tab w:val="clear" w:pos="709"/>
      </w:tabs>
      <w:spacing w:before="100" w:after="100"/>
      <w:outlineLvl w:val="2"/>
    </w:pPr>
  </w:style>
  <w:style w:type="paragraph" w:styleId="Heading4">
    <w:name w:val="heading 4"/>
    <w:basedOn w:val="Normal"/>
    <w:next w:val="BodyText"/>
    <w:link w:val="Heading4Char"/>
    <w:qFormat/>
    <w:rsid w:val="00F02C00"/>
    <w:pPr>
      <w:numPr>
        <w:ilvl w:val="3"/>
        <w:numId w:val="37"/>
      </w:numPr>
      <w:tabs>
        <w:tab w:val="clear" w:pos="709"/>
        <w:tab w:val="clear" w:pos="1559"/>
      </w:tabs>
      <w:spacing w:before="100" w:after="100"/>
      <w:outlineLvl w:val="3"/>
    </w:pPr>
  </w:style>
  <w:style w:type="paragraph" w:styleId="Heading5">
    <w:name w:val="heading 5"/>
    <w:basedOn w:val="Normal"/>
    <w:next w:val="BodyText"/>
    <w:link w:val="Heading5Char"/>
    <w:qFormat/>
    <w:rsid w:val="00F02C00"/>
    <w:pPr>
      <w:numPr>
        <w:ilvl w:val="4"/>
        <w:numId w:val="37"/>
      </w:numPr>
      <w:tabs>
        <w:tab w:val="clear" w:pos="709"/>
        <w:tab w:val="clear" w:pos="1559"/>
        <w:tab w:val="clear" w:pos="2268"/>
        <w:tab w:val="clear" w:pos="3686"/>
      </w:tabs>
      <w:spacing w:before="100" w:after="100"/>
      <w:outlineLvl w:val="4"/>
    </w:pPr>
  </w:style>
  <w:style w:type="paragraph" w:styleId="Heading6">
    <w:name w:val="heading 6"/>
    <w:basedOn w:val="Normal"/>
    <w:next w:val="BodyText"/>
    <w:qFormat/>
    <w:rsid w:val="00F02C00"/>
    <w:pPr>
      <w:numPr>
        <w:ilvl w:val="5"/>
        <w:numId w:val="37"/>
      </w:numPr>
      <w:tabs>
        <w:tab w:val="clear" w:pos="709"/>
        <w:tab w:val="clear" w:pos="1559"/>
        <w:tab w:val="clear" w:pos="2268"/>
        <w:tab w:val="clear" w:pos="2977"/>
      </w:tabs>
      <w:spacing w:before="100" w:after="100"/>
      <w:outlineLvl w:val="5"/>
    </w:pPr>
  </w:style>
  <w:style w:type="paragraph" w:styleId="Heading7">
    <w:name w:val="heading 7"/>
    <w:basedOn w:val="Normal"/>
    <w:next w:val="BodyText"/>
    <w:qFormat/>
    <w:rsid w:val="00F02C00"/>
    <w:pPr>
      <w:tabs>
        <w:tab w:val="clear" w:pos="709"/>
        <w:tab w:val="clear" w:pos="1559"/>
        <w:tab w:val="clear" w:pos="2268"/>
        <w:tab w:val="clear" w:pos="2977"/>
        <w:tab w:val="clear" w:pos="3686"/>
      </w:tabs>
      <w:spacing w:before="100" w:after="100"/>
      <w:outlineLvl w:val="6"/>
    </w:pPr>
  </w:style>
  <w:style w:type="paragraph" w:styleId="Heading8">
    <w:name w:val="heading 8"/>
    <w:basedOn w:val="Normal"/>
    <w:next w:val="Normal"/>
    <w:qFormat/>
    <w:rsid w:val="00F02C00"/>
    <w:pPr>
      <w:spacing w:before="100" w:after="100"/>
      <w:outlineLvl w:val="7"/>
    </w:pPr>
    <w:rPr>
      <w:iCs/>
      <w:szCs w:val="24"/>
    </w:rPr>
  </w:style>
  <w:style w:type="paragraph" w:styleId="Heading9">
    <w:name w:val="heading 9"/>
    <w:basedOn w:val="Normal"/>
    <w:next w:val="Normal"/>
    <w:qFormat/>
    <w:rsid w:val="00F02C00"/>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2D55"/>
    <w:pPr>
      <w:spacing w:before="100" w:after="100"/>
    </w:pPr>
  </w:style>
  <w:style w:type="paragraph" w:customStyle="1" w:styleId="Alpha">
    <w:name w:val="Alpha"/>
    <w:basedOn w:val="Normal"/>
    <w:next w:val="BodyText"/>
    <w:rsid w:val="00FE2D55"/>
    <w:pPr>
      <w:spacing w:before="100" w:after="100"/>
      <w:ind w:left="709" w:hanging="709"/>
    </w:pPr>
    <w:rPr>
      <w:rFonts w:eastAsia="Times New Roman"/>
      <w:lang w:eastAsia="en-US"/>
    </w:rPr>
  </w:style>
  <w:style w:type="paragraph" w:customStyle="1" w:styleId="AlphaBrackets">
    <w:name w:val="AlphaBrackets"/>
    <w:basedOn w:val="BodyText"/>
    <w:next w:val="BodyText"/>
    <w:rsid w:val="00FE2D55"/>
    <w:pPr>
      <w:ind w:left="709" w:hanging="709"/>
    </w:pPr>
    <w:rPr>
      <w:rFonts w:eastAsia="Times New Roman"/>
      <w:lang w:eastAsia="en-US"/>
    </w:rPr>
  </w:style>
  <w:style w:type="paragraph" w:styleId="Footer">
    <w:name w:val="footer"/>
    <w:basedOn w:val="Normal"/>
    <w:link w:val="FooterChar"/>
    <w:uiPriority w:val="99"/>
    <w:rsid w:val="00F02C00"/>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Numeric">
    <w:name w:val="Numeric"/>
    <w:basedOn w:val="BodyText"/>
    <w:next w:val="BodyText"/>
    <w:rsid w:val="00F02C00"/>
    <w:pPr>
      <w:ind w:left="709" w:hanging="709"/>
    </w:pPr>
    <w:rPr>
      <w:rFonts w:eastAsia="Times New Roman"/>
      <w:lang w:eastAsia="en-US"/>
    </w:rPr>
  </w:style>
  <w:style w:type="paragraph" w:customStyle="1" w:styleId="NumericBrackets">
    <w:name w:val="NumericBrackets"/>
    <w:basedOn w:val="BodyText"/>
    <w:next w:val="BodyText"/>
    <w:rsid w:val="00F02C00"/>
    <w:pPr>
      <w:ind w:left="709" w:hanging="709"/>
    </w:pPr>
    <w:rPr>
      <w:rFonts w:eastAsia="Times New Roman"/>
      <w:lang w:eastAsia="en-US"/>
    </w:rPr>
  </w:style>
  <w:style w:type="paragraph" w:customStyle="1" w:styleId="ScheduleHeading1">
    <w:name w:val="Schedule Heading 1"/>
    <w:basedOn w:val="BodyText"/>
    <w:next w:val="BodyText"/>
    <w:rsid w:val="00F02C00"/>
    <w:pPr>
      <w:keepNext/>
      <w:numPr>
        <w:numId w:val="6"/>
      </w:numPr>
      <w:spacing w:before="200"/>
    </w:pPr>
    <w:rPr>
      <w:b/>
      <w:caps/>
    </w:rPr>
  </w:style>
  <w:style w:type="paragraph" w:customStyle="1" w:styleId="ScheduleHeading2">
    <w:name w:val="Schedule Heading 2"/>
    <w:basedOn w:val="BodyText"/>
    <w:next w:val="BodyText"/>
    <w:rsid w:val="00F02C00"/>
    <w:pPr>
      <w:keepNext/>
      <w:numPr>
        <w:ilvl w:val="1"/>
        <w:numId w:val="6"/>
      </w:numPr>
    </w:pPr>
    <w:rPr>
      <w:b/>
    </w:rPr>
  </w:style>
  <w:style w:type="paragraph" w:customStyle="1" w:styleId="ScheduleHeading3">
    <w:name w:val="Schedule Heading 3"/>
    <w:basedOn w:val="BodyText"/>
    <w:next w:val="BodyText"/>
    <w:link w:val="ScheduleHeading3Char"/>
    <w:rsid w:val="00F02C00"/>
    <w:pPr>
      <w:numPr>
        <w:ilvl w:val="2"/>
        <w:numId w:val="6"/>
      </w:numPr>
      <w:tabs>
        <w:tab w:val="clear" w:pos="709"/>
      </w:tabs>
    </w:pPr>
  </w:style>
  <w:style w:type="paragraph" w:styleId="TOC1">
    <w:name w:val="toc 1"/>
    <w:basedOn w:val="BodyText"/>
    <w:next w:val="BodyText"/>
    <w:uiPriority w:val="39"/>
    <w:qFormat/>
    <w:rsid w:val="00FE2D55"/>
    <w:pPr>
      <w:tabs>
        <w:tab w:val="clear" w:pos="709"/>
        <w:tab w:val="clear" w:pos="1559"/>
        <w:tab w:val="clear" w:pos="2268"/>
        <w:tab w:val="clear" w:pos="2977"/>
        <w:tab w:val="clear" w:pos="3686"/>
        <w:tab w:val="clear" w:pos="4394"/>
        <w:tab w:val="left" w:pos="1134"/>
        <w:tab w:val="right" w:leader="dot" w:pos="8789"/>
      </w:tabs>
      <w:spacing w:line="240" w:lineRule="auto"/>
      <w:ind w:left="1134" w:right="992" w:hanging="1134"/>
    </w:pPr>
    <w:rPr>
      <w:caps/>
    </w:rPr>
  </w:style>
  <w:style w:type="paragraph" w:styleId="TOC2">
    <w:name w:val="toc 2"/>
    <w:basedOn w:val="BodyText"/>
    <w:next w:val="BodyText"/>
    <w:uiPriority w:val="39"/>
    <w:qFormat/>
    <w:rsid w:val="00FE2D55"/>
    <w:pPr>
      <w:tabs>
        <w:tab w:val="clear" w:pos="709"/>
        <w:tab w:val="clear" w:pos="1559"/>
        <w:tab w:val="clear" w:pos="2268"/>
        <w:tab w:val="clear" w:pos="2977"/>
        <w:tab w:val="clear" w:pos="3686"/>
        <w:tab w:val="clear" w:pos="4394"/>
        <w:tab w:val="left" w:leader="dot" w:pos="1701"/>
        <w:tab w:val="right" w:leader="dot" w:pos="8789"/>
      </w:tabs>
      <w:spacing w:before="0" w:after="0" w:line="240" w:lineRule="auto"/>
      <w:ind w:left="1134" w:right="992" w:hanging="1134"/>
    </w:pPr>
    <w:rPr>
      <w:noProof/>
    </w:rPr>
  </w:style>
  <w:style w:type="paragraph" w:styleId="TOC3">
    <w:name w:val="toc 3"/>
    <w:basedOn w:val="BodyText"/>
    <w:next w:val="BodyText"/>
    <w:uiPriority w:val="39"/>
    <w:qFormat/>
    <w:rsid w:val="00FE2D55"/>
    <w:pPr>
      <w:tabs>
        <w:tab w:val="clear" w:pos="709"/>
        <w:tab w:val="clear" w:pos="1559"/>
        <w:tab w:val="clear" w:pos="2268"/>
        <w:tab w:val="clear" w:pos="2977"/>
        <w:tab w:val="clear" w:pos="3686"/>
        <w:tab w:val="clear" w:pos="4394"/>
        <w:tab w:val="left" w:pos="1134"/>
        <w:tab w:val="right" w:leader="dot" w:pos="8789"/>
      </w:tabs>
      <w:adjustRightInd w:val="0"/>
      <w:spacing w:before="0" w:after="0" w:line="240" w:lineRule="auto"/>
      <w:ind w:left="1985" w:right="992" w:hanging="851"/>
    </w:pPr>
  </w:style>
  <w:style w:type="paragraph" w:styleId="TOC4">
    <w:name w:val="toc 4"/>
    <w:basedOn w:val="BodyText"/>
    <w:next w:val="BodyText"/>
    <w:uiPriority w:val="39"/>
    <w:rsid w:val="00FE2D55"/>
    <w:pPr>
      <w:tabs>
        <w:tab w:val="clear" w:pos="709"/>
        <w:tab w:val="clear" w:pos="1559"/>
        <w:tab w:val="clear" w:pos="2268"/>
        <w:tab w:val="clear" w:pos="2977"/>
        <w:tab w:val="clear" w:pos="3686"/>
        <w:tab w:val="clear" w:pos="4394"/>
        <w:tab w:val="right" w:leader="dot" w:pos="8789"/>
      </w:tabs>
      <w:spacing w:before="0" w:after="0" w:line="240" w:lineRule="auto"/>
      <w:ind w:left="851" w:right="992"/>
    </w:pPr>
  </w:style>
  <w:style w:type="paragraph" w:styleId="TOC6">
    <w:name w:val="toc 6"/>
    <w:basedOn w:val="Normal"/>
    <w:next w:val="Normal"/>
    <w:uiPriority w:val="39"/>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7">
    <w:name w:val="toc 7"/>
    <w:basedOn w:val="Normal"/>
    <w:next w:val="Normal"/>
    <w:uiPriority w:val="39"/>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8">
    <w:name w:val="toc 8"/>
    <w:basedOn w:val="Normal"/>
    <w:next w:val="Normal"/>
    <w:uiPriority w:val="39"/>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9">
    <w:name w:val="toc 9"/>
    <w:basedOn w:val="Normal"/>
    <w:next w:val="Normal"/>
    <w:uiPriority w:val="39"/>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ScheduleHeading4">
    <w:name w:val="Schedule Heading 4"/>
    <w:basedOn w:val="BodyText"/>
    <w:next w:val="BodyText"/>
    <w:link w:val="ScheduleHeading4Char"/>
    <w:rsid w:val="00F02C00"/>
    <w:pPr>
      <w:numPr>
        <w:ilvl w:val="3"/>
        <w:numId w:val="6"/>
      </w:numPr>
      <w:tabs>
        <w:tab w:val="clear" w:pos="709"/>
        <w:tab w:val="clear" w:pos="1559"/>
        <w:tab w:val="clear" w:pos="2268"/>
      </w:tabs>
    </w:pPr>
  </w:style>
  <w:style w:type="character" w:styleId="FootnoteReference">
    <w:name w:val="footnote reference"/>
    <w:basedOn w:val="DefaultParagraphFont"/>
    <w:semiHidden/>
    <w:rsid w:val="00666034"/>
    <w:rPr>
      <w:vertAlign w:val="superscript"/>
    </w:rPr>
  </w:style>
  <w:style w:type="paragraph" w:customStyle="1" w:styleId="ScheduleHeading5">
    <w:name w:val="Schedule Heading 5"/>
    <w:basedOn w:val="BodyText"/>
    <w:next w:val="BodyText"/>
    <w:rsid w:val="00F02C00"/>
    <w:pPr>
      <w:numPr>
        <w:ilvl w:val="4"/>
        <w:numId w:val="6"/>
      </w:numPr>
      <w:tabs>
        <w:tab w:val="clear" w:pos="709"/>
        <w:tab w:val="clear" w:pos="1559"/>
        <w:tab w:val="clear" w:pos="2268"/>
      </w:tabs>
    </w:pPr>
  </w:style>
  <w:style w:type="paragraph" w:styleId="BlockText">
    <w:name w:val="Block Text"/>
    <w:basedOn w:val="Normal"/>
    <w:rsid w:val="00F02C00"/>
    <w:pPr>
      <w:spacing w:after="120"/>
      <w:ind w:left="1440" w:right="1440"/>
    </w:pPr>
  </w:style>
  <w:style w:type="paragraph" w:customStyle="1" w:styleId="ScheduleHeading6">
    <w:name w:val="Schedule Heading 6"/>
    <w:basedOn w:val="BodyText"/>
    <w:next w:val="BodyText"/>
    <w:rsid w:val="00F02C00"/>
    <w:pPr>
      <w:numPr>
        <w:ilvl w:val="5"/>
        <w:numId w:val="6"/>
      </w:numPr>
      <w:tabs>
        <w:tab w:val="clear" w:pos="709"/>
        <w:tab w:val="clear" w:pos="1559"/>
        <w:tab w:val="clear" w:pos="2268"/>
        <w:tab w:val="clear" w:pos="2977"/>
      </w:tabs>
    </w:pPr>
  </w:style>
  <w:style w:type="paragraph" w:customStyle="1" w:styleId="ScheduleHeading7">
    <w:name w:val="Schedule Heading 7"/>
    <w:basedOn w:val="BodyText"/>
    <w:next w:val="BodyText"/>
    <w:rsid w:val="00F02C00"/>
    <w:pPr>
      <w:numPr>
        <w:ilvl w:val="6"/>
        <w:numId w:val="6"/>
      </w:numPr>
      <w:tabs>
        <w:tab w:val="clear" w:pos="709"/>
        <w:tab w:val="clear" w:pos="1559"/>
        <w:tab w:val="clear" w:pos="2268"/>
        <w:tab w:val="clear" w:pos="2977"/>
        <w:tab w:val="clear" w:pos="3686"/>
      </w:tabs>
    </w:pPr>
  </w:style>
  <w:style w:type="paragraph" w:styleId="FootnoteText">
    <w:name w:val="footnote text"/>
    <w:aliases w:val="Car"/>
    <w:basedOn w:val="Normal"/>
    <w:next w:val="FootnoteTextContinue"/>
    <w:link w:val="FootnoteTextChar"/>
    <w:autoRedefine/>
    <w:rsid w:val="00126BA9"/>
    <w:pPr>
      <w:tabs>
        <w:tab w:val="clear" w:pos="709"/>
        <w:tab w:val="clear" w:pos="1559"/>
        <w:tab w:val="clear" w:pos="2268"/>
        <w:tab w:val="clear" w:pos="2977"/>
        <w:tab w:val="clear" w:pos="3686"/>
        <w:tab w:val="clear" w:pos="4394"/>
        <w:tab w:val="clear" w:pos="8789"/>
      </w:tabs>
      <w:spacing w:line="240" w:lineRule="auto"/>
      <w:ind w:left="119" w:hanging="119"/>
      <w:jc w:val="left"/>
    </w:pPr>
    <w:rPr>
      <w:rFonts w:ascii="Verdana" w:hAnsi="Verdana"/>
      <w:sz w:val="16"/>
      <w:szCs w:val="16"/>
    </w:rPr>
  </w:style>
  <w:style w:type="paragraph" w:customStyle="1" w:styleId="FootnoteTextContinue">
    <w:name w:val="Footnote Text Continue"/>
    <w:basedOn w:val="Normal"/>
    <w:autoRedefine/>
    <w:rsid w:val="008724AF"/>
    <w:pPr>
      <w:tabs>
        <w:tab w:val="clear" w:pos="709"/>
        <w:tab w:val="clear" w:pos="1559"/>
        <w:tab w:val="clear" w:pos="2268"/>
        <w:tab w:val="clear" w:pos="2977"/>
        <w:tab w:val="clear" w:pos="3686"/>
        <w:tab w:val="clear" w:pos="4394"/>
        <w:tab w:val="clear" w:pos="8789"/>
      </w:tabs>
      <w:spacing w:line="240" w:lineRule="auto"/>
      <w:ind w:left="119"/>
      <w:jc w:val="left"/>
    </w:pPr>
    <w:rPr>
      <w:sz w:val="20"/>
    </w:rPr>
  </w:style>
  <w:style w:type="paragraph" w:styleId="Header">
    <w:name w:val="header"/>
    <w:basedOn w:val="Normal"/>
    <w:link w:val="HeaderChar"/>
    <w:uiPriority w:val="99"/>
    <w:rsid w:val="00F41464"/>
    <w:pPr>
      <w:tabs>
        <w:tab w:val="clear" w:pos="709"/>
        <w:tab w:val="clear" w:pos="1559"/>
        <w:tab w:val="clear" w:pos="2268"/>
        <w:tab w:val="clear" w:pos="2977"/>
        <w:tab w:val="clear" w:pos="3686"/>
        <w:tab w:val="clear" w:pos="4394"/>
        <w:tab w:val="clear" w:pos="8789"/>
        <w:tab w:val="center" w:pos="4153"/>
        <w:tab w:val="right" w:pos="8306"/>
      </w:tabs>
    </w:pPr>
  </w:style>
  <w:style w:type="character" w:customStyle="1" w:styleId="BodyTextChar">
    <w:name w:val="Body Text Char"/>
    <w:basedOn w:val="DefaultParagraphFont"/>
    <w:link w:val="BodyText"/>
    <w:locked/>
    <w:rsid w:val="005E1B74"/>
    <w:rPr>
      <w:rFonts w:eastAsia="Batang"/>
      <w:sz w:val="22"/>
      <w:lang w:val="en-GB" w:eastAsia="ko-KR" w:bidi="ar-SA"/>
    </w:rPr>
  </w:style>
  <w:style w:type="table" w:styleId="TableGrid">
    <w:name w:val="Table Grid"/>
    <w:basedOn w:val="TableNormal"/>
    <w:rsid w:val="005E1B74"/>
    <w:pPr>
      <w:tabs>
        <w:tab w:val="left" w:pos="709"/>
        <w:tab w:val="left" w:pos="1559"/>
        <w:tab w:val="left" w:pos="2268"/>
        <w:tab w:val="left" w:pos="2977"/>
        <w:tab w:val="left" w:pos="3686"/>
        <w:tab w:val="left" w:pos="4394"/>
        <w:tab w:val="right" w:pos="8789"/>
      </w:tabs>
      <w:spacing w:line="2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ubricb9ptBefore6ptAfter6pt">
    <w:name w:val="Style Body Textubricb + 9 pt Before:  6 pt After:  6 pt"/>
    <w:basedOn w:val="Normal"/>
    <w:rsid w:val="005E1B74"/>
    <w:pPr>
      <w:numPr>
        <w:numId w:val="2"/>
      </w:numPr>
    </w:pPr>
  </w:style>
  <w:style w:type="character" w:customStyle="1" w:styleId="Heading4Char">
    <w:name w:val="Heading 4 Char"/>
    <w:basedOn w:val="DefaultParagraphFont"/>
    <w:link w:val="Heading4"/>
    <w:rsid w:val="00E86600"/>
    <w:rPr>
      <w:sz w:val="22"/>
      <w:lang w:eastAsia="ko-KR"/>
    </w:rPr>
  </w:style>
  <w:style w:type="character" w:customStyle="1" w:styleId="Heading5Char">
    <w:name w:val="Heading 5 Char"/>
    <w:basedOn w:val="DefaultParagraphFont"/>
    <w:link w:val="Heading5"/>
    <w:rsid w:val="00E86600"/>
    <w:rPr>
      <w:sz w:val="22"/>
      <w:lang w:eastAsia="ko-KR"/>
    </w:rPr>
  </w:style>
  <w:style w:type="character" w:styleId="Hyperlink">
    <w:name w:val="Hyperlink"/>
    <w:basedOn w:val="DefaultParagraphFont"/>
    <w:uiPriority w:val="99"/>
    <w:rsid w:val="004B6105"/>
    <w:rPr>
      <w:color w:val="0000FF"/>
      <w:u w:val="single"/>
    </w:rPr>
  </w:style>
  <w:style w:type="character" w:customStyle="1" w:styleId="legdslegrhslegp3text">
    <w:name w:val="legds legrhs legp3text"/>
    <w:basedOn w:val="DefaultParagraphFont"/>
    <w:rsid w:val="004C15A7"/>
  </w:style>
  <w:style w:type="paragraph" w:styleId="ListBullet">
    <w:name w:val="List Bullet"/>
    <w:basedOn w:val="Normal"/>
    <w:rsid w:val="00102761"/>
    <w:pPr>
      <w:numPr>
        <w:numId w:val="3"/>
      </w:numPr>
      <w:tabs>
        <w:tab w:val="clear" w:pos="709"/>
        <w:tab w:val="clear" w:pos="1559"/>
        <w:tab w:val="clear" w:pos="2268"/>
        <w:tab w:val="clear" w:pos="2977"/>
        <w:tab w:val="clear" w:pos="3686"/>
        <w:tab w:val="clear" w:pos="4394"/>
        <w:tab w:val="clear" w:pos="8789"/>
      </w:tabs>
      <w:spacing w:line="240" w:lineRule="auto"/>
      <w:jc w:val="left"/>
    </w:pPr>
    <w:rPr>
      <w:rFonts w:ascii="Verdana" w:eastAsia="Times New Roman" w:hAnsi="Verdana" w:cs="Arial"/>
      <w:sz w:val="20"/>
      <w:szCs w:val="22"/>
      <w:lang w:eastAsia="en-GB"/>
    </w:rPr>
  </w:style>
  <w:style w:type="paragraph" w:customStyle="1" w:styleId="Paragrapgh">
    <w:name w:val="Paragrapgh"/>
    <w:basedOn w:val="Normal"/>
    <w:qFormat/>
    <w:rsid w:val="00102761"/>
    <w:pPr>
      <w:tabs>
        <w:tab w:val="clear" w:pos="709"/>
        <w:tab w:val="clear" w:pos="1559"/>
        <w:tab w:val="clear" w:pos="2268"/>
        <w:tab w:val="clear" w:pos="2977"/>
        <w:tab w:val="clear" w:pos="3686"/>
        <w:tab w:val="clear" w:pos="4394"/>
        <w:tab w:val="clear" w:pos="8789"/>
      </w:tabs>
      <w:spacing w:before="360" w:after="360" w:line="240" w:lineRule="auto"/>
      <w:jc w:val="left"/>
    </w:pPr>
    <w:rPr>
      <w:rFonts w:ascii="Verdana" w:eastAsia="Times New Roman" w:hAnsi="Verdana"/>
      <w:sz w:val="20"/>
      <w:lang w:eastAsia="en-US"/>
    </w:rPr>
  </w:style>
  <w:style w:type="character" w:customStyle="1" w:styleId="FootnoteTextChar">
    <w:name w:val="Footnote Text Char"/>
    <w:aliases w:val="Car Char"/>
    <w:basedOn w:val="DefaultParagraphFont"/>
    <w:link w:val="FootnoteText"/>
    <w:rsid w:val="00126BA9"/>
    <w:rPr>
      <w:rFonts w:ascii="Verdana" w:hAnsi="Verdana"/>
      <w:sz w:val="16"/>
      <w:szCs w:val="16"/>
      <w:lang w:eastAsia="ko-KR"/>
    </w:rPr>
  </w:style>
  <w:style w:type="paragraph" w:customStyle="1" w:styleId="ColorfulList-Accent11">
    <w:name w:val="Colorful List - Accent 11"/>
    <w:basedOn w:val="Normal"/>
    <w:uiPriority w:val="34"/>
    <w:qFormat/>
    <w:rsid w:val="00785545"/>
    <w:pPr>
      <w:tabs>
        <w:tab w:val="clear" w:pos="709"/>
        <w:tab w:val="clear" w:pos="1559"/>
        <w:tab w:val="clear" w:pos="2268"/>
        <w:tab w:val="clear" w:pos="2977"/>
        <w:tab w:val="clear" w:pos="3686"/>
        <w:tab w:val="clear" w:pos="4394"/>
        <w:tab w:val="clear" w:pos="8789"/>
      </w:tabs>
      <w:spacing w:line="240" w:lineRule="auto"/>
      <w:ind w:left="720"/>
      <w:jc w:val="left"/>
    </w:pPr>
    <w:rPr>
      <w:rFonts w:ascii="Verdana" w:eastAsia="Times New Roman" w:hAnsi="Verdana" w:cs="Arial"/>
      <w:sz w:val="20"/>
      <w:szCs w:val="22"/>
      <w:lang w:eastAsia="en-GB"/>
    </w:rPr>
  </w:style>
  <w:style w:type="paragraph" w:customStyle="1" w:styleId="AppendixSection">
    <w:name w:val="Appendix_Section"/>
    <w:basedOn w:val="Normal"/>
    <w:rsid w:val="00CB1E6A"/>
    <w:pPr>
      <w:numPr>
        <w:numId w:val="4"/>
      </w:numPr>
      <w:pBdr>
        <w:top w:val="single" w:sz="4" w:space="1" w:color="FFCC99" w:shadow="1"/>
        <w:left w:val="single" w:sz="4" w:space="4" w:color="FFCC99" w:shadow="1"/>
        <w:bottom w:val="single" w:sz="4" w:space="1" w:color="FFCC99" w:shadow="1"/>
        <w:right w:val="single" w:sz="4" w:space="4" w:color="FFCC99" w:shadow="1"/>
      </w:pBdr>
      <w:shd w:val="clear" w:color="auto" w:fill="C5E9FF"/>
      <w:tabs>
        <w:tab w:val="clear" w:pos="709"/>
        <w:tab w:val="clear" w:pos="1559"/>
        <w:tab w:val="clear" w:pos="2268"/>
        <w:tab w:val="clear" w:pos="2977"/>
        <w:tab w:val="clear" w:pos="3686"/>
        <w:tab w:val="clear" w:pos="4394"/>
        <w:tab w:val="clear" w:pos="8789"/>
        <w:tab w:val="left" w:pos="2581"/>
      </w:tabs>
      <w:spacing w:line="240" w:lineRule="auto"/>
      <w:jc w:val="left"/>
    </w:pPr>
    <w:rPr>
      <w:rFonts w:ascii="Verdana" w:eastAsia="Times New Roman" w:hAnsi="Verdana"/>
      <w:sz w:val="28"/>
      <w:szCs w:val="24"/>
      <w:lang w:eastAsia="en-US"/>
    </w:rPr>
  </w:style>
  <w:style w:type="paragraph" w:customStyle="1" w:styleId="Appendixtext-Numbered">
    <w:name w:val="Appendix text - Numbered"/>
    <w:basedOn w:val="Normal"/>
    <w:link w:val="Appendixtext-NumberedChar"/>
    <w:qFormat/>
    <w:rsid w:val="00CB1E6A"/>
    <w:pPr>
      <w:numPr>
        <w:ilvl w:val="1"/>
        <w:numId w:val="4"/>
      </w:numPr>
      <w:tabs>
        <w:tab w:val="clear" w:pos="709"/>
        <w:tab w:val="clear" w:pos="1559"/>
        <w:tab w:val="clear" w:pos="2268"/>
        <w:tab w:val="clear" w:pos="2977"/>
        <w:tab w:val="clear" w:pos="3686"/>
        <w:tab w:val="clear" w:pos="4394"/>
        <w:tab w:val="clear" w:pos="8789"/>
      </w:tabs>
      <w:spacing w:before="120" w:after="360" w:line="240" w:lineRule="auto"/>
      <w:jc w:val="left"/>
    </w:pPr>
    <w:rPr>
      <w:rFonts w:ascii="Verdana" w:eastAsia="Times New Roman" w:hAnsi="Verdana"/>
      <w:sz w:val="20"/>
      <w:szCs w:val="24"/>
      <w:lang w:eastAsia="en-US"/>
    </w:rPr>
  </w:style>
  <w:style w:type="character" w:customStyle="1" w:styleId="Appendixtext-NumberedChar">
    <w:name w:val="Appendix text - Numbered Char"/>
    <w:basedOn w:val="DefaultParagraphFont"/>
    <w:link w:val="Appendixtext-Numbered"/>
    <w:rsid w:val="00CB1E6A"/>
    <w:rPr>
      <w:rFonts w:ascii="Verdana" w:eastAsia="Times New Roman" w:hAnsi="Verdana"/>
      <w:szCs w:val="24"/>
      <w:lang w:eastAsia="en-US"/>
    </w:rPr>
  </w:style>
  <w:style w:type="character" w:customStyle="1" w:styleId="Heading1Char">
    <w:name w:val="Heading 1 Char"/>
    <w:basedOn w:val="DefaultParagraphFont"/>
    <w:link w:val="Heading1"/>
    <w:rsid w:val="005656B7"/>
    <w:rPr>
      <w:b/>
      <w:caps/>
      <w:sz w:val="22"/>
      <w:lang w:eastAsia="ko-KR"/>
    </w:rPr>
  </w:style>
  <w:style w:type="paragraph" w:customStyle="1" w:styleId="Paragraphnumbered">
    <w:name w:val="Paragraph (numbered)"/>
    <w:basedOn w:val="Heading2"/>
    <w:link w:val="ParagraphnumberedChar"/>
    <w:rsid w:val="00B55DFE"/>
    <w:pPr>
      <w:keepNext w:val="0"/>
      <w:numPr>
        <w:ilvl w:val="0"/>
        <w:numId w:val="0"/>
      </w:numPr>
      <w:tabs>
        <w:tab w:val="clear" w:pos="1559"/>
        <w:tab w:val="clear" w:pos="2268"/>
        <w:tab w:val="clear" w:pos="2977"/>
        <w:tab w:val="clear" w:pos="3686"/>
        <w:tab w:val="clear" w:pos="4394"/>
        <w:tab w:val="clear" w:pos="8789"/>
        <w:tab w:val="num" w:pos="720"/>
      </w:tabs>
      <w:spacing w:before="240" w:after="240" w:line="240" w:lineRule="auto"/>
      <w:jc w:val="left"/>
    </w:pPr>
    <w:rPr>
      <w:rFonts w:ascii="Verdana" w:eastAsia="Times New Roman" w:hAnsi="Verdana" w:cs="Arial"/>
      <w:b w:val="0"/>
      <w:bCs/>
      <w:iCs/>
      <w:sz w:val="20"/>
      <w:szCs w:val="28"/>
      <w:lang w:eastAsia="en-GB"/>
    </w:rPr>
  </w:style>
  <w:style w:type="character" w:customStyle="1" w:styleId="ParagraphnumberedChar">
    <w:name w:val="Paragraph (numbered) Char"/>
    <w:basedOn w:val="DefaultParagraphFont"/>
    <w:link w:val="Paragraphnumbered"/>
    <w:rsid w:val="00B55DFE"/>
    <w:rPr>
      <w:rFonts w:ascii="Verdana" w:hAnsi="Verdana" w:cs="Arial"/>
      <w:bCs/>
      <w:iCs/>
      <w:szCs w:val="28"/>
      <w:lang w:val="en-GB" w:eastAsia="en-GB" w:bidi="ar-SA"/>
    </w:rPr>
  </w:style>
  <w:style w:type="paragraph" w:customStyle="1" w:styleId="Text-bulleted">
    <w:name w:val="Text - bulleted"/>
    <w:basedOn w:val="Normal"/>
    <w:qFormat/>
    <w:rsid w:val="00B55DFE"/>
    <w:pPr>
      <w:numPr>
        <w:numId w:val="5"/>
      </w:numPr>
      <w:tabs>
        <w:tab w:val="clear" w:pos="709"/>
        <w:tab w:val="clear" w:pos="1559"/>
        <w:tab w:val="clear" w:pos="2268"/>
        <w:tab w:val="clear" w:pos="2977"/>
        <w:tab w:val="clear" w:pos="3686"/>
        <w:tab w:val="clear" w:pos="4394"/>
        <w:tab w:val="clear" w:pos="8789"/>
        <w:tab w:val="left" w:pos="2581"/>
      </w:tabs>
      <w:spacing w:line="240" w:lineRule="auto"/>
      <w:jc w:val="left"/>
    </w:pPr>
    <w:rPr>
      <w:rFonts w:ascii="Verdana" w:eastAsia="Times New Roman" w:hAnsi="Verdana" w:cs="CGOmega-Regular"/>
      <w:sz w:val="20"/>
      <w:szCs w:val="24"/>
      <w:lang w:eastAsia="en-US"/>
    </w:rPr>
  </w:style>
  <w:style w:type="paragraph" w:customStyle="1" w:styleId="Paragraphnumbered0">
    <w:name w:val="Paragraph numbered"/>
    <w:basedOn w:val="Paragrapgh"/>
    <w:link w:val="ParagraphnumberedChar0"/>
    <w:qFormat/>
    <w:rsid w:val="00B55DFE"/>
    <w:pPr>
      <w:tabs>
        <w:tab w:val="num" w:pos="3000"/>
      </w:tabs>
    </w:pPr>
  </w:style>
  <w:style w:type="character" w:customStyle="1" w:styleId="ParagraphnumberedChar0">
    <w:name w:val="Paragraph numbered Char"/>
    <w:basedOn w:val="DefaultParagraphFont"/>
    <w:link w:val="Paragraphnumbered0"/>
    <w:rsid w:val="00B55DFE"/>
    <w:rPr>
      <w:rFonts w:ascii="Verdana" w:hAnsi="Verdana"/>
      <w:lang w:val="en-GB" w:eastAsia="en-US" w:bidi="ar-SA"/>
    </w:rPr>
  </w:style>
  <w:style w:type="character" w:styleId="CommentReference">
    <w:name w:val="annotation reference"/>
    <w:basedOn w:val="DefaultParagraphFont"/>
    <w:rsid w:val="00B55DFE"/>
    <w:rPr>
      <w:sz w:val="16"/>
      <w:szCs w:val="16"/>
    </w:rPr>
  </w:style>
  <w:style w:type="paragraph" w:styleId="CommentText">
    <w:name w:val="annotation text"/>
    <w:basedOn w:val="Normal"/>
    <w:link w:val="CommentTextChar"/>
    <w:unhideWhenUsed/>
    <w:rsid w:val="00B55DFE"/>
    <w:pPr>
      <w:tabs>
        <w:tab w:val="clear" w:pos="709"/>
        <w:tab w:val="clear" w:pos="1559"/>
        <w:tab w:val="clear" w:pos="2268"/>
        <w:tab w:val="clear" w:pos="2977"/>
        <w:tab w:val="clear" w:pos="3686"/>
        <w:tab w:val="clear" w:pos="4394"/>
        <w:tab w:val="clear" w:pos="8789"/>
      </w:tabs>
      <w:spacing w:after="200" w:line="276" w:lineRule="auto"/>
      <w:jc w:val="left"/>
    </w:pPr>
    <w:rPr>
      <w:rFonts w:ascii="Verdana" w:eastAsia="Calibri" w:hAnsi="Verdana"/>
      <w:sz w:val="20"/>
      <w:lang w:eastAsia="en-US"/>
    </w:rPr>
  </w:style>
  <w:style w:type="character" w:customStyle="1" w:styleId="CommentTextChar">
    <w:name w:val="Comment Text Char"/>
    <w:basedOn w:val="DefaultParagraphFont"/>
    <w:link w:val="CommentText"/>
    <w:semiHidden/>
    <w:rsid w:val="00B55DFE"/>
    <w:rPr>
      <w:rFonts w:ascii="Verdana" w:eastAsia="Calibri" w:hAnsi="Verdana"/>
      <w:lang w:val="en-GB" w:eastAsia="en-US" w:bidi="ar-SA"/>
    </w:rPr>
  </w:style>
  <w:style w:type="paragraph" w:customStyle="1" w:styleId="Default">
    <w:name w:val="Default"/>
    <w:rsid w:val="00D57157"/>
    <w:pPr>
      <w:autoSpaceDE w:val="0"/>
      <w:autoSpaceDN w:val="0"/>
      <w:adjustRightInd w:val="0"/>
    </w:pPr>
    <w:rPr>
      <w:rFonts w:ascii="Verdana" w:eastAsia="Calibri" w:hAnsi="Verdana" w:cs="Verdana"/>
      <w:color w:val="000000"/>
      <w:sz w:val="24"/>
      <w:szCs w:val="24"/>
    </w:rPr>
  </w:style>
  <w:style w:type="paragraph" w:customStyle="1" w:styleId="NoSpacing1">
    <w:name w:val="No Spacing1"/>
    <w:qFormat/>
    <w:rsid w:val="00F7237E"/>
    <w:rPr>
      <w:rFonts w:ascii="Verdana" w:eastAsia="Calibri" w:hAnsi="Verdana"/>
      <w:szCs w:val="22"/>
      <w:lang w:eastAsia="en-US"/>
    </w:rPr>
  </w:style>
  <w:style w:type="character" w:customStyle="1" w:styleId="Heading2Char">
    <w:name w:val="Heading 2 Char"/>
    <w:basedOn w:val="DefaultParagraphFont"/>
    <w:link w:val="Heading2"/>
    <w:rsid w:val="00F7237E"/>
    <w:rPr>
      <w:b/>
      <w:sz w:val="22"/>
      <w:lang w:eastAsia="ko-KR"/>
    </w:rPr>
  </w:style>
  <w:style w:type="character" w:customStyle="1" w:styleId="copy1">
    <w:name w:val="copy1"/>
    <w:basedOn w:val="DefaultParagraphFont"/>
    <w:rsid w:val="000A63EF"/>
    <w:rPr>
      <w:rFonts w:ascii="Arial" w:hAnsi="Arial" w:cs="Arial" w:hint="default"/>
      <w:color w:val="000000"/>
      <w:sz w:val="17"/>
      <w:szCs w:val="17"/>
    </w:rPr>
  </w:style>
  <w:style w:type="paragraph" w:styleId="BalloonText">
    <w:name w:val="Balloon Text"/>
    <w:basedOn w:val="Normal"/>
    <w:semiHidden/>
    <w:rsid w:val="007D5777"/>
    <w:rPr>
      <w:rFonts w:ascii="Tahoma" w:hAnsi="Tahoma" w:cs="Tahoma"/>
      <w:sz w:val="16"/>
      <w:szCs w:val="16"/>
    </w:rPr>
  </w:style>
  <w:style w:type="character" w:customStyle="1" w:styleId="ScheduleHeading3Char">
    <w:name w:val="Schedule Heading 3 Char"/>
    <w:basedOn w:val="BodyTextChar"/>
    <w:link w:val="ScheduleHeading3"/>
    <w:rsid w:val="0074425B"/>
  </w:style>
  <w:style w:type="character" w:customStyle="1" w:styleId="ScheduleHeading4Char">
    <w:name w:val="Schedule Heading 4 Char"/>
    <w:basedOn w:val="BodyTextChar"/>
    <w:link w:val="ScheduleHeading4"/>
    <w:rsid w:val="0074425B"/>
  </w:style>
  <w:style w:type="paragraph" w:customStyle="1" w:styleId="CMSHeadL1">
    <w:name w:val="CMS Head L1"/>
    <w:basedOn w:val="Normal"/>
    <w:next w:val="CMSHeadL2"/>
    <w:rsid w:val="00CC4309"/>
    <w:pPr>
      <w:pageBreakBefore/>
      <w:numPr>
        <w:numId w:val="7"/>
      </w:numPr>
      <w:tabs>
        <w:tab w:val="clear" w:pos="709"/>
        <w:tab w:val="clear" w:pos="1559"/>
        <w:tab w:val="clear" w:pos="2268"/>
        <w:tab w:val="clear" w:pos="2977"/>
        <w:tab w:val="clear" w:pos="3686"/>
        <w:tab w:val="clear" w:pos="4394"/>
        <w:tab w:val="clear" w:pos="8789"/>
      </w:tabs>
      <w:spacing w:before="240" w:after="240" w:line="240" w:lineRule="auto"/>
      <w:jc w:val="center"/>
      <w:outlineLvl w:val="0"/>
    </w:pPr>
    <w:rPr>
      <w:rFonts w:eastAsia="Times New Roman"/>
      <w:b/>
      <w:sz w:val="28"/>
      <w:szCs w:val="24"/>
      <w:lang w:eastAsia="en-US"/>
    </w:rPr>
  </w:style>
  <w:style w:type="paragraph" w:customStyle="1" w:styleId="CMSHeadL2">
    <w:name w:val="CMS Head L2"/>
    <w:basedOn w:val="Normal"/>
    <w:next w:val="CMSHeadL3"/>
    <w:rsid w:val="00CC4309"/>
    <w:pPr>
      <w:keepNext/>
      <w:keepLines/>
      <w:numPr>
        <w:ilvl w:val="1"/>
        <w:numId w:val="7"/>
      </w:numPr>
      <w:tabs>
        <w:tab w:val="clear" w:pos="709"/>
        <w:tab w:val="clear" w:pos="1559"/>
        <w:tab w:val="clear" w:pos="2268"/>
        <w:tab w:val="clear" w:pos="2977"/>
        <w:tab w:val="clear" w:pos="3686"/>
        <w:tab w:val="clear" w:pos="4394"/>
        <w:tab w:val="clear" w:pos="8789"/>
      </w:tabs>
      <w:spacing w:before="240" w:after="240" w:line="240" w:lineRule="auto"/>
      <w:ind w:left="851" w:hanging="851"/>
      <w:jc w:val="left"/>
      <w:outlineLvl w:val="1"/>
    </w:pPr>
    <w:rPr>
      <w:rFonts w:eastAsia="Times New Roman"/>
      <w:b/>
      <w:szCs w:val="24"/>
      <w:lang w:eastAsia="en-US"/>
    </w:rPr>
  </w:style>
  <w:style w:type="paragraph" w:customStyle="1" w:styleId="CMSHeadL3">
    <w:name w:val="CMS Head L3"/>
    <w:basedOn w:val="Normal"/>
    <w:rsid w:val="00CC4309"/>
    <w:pPr>
      <w:numPr>
        <w:ilvl w:val="2"/>
        <w:numId w:val="7"/>
      </w:numPr>
      <w:tabs>
        <w:tab w:val="clear" w:pos="709"/>
        <w:tab w:val="clear" w:pos="1559"/>
        <w:tab w:val="clear" w:pos="2268"/>
        <w:tab w:val="clear" w:pos="2977"/>
        <w:tab w:val="clear" w:pos="3686"/>
        <w:tab w:val="clear" w:pos="4394"/>
        <w:tab w:val="clear" w:pos="8789"/>
      </w:tabs>
      <w:spacing w:after="240" w:line="240" w:lineRule="auto"/>
      <w:jc w:val="left"/>
      <w:outlineLvl w:val="2"/>
    </w:pPr>
    <w:rPr>
      <w:rFonts w:eastAsia="Times New Roman"/>
      <w:szCs w:val="24"/>
      <w:lang w:eastAsia="en-US"/>
    </w:rPr>
  </w:style>
  <w:style w:type="paragraph" w:customStyle="1" w:styleId="CMSHeadL4">
    <w:name w:val="CMS Head L4"/>
    <w:basedOn w:val="Normal"/>
    <w:rsid w:val="00CC4309"/>
    <w:pPr>
      <w:numPr>
        <w:ilvl w:val="3"/>
        <w:numId w:val="7"/>
      </w:numPr>
      <w:tabs>
        <w:tab w:val="clear" w:pos="709"/>
        <w:tab w:val="clear" w:pos="1559"/>
        <w:tab w:val="clear" w:pos="2268"/>
        <w:tab w:val="clear" w:pos="2977"/>
        <w:tab w:val="clear" w:pos="3686"/>
        <w:tab w:val="clear" w:pos="4394"/>
        <w:tab w:val="clear" w:pos="8789"/>
      </w:tabs>
      <w:spacing w:after="240" w:line="240" w:lineRule="auto"/>
      <w:ind w:left="1702"/>
      <w:jc w:val="left"/>
      <w:outlineLvl w:val="3"/>
    </w:pPr>
    <w:rPr>
      <w:rFonts w:eastAsia="Times New Roman"/>
      <w:szCs w:val="24"/>
      <w:lang w:eastAsia="en-US"/>
    </w:rPr>
  </w:style>
  <w:style w:type="paragraph" w:customStyle="1" w:styleId="CMSHeadL5">
    <w:name w:val="CMS Head L5"/>
    <w:basedOn w:val="Normal"/>
    <w:rsid w:val="00CC4309"/>
    <w:pPr>
      <w:numPr>
        <w:ilvl w:val="4"/>
        <w:numId w:val="7"/>
      </w:numPr>
      <w:tabs>
        <w:tab w:val="clear" w:pos="709"/>
        <w:tab w:val="clear" w:pos="1559"/>
        <w:tab w:val="clear" w:pos="2268"/>
        <w:tab w:val="clear" w:pos="2977"/>
        <w:tab w:val="clear" w:pos="3686"/>
        <w:tab w:val="clear" w:pos="4394"/>
        <w:tab w:val="clear" w:pos="8789"/>
      </w:tabs>
      <w:spacing w:after="240" w:line="240" w:lineRule="auto"/>
      <w:ind w:left="2552" w:hanging="851"/>
      <w:jc w:val="left"/>
      <w:outlineLvl w:val="4"/>
    </w:pPr>
    <w:rPr>
      <w:rFonts w:eastAsia="Times New Roman"/>
      <w:szCs w:val="24"/>
      <w:lang w:eastAsia="en-US"/>
    </w:rPr>
  </w:style>
  <w:style w:type="paragraph" w:customStyle="1" w:styleId="CMSHeadL6">
    <w:name w:val="CMS Head L6"/>
    <w:basedOn w:val="Normal"/>
    <w:rsid w:val="00CC4309"/>
    <w:pPr>
      <w:numPr>
        <w:ilvl w:val="5"/>
        <w:numId w:val="7"/>
      </w:numPr>
      <w:tabs>
        <w:tab w:val="clear" w:pos="709"/>
        <w:tab w:val="clear" w:pos="1559"/>
        <w:tab w:val="clear" w:pos="2268"/>
        <w:tab w:val="clear" w:pos="2977"/>
        <w:tab w:val="clear" w:pos="3686"/>
        <w:tab w:val="clear" w:pos="4394"/>
        <w:tab w:val="clear" w:pos="8789"/>
      </w:tabs>
      <w:spacing w:after="240" w:line="240" w:lineRule="auto"/>
      <w:ind w:left="3403"/>
      <w:jc w:val="left"/>
      <w:outlineLvl w:val="5"/>
    </w:pPr>
    <w:rPr>
      <w:rFonts w:eastAsia="Times New Roman"/>
      <w:szCs w:val="24"/>
      <w:lang w:eastAsia="en-US"/>
    </w:rPr>
  </w:style>
  <w:style w:type="paragraph" w:customStyle="1" w:styleId="CMSHeadL7">
    <w:name w:val="CMS Head L7"/>
    <w:basedOn w:val="Normal"/>
    <w:rsid w:val="00CC4309"/>
    <w:pPr>
      <w:numPr>
        <w:ilvl w:val="6"/>
        <w:numId w:val="7"/>
      </w:numPr>
      <w:tabs>
        <w:tab w:val="clear" w:pos="709"/>
        <w:tab w:val="clear" w:pos="1559"/>
        <w:tab w:val="clear" w:pos="2268"/>
        <w:tab w:val="clear" w:pos="2977"/>
        <w:tab w:val="clear" w:pos="3686"/>
        <w:tab w:val="clear" w:pos="4394"/>
        <w:tab w:val="clear" w:pos="8789"/>
      </w:tabs>
      <w:spacing w:after="240" w:line="240" w:lineRule="auto"/>
      <w:jc w:val="left"/>
      <w:outlineLvl w:val="6"/>
    </w:pPr>
    <w:rPr>
      <w:rFonts w:eastAsia="Times New Roman"/>
      <w:szCs w:val="24"/>
      <w:lang w:eastAsia="en-US"/>
    </w:rPr>
  </w:style>
  <w:style w:type="paragraph" w:customStyle="1" w:styleId="CMSHeadL8">
    <w:name w:val="CMS Head L8"/>
    <w:basedOn w:val="Normal"/>
    <w:rsid w:val="00CC4309"/>
    <w:pPr>
      <w:numPr>
        <w:ilvl w:val="7"/>
        <w:numId w:val="7"/>
      </w:numPr>
      <w:tabs>
        <w:tab w:val="clear" w:pos="709"/>
        <w:tab w:val="clear" w:pos="1559"/>
        <w:tab w:val="clear" w:pos="2268"/>
        <w:tab w:val="clear" w:pos="2977"/>
        <w:tab w:val="clear" w:pos="3686"/>
        <w:tab w:val="clear" w:pos="4394"/>
        <w:tab w:val="clear" w:pos="8789"/>
      </w:tabs>
      <w:spacing w:after="240" w:line="240" w:lineRule="auto"/>
      <w:ind w:left="1702" w:hanging="851"/>
      <w:jc w:val="left"/>
      <w:outlineLvl w:val="7"/>
    </w:pPr>
    <w:rPr>
      <w:rFonts w:eastAsia="Times New Roman"/>
      <w:szCs w:val="24"/>
      <w:lang w:eastAsia="en-US"/>
    </w:rPr>
  </w:style>
  <w:style w:type="paragraph" w:customStyle="1" w:styleId="CMSHeadL9">
    <w:name w:val="CMS Head L9"/>
    <w:basedOn w:val="Normal"/>
    <w:rsid w:val="00CC4309"/>
    <w:pPr>
      <w:numPr>
        <w:ilvl w:val="8"/>
        <w:numId w:val="7"/>
      </w:numPr>
      <w:tabs>
        <w:tab w:val="clear" w:pos="709"/>
        <w:tab w:val="clear" w:pos="1559"/>
        <w:tab w:val="clear" w:pos="2268"/>
        <w:tab w:val="clear" w:pos="2977"/>
        <w:tab w:val="clear" w:pos="3686"/>
        <w:tab w:val="clear" w:pos="4394"/>
        <w:tab w:val="clear" w:pos="8789"/>
      </w:tabs>
      <w:spacing w:after="240" w:line="240" w:lineRule="auto"/>
      <w:jc w:val="left"/>
      <w:outlineLvl w:val="8"/>
    </w:pPr>
    <w:rPr>
      <w:rFonts w:eastAsia="Times New Roman"/>
      <w:szCs w:val="24"/>
      <w:lang w:eastAsia="en-US"/>
    </w:rPr>
  </w:style>
  <w:style w:type="character" w:styleId="Emphasis">
    <w:name w:val="Emphasis"/>
    <w:basedOn w:val="DefaultParagraphFont"/>
    <w:qFormat/>
    <w:rsid w:val="00CC4309"/>
    <w:rPr>
      <w:b/>
      <w:bCs/>
      <w:i w:val="0"/>
      <w:iCs w:val="0"/>
    </w:rPr>
  </w:style>
  <w:style w:type="paragraph" w:styleId="EndnoteText">
    <w:name w:val="endnote text"/>
    <w:basedOn w:val="Normal"/>
    <w:link w:val="EndnoteTextChar"/>
    <w:uiPriority w:val="99"/>
    <w:unhideWhenUsed/>
    <w:rsid w:val="00E93939"/>
    <w:pPr>
      <w:tabs>
        <w:tab w:val="clear" w:pos="709"/>
        <w:tab w:val="clear" w:pos="1559"/>
        <w:tab w:val="clear" w:pos="2268"/>
        <w:tab w:val="clear" w:pos="2977"/>
        <w:tab w:val="clear" w:pos="3686"/>
        <w:tab w:val="clear" w:pos="4394"/>
        <w:tab w:val="clear" w:pos="8789"/>
      </w:tabs>
      <w:spacing w:after="200" w:line="276" w:lineRule="auto"/>
      <w:jc w:val="left"/>
    </w:pPr>
    <w:rPr>
      <w:rFonts w:ascii="Calibri" w:eastAsia="Calibri" w:hAnsi="Calibri"/>
      <w:sz w:val="20"/>
      <w:lang w:val="en-US" w:eastAsia="en-US"/>
    </w:rPr>
  </w:style>
  <w:style w:type="character" w:customStyle="1" w:styleId="EndnoteTextChar">
    <w:name w:val="Endnote Text Char"/>
    <w:basedOn w:val="DefaultParagraphFont"/>
    <w:link w:val="EndnoteText"/>
    <w:uiPriority w:val="99"/>
    <w:rsid w:val="00E93939"/>
    <w:rPr>
      <w:rFonts w:ascii="Calibri" w:eastAsia="Calibri" w:hAnsi="Calibri"/>
      <w:lang w:val="en-US" w:eastAsia="en-US"/>
    </w:rPr>
  </w:style>
  <w:style w:type="character" w:styleId="EndnoteReference">
    <w:name w:val="endnote reference"/>
    <w:basedOn w:val="DefaultParagraphFont"/>
    <w:uiPriority w:val="99"/>
    <w:unhideWhenUsed/>
    <w:rsid w:val="00E93939"/>
    <w:rPr>
      <w:vertAlign w:val="superscript"/>
    </w:rPr>
  </w:style>
  <w:style w:type="character" w:styleId="FollowedHyperlink">
    <w:name w:val="FollowedHyperlink"/>
    <w:basedOn w:val="DefaultParagraphFont"/>
    <w:rsid w:val="00DE1838"/>
    <w:rPr>
      <w:color w:val="800080"/>
      <w:u w:val="single"/>
    </w:rPr>
  </w:style>
  <w:style w:type="paragraph" w:styleId="CommentSubject">
    <w:name w:val="annotation subject"/>
    <w:basedOn w:val="CommentText"/>
    <w:next w:val="CommentText"/>
    <w:link w:val="CommentSubjectChar"/>
    <w:rsid w:val="00EE3FDC"/>
    <w:pPr>
      <w:tabs>
        <w:tab w:val="left" w:pos="709"/>
        <w:tab w:val="left" w:pos="1559"/>
        <w:tab w:val="left" w:pos="2268"/>
        <w:tab w:val="left" w:pos="2977"/>
        <w:tab w:val="left" w:pos="3686"/>
        <w:tab w:val="left" w:pos="4394"/>
        <w:tab w:val="right" w:pos="8789"/>
      </w:tabs>
      <w:spacing w:after="0" w:line="260" w:lineRule="atLeast"/>
      <w:jc w:val="both"/>
    </w:pPr>
    <w:rPr>
      <w:rFonts w:ascii="Times New Roman" w:eastAsia="Batang" w:hAnsi="Times New Roman"/>
      <w:b/>
      <w:bCs/>
      <w:lang w:eastAsia="ko-KR"/>
    </w:rPr>
  </w:style>
  <w:style w:type="character" w:customStyle="1" w:styleId="CommentSubjectChar">
    <w:name w:val="Comment Subject Char"/>
    <w:basedOn w:val="CommentTextChar"/>
    <w:link w:val="CommentSubject"/>
    <w:rsid w:val="00EE3FDC"/>
    <w:rPr>
      <w:b/>
      <w:bCs/>
      <w:lang w:eastAsia="ko-KR"/>
    </w:rPr>
  </w:style>
  <w:style w:type="character" w:customStyle="1" w:styleId="DeltaViewInsertion">
    <w:name w:val="DeltaView Insertion"/>
    <w:uiPriority w:val="99"/>
    <w:rsid w:val="00AF376C"/>
    <w:rPr>
      <w:color w:val="0000FF"/>
      <w:spacing w:val="0"/>
      <w:u w:val="double"/>
    </w:rPr>
  </w:style>
  <w:style w:type="character" w:customStyle="1" w:styleId="DeltaViewDeletion">
    <w:name w:val="DeltaView Deletion"/>
    <w:uiPriority w:val="99"/>
    <w:rsid w:val="00AF376C"/>
    <w:rPr>
      <w:strike/>
      <w:color w:val="FF0000"/>
      <w:spacing w:val="0"/>
    </w:rPr>
  </w:style>
  <w:style w:type="character" w:styleId="Strong">
    <w:name w:val="Strong"/>
    <w:basedOn w:val="DefaultParagraphFont"/>
    <w:uiPriority w:val="22"/>
    <w:qFormat/>
    <w:rsid w:val="00E934D7"/>
    <w:rPr>
      <w:b/>
      <w:bCs/>
    </w:rPr>
  </w:style>
  <w:style w:type="paragraph" w:styleId="ListParagraph">
    <w:name w:val="List Paragraph"/>
    <w:basedOn w:val="Normal"/>
    <w:uiPriority w:val="34"/>
    <w:qFormat/>
    <w:rsid w:val="00097410"/>
    <w:pPr>
      <w:tabs>
        <w:tab w:val="clear" w:pos="709"/>
        <w:tab w:val="clear" w:pos="1559"/>
        <w:tab w:val="clear" w:pos="2268"/>
        <w:tab w:val="clear" w:pos="2977"/>
        <w:tab w:val="clear" w:pos="3686"/>
        <w:tab w:val="clear" w:pos="4394"/>
        <w:tab w:val="clear" w:pos="8789"/>
      </w:tabs>
      <w:spacing w:after="200" w:line="276" w:lineRule="auto"/>
      <w:ind w:left="720"/>
      <w:contextualSpacing/>
      <w:jc w:val="left"/>
    </w:pPr>
    <w:rPr>
      <w:rFonts w:ascii="Calibri" w:eastAsia="Calibri" w:hAnsi="Calibri"/>
      <w:szCs w:val="22"/>
      <w:lang w:val="en-US" w:eastAsia="en-US"/>
    </w:rPr>
  </w:style>
  <w:style w:type="character" w:customStyle="1" w:styleId="FooterChar">
    <w:name w:val="Footer Char"/>
    <w:basedOn w:val="DefaultParagraphFont"/>
    <w:link w:val="Footer"/>
    <w:uiPriority w:val="99"/>
    <w:rsid w:val="000D787D"/>
    <w:rPr>
      <w:sz w:val="14"/>
      <w:lang w:eastAsia="ko-KR"/>
    </w:rPr>
  </w:style>
  <w:style w:type="character" w:customStyle="1" w:styleId="HeaderChar">
    <w:name w:val="Header Char"/>
    <w:basedOn w:val="DefaultParagraphFont"/>
    <w:link w:val="Header"/>
    <w:uiPriority w:val="99"/>
    <w:rsid w:val="000D787D"/>
    <w:rPr>
      <w:sz w:val="22"/>
      <w:lang w:eastAsia="ko-KR"/>
    </w:rPr>
  </w:style>
  <w:style w:type="paragraph" w:styleId="BodyText2">
    <w:name w:val="Body Text 2"/>
    <w:aliases w:val="bt2"/>
    <w:basedOn w:val="Normal"/>
    <w:link w:val="BodyText2Char"/>
    <w:uiPriority w:val="99"/>
    <w:rsid w:val="000D787D"/>
    <w:pPr>
      <w:widowControl w:val="0"/>
      <w:autoSpaceDE w:val="0"/>
      <w:autoSpaceDN w:val="0"/>
      <w:adjustRightInd w:val="0"/>
      <w:spacing w:after="120" w:line="480" w:lineRule="auto"/>
    </w:pPr>
    <w:rPr>
      <w:rFonts w:eastAsia="Times New Roman"/>
      <w:szCs w:val="22"/>
      <w:lang w:eastAsia="en-GB"/>
    </w:rPr>
  </w:style>
  <w:style w:type="character" w:customStyle="1" w:styleId="BodyText2Char">
    <w:name w:val="Body Text 2 Char"/>
    <w:aliases w:val="bt2 Char"/>
    <w:basedOn w:val="DefaultParagraphFont"/>
    <w:link w:val="BodyText2"/>
    <w:uiPriority w:val="99"/>
    <w:rsid w:val="000D787D"/>
    <w:rPr>
      <w:rFonts w:eastAsia="Times New Roman"/>
      <w:sz w:val="22"/>
      <w:szCs w:val="22"/>
    </w:rPr>
  </w:style>
  <w:style w:type="paragraph" w:styleId="Subtitle">
    <w:name w:val="Subtitle"/>
    <w:aliases w:val="sub"/>
    <w:basedOn w:val="Normal"/>
    <w:link w:val="SubtitleChar"/>
    <w:qFormat/>
    <w:rsid w:val="000D787D"/>
    <w:pPr>
      <w:widowControl w:val="0"/>
      <w:autoSpaceDE w:val="0"/>
      <w:autoSpaceDN w:val="0"/>
      <w:adjustRightInd w:val="0"/>
      <w:spacing w:after="60"/>
      <w:jc w:val="center"/>
    </w:pPr>
    <w:rPr>
      <w:rFonts w:ascii="Arial" w:eastAsia="Times New Roman" w:hAnsi="Arial" w:cs="Arial"/>
      <w:sz w:val="24"/>
      <w:szCs w:val="24"/>
      <w:lang w:eastAsia="en-GB"/>
    </w:rPr>
  </w:style>
  <w:style w:type="character" w:customStyle="1" w:styleId="SubtitleChar">
    <w:name w:val="Subtitle Char"/>
    <w:aliases w:val="sub Char"/>
    <w:basedOn w:val="DefaultParagraphFont"/>
    <w:link w:val="Subtitle"/>
    <w:uiPriority w:val="99"/>
    <w:rsid w:val="000D787D"/>
    <w:rPr>
      <w:rFonts w:ascii="Arial" w:eastAsia="Times New Roman" w:hAnsi="Arial" w:cs="Arial"/>
      <w:sz w:val="24"/>
      <w:szCs w:val="24"/>
    </w:rPr>
  </w:style>
  <w:style w:type="paragraph" w:customStyle="1" w:styleId="Text-LowerCaseLetter">
    <w:name w:val="Text - Lower Case Letter"/>
    <w:basedOn w:val="Normal"/>
    <w:uiPriority w:val="99"/>
    <w:rsid w:val="000D787D"/>
    <w:pPr>
      <w:widowControl w:val="0"/>
      <w:tabs>
        <w:tab w:val="clear" w:pos="709"/>
        <w:tab w:val="clear" w:pos="1559"/>
        <w:tab w:val="clear" w:pos="2268"/>
        <w:tab w:val="clear" w:pos="2977"/>
        <w:tab w:val="clear" w:pos="3686"/>
        <w:tab w:val="clear" w:pos="4394"/>
        <w:tab w:val="clear" w:pos="8789"/>
        <w:tab w:val="left" w:pos="2581"/>
      </w:tabs>
      <w:autoSpaceDE w:val="0"/>
      <w:autoSpaceDN w:val="0"/>
      <w:adjustRightInd w:val="0"/>
      <w:spacing w:line="240" w:lineRule="auto"/>
      <w:jc w:val="left"/>
    </w:pPr>
    <w:rPr>
      <w:rFonts w:ascii="Verdana" w:eastAsia="Times New Roman" w:hAnsi="Verdana" w:cs="Verdana"/>
      <w:sz w:val="20"/>
      <w:lang w:eastAsia="en-GB"/>
    </w:rPr>
  </w:style>
  <w:style w:type="paragraph" w:styleId="Revision">
    <w:name w:val="Revision"/>
    <w:hidden/>
    <w:uiPriority w:val="71"/>
    <w:rsid w:val="00D97FA1"/>
    <w:rPr>
      <w:sz w:val="22"/>
      <w:lang w:eastAsia="ko-KR"/>
    </w:rPr>
  </w:style>
  <w:style w:type="paragraph" w:customStyle="1" w:styleId="Tablehead">
    <w:name w:val="Table_head"/>
    <w:basedOn w:val="Normal"/>
    <w:rsid w:val="007B3E55"/>
    <w:pPr>
      <w:tabs>
        <w:tab w:val="clear" w:pos="709"/>
        <w:tab w:val="clear" w:pos="1559"/>
        <w:tab w:val="clear" w:pos="2268"/>
        <w:tab w:val="clear" w:pos="2977"/>
        <w:tab w:val="clear" w:pos="3686"/>
        <w:tab w:val="clear" w:pos="4394"/>
        <w:tab w:val="clear" w:pos="8789"/>
      </w:tabs>
      <w:spacing w:line="240" w:lineRule="auto"/>
      <w:jc w:val="left"/>
    </w:pPr>
    <w:rPr>
      <w:rFonts w:ascii="Verdana" w:eastAsia="Times New Roman" w:hAnsi="Verdana" w:cs="Arial"/>
      <w:b/>
      <w:sz w:val="20"/>
      <w:szCs w:val="24"/>
      <w:lang w:eastAsia="en-US"/>
    </w:rPr>
  </w:style>
  <w:style w:type="paragraph" w:customStyle="1" w:styleId="EYBodytextwithparaspace">
    <w:name w:val="EY Body text (with para space)"/>
    <w:basedOn w:val="Normal"/>
    <w:link w:val="EYBodytextwithparaspaceChar"/>
    <w:rsid w:val="006F78C9"/>
    <w:pPr>
      <w:numPr>
        <w:ilvl w:val="4"/>
        <w:numId w:val="11"/>
      </w:numPr>
      <w:tabs>
        <w:tab w:val="clear" w:pos="709"/>
        <w:tab w:val="clear" w:pos="1559"/>
        <w:tab w:val="clear" w:pos="2268"/>
        <w:tab w:val="clear" w:pos="2977"/>
        <w:tab w:val="clear" w:pos="3686"/>
        <w:tab w:val="clear" w:pos="4394"/>
        <w:tab w:val="clear" w:pos="8789"/>
      </w:tabs>
      <w:spacing w:after="240" w:line="240" w:lineRule="auto"/>
      <w:jc w:val="left"/>
      <w:outlineLvl w:val="0"/>
    </w:pPr>
    <w:rPr>
      <w:rFonts w:ascii="Arial" w:eastAsia="Times New Roman" w:hAnsi="Arial"/>
      <w:kern w:val="12"/>
      <w:sz w:val="20"/>
      <w:szCs w:val="24"/>
      <w:lang w:eastAsia="en-US"/>
    </w:rPr>
  </w:style>
  <w:style w:type="numbering" w:customStyle="1" w:styleId="ParaNumbering">
    <w:name w:val="ParaNumbering"/>
    <w:basedOn w:val="NoList"/>
    <w:rsid w:val="006F78C9"/>
    <w:pPr>
      <w:numPr>
        <w:numId w:val="11"/>
      </w:numPr>
    </w:pPr>
  </w:style>
  <w:style w:type="character" w:customStyle="1" w:styleId="EYBodytextwithparaspaceChar">
    <w:name w:val="EY Body text (with para space) Char"/>
    <w:basedOn w:val="DefaultParagraphFont"/>
    <w:link w:val="EYBodytextwithparaspace"/>
    <w:rsid w:val="006F78C9"/>
    <w:rPr>
      <w:rFonts w:ascii="Arial" w:eastAsia="Times New Roman" w:hAnsi="Arial"/>
      <w:kern w:val="12"/>
      <w:szCs w:val="24"/>
      <w:lang w:eastAsia="en-US"/>
    </w:rPr>
  </w:style>
  <w:style w:type="paragraph" w:customStyle="1" w:styleId="ChapterHeading">
    <w:name w:val="Chapter Heading"/>
    <w:basedOn w:val="Normal"/>
    <w:rsid w:val="00D05816"/>
    <w:pPr>
      <w:pageBreakBefore/>
      <w:shd w:val="clear" w:color="auto" w:fill="B3E2FF"/>
      <w:tabs>
        <w:tab w:val="clear" w:pos="709"/>
        <w:tab w:val="clear" w:pos="1559"/>
        <w:tab w:val="clear" w:pos="2268"/>
        <w:tab w:val="clear" w:pos="2977"/>
        <w:tab w:val="clear" w:pos="3686"/>
        <w:tab w:val="clear" w:pos="4394"/>
        <w:tab w:val="clear" w:pos="8789"/>
      </w:tabs>
      <w:spacing w:line="240" w:lineRule="auto"/>
      <w:ind w:left="709" w:hanging="709"/>
      <w:jc w:val="left"/>
    </w:pPr>
    <w:rPr>
      <w:rFonts w:ascii="Verdana" w:eastAsia="Calibri" w:hAnsi="Verdana"/>
      <w:sz w:val="28"/>
      <w:szCs w:val="28"/>
      <w:lang w:eastAsia="en-GB"/>
    </w:rPr>
  </w:style>
  <w:style w:type="paragraph" w:styleId="NormalWeb">
    <w:name w:val="Normal (Web)"/>
    <w:basedOn w:val="Normal"/>
    <w:uiPriority w:val="99"/>
    <w:unhideWhenUsed/>
    <w:rsid w:val="00D926BA"/>
    <w:pPr>
      <w:tabs>
        <w:tab w:val="clear" w:pos="709"/>
        <w:tab w:val="clear" w:pos="1559"/>
        <w:tab w:val="clear" w:pos="2268"/>
        <w:tab w:val="clear" w:pos="2977"/>
        <w:tab w:val="clear" w:pos="3686"/>
        <w:tab w:val="clear" w:pos="4394"/>
        <w:tab w:val="clear" w:pos="8789"/>
      </w:tabs>
      <w:spacing w:before="100" w:beforeAutospacing="1" w:after="100" w:afterAutospacing="1" w:line="240" w:lineRule="auto"/>
      <w:jc w:val="left"/>
    </w:pPr>
    <w:rPr>
      <w:rFonts w:eastAsia="Calibri"/>
      <w:sz w:val="24"/>
      <w:szCs w:val="24"/>
      <w:lang w:eastAsia="en-GB"/>
    </w:rPr>
  </w:style>
  <w:style w:type="paragraph" w:customStyle="1" w:styleId="DraftCover">
    <w:name w:val="Draft Cover"/>
    <w:basedOn w:val="Normal"/>
    <w:rsid w:val="009A4651"/>
    <w:pPr>
      <w:tabs>
        <w:tab w:val="clear" w:pos="709"/>
        <w:tab w:val="clear" w:pos="1559"/>
        <w:tab w:val="clear" w:pos="2268"/>
        <w:tab w:val="clear" w:pos="2977"/>
        <w:tab w:val="clear" w:pos="3686"/>
        <w:tab w:val="clear" w:pos="4394"/>
        <w:tab w:val="clear" w:pos="8789"/>
      </w:tabs>
      <w:spacing w:line="240" w:lineRule="auto"/>
      <w:jc w:val="left"/>
    </w:pPr>
    <w:rPr>
      <w:rFonts w:ascii="Verdana" w:eastAsia="Times New Roman" w:hAnsi="Verdana"/>
      <w:b/>
      <w:sz w:val="28"/>
      <w:szCs w:val="24"/>
      <w:lang w:eastAsia="en-US"/>
    </w:rPr>
  </w:style>
  <w:style w:type="paragraph" w:customStyle="1" w:styleId="CoverTopic">
    <w:name w:val="Cover_Topic"/>
    <w:basedOn w:val="Normal"/>
    <w:link w:val="CoverTopicChar"/>
    <w:rsid w:val="009A4651"/>
    <w:pPr>
      <w:tabs>
        <w:tab w:val="clear" w:pos="709"/>
        <w:tab w:val="clear" w:pos="1559"/>
        <w:tab w:val="clear" w:pos="2268"/>
        <w:tab w:val="clear" w:pos="2977"/>
        <w:tab w:val="clear" w:pos="3686"/>
        <w:tab w:val="clear" w:pos="4394"/>
        <w:tab w:val="clear" w:pos="8789"/>
      </w:tabs>
      <w:spacing w:line="240" w:lineRule="auto"/>
      <w:jc w:val="left"/>
    </w:pPr>
    <w:rPr>
      <w:rFonts w:ascii="Verdana" w:eastAsia="Times New Roman" w:hAnsi="Verdana"/>
      <w:b/>
      <w:szCs w:val="24"/>
      <w:lang w:eastAsia="en-US"/>
    </w:rPr>
  </w:style>
  <w:style w:type="character" w:customStyle="1" w:styleId="CoverTopicChar">
    <w:name w:val="Cover_Topic Char"/>
    <w:basedOn w:val="DefaultParagraphFont"/>
    <w:link w:val="CoverTopic"/>
    <w:rsid w:val="009A4651"/>
    <w:rPr>
      <w:rFonts w:ascii="Verdana" w:eastAsia="Times New Roman" w:hAnsi="Verdana"/>
      <w:b/>
      <w:sz w:val="22"/>
      <w:szCs w:val="24"/>
      <w:lang w:eastAsia="en-US"/>
    </w:rPr>
  </w:style>
  <w:style w:type="character" w:customStyle="1" w:styleId="CoverTopicDetails">
    <w:name w:val="Cover_Topic Details"/>
    <w:basedOn w:val="DefaultParagraphFont"/>
    <w:rsid w:val="009A4651"/>
    <w:rPr>
      <w:rFonts w:ascii="Verdana" w:hAnsi="Verdana"/>
      <w:sz w:val="20"/>
      <w:szCs w:val="24"/>
      <w:lang w:val="en-US" w:eastAsia="en-US" w:bidi="ar-SA"/>
    </w:rPr>
  </w:style>
  <w:style w:type="character" w:customStyle="1" w:styleId="CoverDocumentTypeexplanation">
    <w:name w:val="Cover_Document Type explanation"/>
    <w:basedOn w:val="DefaultParagraphFont"/>
    <w:rsid w:val="009A4651"/>
    <w:rPr>
      <w:rFonts w:ascii="Verdana" w:hAnsi="Verdana"/>
      <w:b/>
      <w:color w:val="808080"/>
      <w:sz w:val="24"/>
      <w:szCs w:val="24"/>
      <w:lang w:val="en-US" w:eastAsia="en-US" w:bidi="ar-SA"/>
    </w:rPr>
  </w:style>
  <w:style w:type="paragraph" w:styleId="TOCHeading">
    <w:name w:val="TOC Heading"/>
    <w:basedOn w:val="Heading1"/>
    <w:next w:val="Normal"/>
    <w:uiPriority w:val="39"/>
    <w:semiHidden/>
    <w:unhideWhenUsed/>
    <w:qFormat/>
    <w:rsid w:val="009A4651"/>
    <w:pPr>
      <w:keepLines/>
      <w:numPr>
        <w:numId w:val="0"/>
      </w:numPr>
      <w:tabs>
        <w:tab w:val="clear" w:pos="1559"/>
        <w:tab w:val="clear" w:pos="2268"/>
        <w:tab w:val="clear" w:pos="2977"/>
        <w:tab w:val="clear" w:pos="3686"/>
        <w:tab w:val="clear" w:pos="4394"/>
        <w:tab w:val="clear" w:pos="8789"/>
      </w:tabs>
      <w:spacing w:before="480" w:after="0" w:line="276" w:lineRule="auto"/>
      <w:jc w:val="left"/>
      <w:outlineLvl w:val="9"/>
    </w:pPr>
    <w:rPr>
      <w:rFonts w:ascii="Cambria" w:eastAsia="Times New Roman" w:hAnsi="Cambria"/>
      <w:bCs/>
      <w:caps w:val="0"/>
      <w:color w:val="365F91"/>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2098055">
      <w:bodyDiv w:val="1"/>
      <w:marLeft w:val="0"/>
      <w:marRight w:val="0"/>
      <w:marTop w:val="0"/>
      <w:marBottom w:val="0"/>
      <w:divBdr>
        <w:top w:val="none" w:sz="0" w:space="0" w:color="auto"/>
        <w:left w:val="none" w:sz="0" w:space="0" w:color="auto"/>
        <w:bottom w:val="none" w:sz="0" w:space="0" w:color="auto"/>
        <w:right w:val="none" w:sz="0" w:space="0" w:color="auto"/>
      </w:divBdr>
    </w:div>
    <w:div w:id="184446731">
      <w:bodyDiv w:val="1"/>
      <w:marLeft w:val="0"/>
      <w:marRight w:val="0"/>
      <w:marTop w:val="0"/>
      <w:marBottom w:val="0"/>
      <w:divBdr>
        <w:top w:val="none" w:sz="0" w:space="0" w:color="auto"/>
        <w:left w:val="none" w:sz="0" w:space="0" w:color="auto"/>
        <w:bottom w:val="none" w:sz="0" w:space="0" w:color="auto"/>
        <w:right w:val="none" w:sz="0" w:space="0" w:color="auto"/>
      </w:divBdr>
    </w:div>
    <w:div w:id="213926394">
      <w:bodyDiv w:val="1"/>
      <w:marLeft w:val="0"/>
      <w:marRight w:val="0"/>
      <w:marTop w:val="0"/>
      <w:marBottom w:val="0"/>
      <w:divBdr>
        <w:top w:val="none" w:sz="0" w:space="0" w:color="auto"/>
        <w:left w:val="none" w:sz="0" w:space="0" w:color="auto"/>
        <w:bottom w:val="none" w:sz="0" w:space="0" w:color="auto"/>
        <w:right w:val="none" w:sz="0" w:space="0" w:color="auto"/>
      </w:divBdr>
    </w:div>
    <w:div w:id="217056459">
      <w:bodyDiv w:val="1"/>
      <w:marLeft w:val="0"/>
      <w:marRight w:val="0"/>
      <w:marTop w:val="0"/>
      <w:marBottom w:val="0"/>
      <w:divBdr>
        <w:top w:val="none" w:sz="0" w:space="0" w:color="auto"/>
        <w:left w:val="none" w:sz="0" w:space="0" w:color="auto"/>
        <w:bottom w:val="none" w:sz="0" w:space="0" w:color="auto"/>
        <w:right w:val="none" w:sz="0" w:space="0" w:color="auto"/>
      </w:divBdr>
    </w:div>
    <w:div w:id="262803123">
      <w:bodyDiv w:val="1"/>
      <w:marLeft w:val="0"/>
      <w:marRight w:val="0"/>
      <w:marTop w:val="0"/>
      <w:marBottom w:val="0"/>
      <w:divBdr>
        <w:top w:val="none" w:sz="0" w:space="0" w:color="auto"/>
        <w:left w:val="none" w:sz="0" w:space="0" w:color="auto"/>
        <w:bottom w:val="none" w:sz="0" w:space="0" w:color="auto"/>
        <w:right w:val="none" w:sz="0" w:space="0" w:color="auto"/>
      </w:divBdr>
    </w:div>
    <w:div w:id="297492939">
      <w:bodyDiv w:val="1"/>
      <w:marLeft w:val="0"/>
      <w:marRight w:val="0"/>
      <w:marTop w:val="0"/>
      <w:marBottom w:val="0"/>
      <w:divBdr>
        <w:top w:val="none" w:sz="0" w:space="0" w:color="auto"/>
        <w:left w:val="none" w:sz="0" w:space="0" w:color="auto"/>
        <w:bottom w:val="none" w:sz="0" w:space="0" w:color="auto"/>
        <w:right w:val="none" w:sz="0" w:space="0" w:color="auto"/>
      </w:divBdr>
    </w:div>
    <w:div w:id="321739107">
      <w:bodyDiv w:val="1"/>
      <w:marLeft w:val="0"/>
      <w:marRight w:val="0"/>
      <w:marTop w:val="0"/>
      <w:marBottom w:val="0"/>
      <w:divBdr>
        <w:top w:val="none" w:sz="0" w:space="0" w:color="auto"/>
        <w:left w:val="none" w:sz="0" w:space="0" w:color="auto"/>
        <w:bottom w:val="none" w:sz="0" w:space="0" w:color="auto"/>
        <w:right w:val="none" w:sz="0" w:space="0" w:color="auto"/>
      </w:divBdr>
    </w:div>
    <w:div w:id="420105175">
      <w:bodyDiv w:val="1"/>
      <w:marLeft w:val="0"/>
      <w:marRight w:val="0"/>
      <w:marTop w:val="0"/>
      <w:marBottom w:val="0"/>
      <w:divBdr>
        <w:top w:val="none" w:sz="0" w:space="0" w:color="auto"/>
        <w:left w:val="none" w:sz="0" w:space="0" w:color="auto"/>
        <w:bottom w:val="none" w:sz="0" w:space="0" w:color="auto"/>
        <w:right w:val="none" w:sz="0" w:space="0" w:color="auto"/>
      </w:divBdr>
    </w:div>
    <w:div w:id="691224648">
      <w:bodyDiv w:val="1"/>
      <w:marLeft w:val="0"/>
      <w:marRight w:val="0"/>
      <w:marTop w:val="0"/>
      <w:marBottom w:val="0"/>
      <w:divBdr>
        <w:top w:val="none" w:sz="0" w:space="0" w:color="auto"/>
        <w:left w:val="none" w:sz="0" w:space="0" w:color="auto"/>
        <w:bottom w:val="none" w:sz="0" w:space="0" w:color="auto"/>
        <w:right w:val="none" w:sz="0" w:space="0" w:color="auto"/>
      </w:divBdr>
    </w:div>
    <w:div w:id="717243435">
      <w:bodyDiv w:val="1"/>
      <w:marLeft w:val="0"/>
      <w:marRight w:val="0"/>
      <w:marTop w:val="0"/>
      <w:marBottom w:val="0"/>
      <w:divBdr>
        <w:top w:val="none" w:sz="0" w:space="0" w:color="auto"/>
        <w:left w:val="none" w:sz="0" w:space="0" w:color="auto"/>
        <w:bottom w:val="none" w:sz="0" w:space="0" w:color="auto"/>
        <w:right w:val="none" w:sz="0" w:space="0" w:color="auto"/>
      </w:divBdr>
    </w:div>
    <w:div w:id="875310965">
      <w:bodyDiv w:val="1"/>
      <w:marLeft w:val="0"/>
      <w:marRight w:val="0"/>
      <w:marTop w:val="0"/>
      <w:marBottom w:val="0"/>
      <w:divBdr>
        <w:top w:val="none" w:sz="0" w:space="0" w:color="auto"/>
        <w:left w:val="none" w:sz="0" w:space="0" w:color="auto"/>
        <w:bottom w:val="none" w:sz="0" w:space="0" w:color="auto"/>
        <w:right w:val="none" w:sz="0" w:space="0" w:color="auto"/>
      </w:divBdr>
    </w:div>
    <w:div w:id="899482644">
      <w:bodyDiv w:val="1"/>
      <w:marLeft w:val="0"/>
      <w:marRight w:val="0"/>
      <w:marTop w:val="0"/>
      <w:marBottom w:val="0"/>
      <w:divBdr>
        <w:top w:val="none" w:sz="0" w:space="0" w:color="auto"/>
        <w:left w:val="none" w:sz="0" w:space="0" w:color="auto"/>
        <w:bottom w:val="none" w:sz="0" w:space="0" w:color="auto"/>
        <w:right w:val="none" w:sz="0" w:space="0" w:color="auto"/>
      </w:divBdr>
    </w:div>
    <w:div w:id="913204575">
      <w:bodyDiv w:val="1"/>
      <w:marLeft w:val="0"/>
      <w:marRight w:val="0"/>
      <w:marTop w:val="0"/>
      <w:marBottom w:val="0"/>
      <w:divBdr>
        <w:top w:val="none" w:sz="0" w:space="0" w:color="auto"/>
        <w:left w:val="none" w:sz="0" w:space="0" w:color="auto"/>
        <w:bottom w:val="none" w:sz="0" w:space="0" w:color="auto"/>
        <w:right w:val="none" w:sz="0" w:space="0" w:color="auto"/>
      </w:divBdr>
    </w:div>
    <w:div w:id="1124350178">
      <w:bodyDiv w:val="1"/>
      <w:marLeft w:val="0"/>
      <w:marRight w:val="0"/>
      <w:marTop w:val="0"/>
      <w:marBottom w:val="0"/>
      <w:divBdr>
        <w:top w:val="none" w:sz="0" w:space="0" w:color="auto"/>
        <w:left w:val="none" w:sz="0" w:space="0" w:color="auto"/>
        <w:bottom w:val="none" w:sz="0" w:space="0" w:color="auto"/>
        <w:right w:val="none" w:sz="0" w:space="0" w:color="auto"/>
      </w:divBdr>
    </w:div>
    <w:div w:id="1155074991">
      <w:bodyDiv w:val="1"/>
      <w:marLeft w:val="0"/>
      <w:marRight w:val="0"/>
      <w:marTop w:val="0"/>
      <w:marBottom w:val="0"/>
      <w:divBdr>
        <w:top w:val="none" w:sz="0" w:space="0" w:color="auto"/>
        <w:left w:val="none" w:sz="0" w:space="0" w:color="auto"/>
        <w:bottom w:val="none" w:sz="0" w:space="0" w:color="auto"/>
        <w:right w:val="none" w:sz="0" w:space="0" w:color="auto"/>
      </w:divBdr>
    </w:div>
    <w:div w:id="1237934076">
      <w:bodyDiv w:val="1"/>
      <w:marLeft w:val="0"/>
      <w:marRight w:val="0"/>
      <w:marTop w:val="0"/>
      <w:marBottom w:val="0"/>
      <w:divBdr>
        <w:top w:val="none" w:sz="0" w:space="0" w:color="auto"/>
        <w:left w:val="none" w:sz="0" w:space="0" w:color="auto"/>
        <w:bottom w:val="none" w:sz="0" w:space="0" w:color="auto"/>
        <w:right w:val="none" w:sz="0" w:space="0" w:color="auto"/>
      </w:divBdr>
    </w:div>
    <w:div w:id="1631352163">
      <w:bodyDiv w:val="1"/>
      <w:marLeft w:val="0"/>
      <w:marRight w:val="0"/>
      <w:marTop w:val="0"/>
      <w:marBottom w:val="0"/>
      <w:divBdr>
        <w:top w:val="none" w:sz="0" w:space="0" w:color="auto"/>
        <w:left w:val="none" w:sz="0" w:space="0" w:color="auto"/>
        <w:bottom w:val="none" w:sz="0" w:space="0" w:color="auto"/>
        <w:right w:val="none" w:sz="0" w:space="0" w:color="auto"/>
      </w:divBdr>
    </w:div>
    <w:div w:id="1678725192">
      <w:bodyDiv w:val="1"/>
      <w:marLeft w:val="0"/>
      <w:marRight w:val="0"/>
      <w:marTop w:val="0"/>
      <w:marBottom w:val="0"/>
      <w:divBdr>
        <w:top w:val="none" w:sz="0" w:space="0" w:color="auto"/>
        <w:left w:val="none" w:sz="0" w:space="0" w:color="auto"/>
        <w:bottom w:val="none" w:sz="0" w:space="0" w:color="auto"/>
        <w:right w:val="none" w:sz="0" w:space="0" w:color="auto"/>
      </w:divBdr>
    </w:div>
    <w:div w:id="1948658089">
      <w:bodyDiv w:val="1"/>
      <w:marLeft w:val="0"/>
      <w:marRight w:val="0"/>
      <w:marTop w:val="0"/>
      <w:marBottom w:val="0"/>
      <w:divBdr>
        <w:top w:val="none" w:sz="0" w:space="0" w:color="auto"/>
        <w:left w:val="none" w:sz="0" w:space="0" w:color="auto"/>
        <w:bottom w:val="none" w:sz="0" w:space="0" w:color="auto"/>
        <w:right w:val="none" w:sz="0" w:space="0" w:color="auto"/>
      </w:divBdr>
    </w:div>
    <w:div w:id="1954702077">
      <w:bodyDiv w:val="1"/>
      <w:marLeft w:val="0"/>
      <w:marRight w:val="0"/>
      <w:marTop w:val="0"/>
      <w:marBottom w:val="0"/>
      <w:divBdr>
        <w:top w:val="none" w:sz="0" w:space="0" w:color="auto"/>
        <w:left w:val="none" w:sz="0" w:space="0" w:color="auto"/>
        <w:bottom w:val="none" w:sz="0" w:space="0" w:color="auto"/>
        <w:right w:val="none" w:sz="0" w:space="0" w:color="auto"/>
      </w:divBdr>
    </w:div>
    <w:div w:id="1992832549">
      <w:bodyDiv w:val="1"/>
      <w:marLeft w:val="0"/>
      <w:marRight w:val="0"/>
      <w:marTop w:val="0"/>
      <w:marBottom w:val="0"/>
      <w:divBdr>
        <w:top w:val="none" w:sz="0" w:space="0" w:color="auto"/>
        <w:left w:val="none" w:sz="0" w:space="0" w:color="auto"/>
        <w:bottom w:val="none" w:sz="0" w:space="0" w:color="auto"/>
        <w:right w:val="none" w:sz="0" w:space="0" w:color="auto"/>
      </w:divBdr>
    </w:div>
    <w:div w:id="2003466952">
      <w:bodyDiv w:val="1"/>
      <w:marLeft w:val="0"/>
      <w:marRight w:val="0"/>
      <w:marTop w:val="0"/>
      <w:marBottom w:val="0"/>
      <w:divBdr>
        <w:top w:val="none" w:sz="0" w:space="0" w:color="auto"/>
        <w:left w:val="none" w:sz="0" w:space="0" w:color="auto"/>
        <w:bottom w:val="none" w:sz="0" w:space="0" w:color="auto"/>
        <w:right w:val="none" w:sz="0" w:space="0" w:color="auto"/>
      </w:divBdr>
    </w:div>
    <w:div w:id="213925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ofgem.bravosolutio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fgem.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dca.gov.uk/foi/codespra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verview xmlns="2cd398cc-5242-4f22-a36e-b22b9499e21b">This Invitation to Tender Document is issued by the Authority pursuant to Regulation 15(2) of the Tender Regulations 2010. This document is for information only; we will only accept submissions from parties that have been invited to respond.</Overview>
    <Ref_x0020_No_x0020_New xmlns="2cd398cc-5242-4f22-a36e-b22b9499e21b" xsi:nil="true"/>
    <Closing_x0020_Date xmlns="2cd398cc-5242-4f22-a36e-b22b9499e21b" xsi:nil="true"/>
    <_x003a_ xmlns="2cd398cc-5242-4f22-a36e-b22b9499e21b">Offshore Electricity Transmission: Invitation to Tender Document for the First Transitional Tender Round</_x003a_>
    <Work_x0020_Area xmlns="2cd398cc-5242-4f22-a36e-b22b9499e21b">Offshore Transmission</Work_x0020_Area>
    <Publication_x0020_Date_x003a_ xmlns="2cd398cc-5242-4f22-a36e-b22b9499e21b">2011-03-28T00:00:00+00:00</Publication_x0020_Date_x003a_>
    <_x003a__x003a_ xmlns="2cd398cc-5242-4f22-a36e-b22b9499e21b">- Main Document</_x003a__x003a_>
  </documentManagement>
</p:properties>
</file>

<file path=customXml/item4.xml><?xml version="1.0" encoding="utf-8"?>
<?mso-contentType ?>
<p:Policy xmlns:p="office.server.policy" id="" local="true">
  <p:Name>External Document</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Other" ma:contentTypeID="0x0101001B29A5457858BB40B9775B98A0F7A8170075FCC9F3596292448B93F27D0D4676C4" ma:contentTypeVersion="22" ma:contentTypeDescription="Any item containing internal Ofgem or external information" ma:contentTypeScope="" ma:versionID="e473bee8f5e352d5f0d924cb23ccc8c5">
  <xsd:schema xmlns:xsd="http://www.w3.org/2001/XMLSchema" xmlns:p="http://schemas.microsoft.com/office/2006/metadata/properties" xmlns:ns2="2cd398cc-5242-4f22-a36e-b22b9499e21b" targetNamespace="http://schemas.microsoft.com/office/2006/metadata/properties" ma:root="true" ma:fieldsID="63fedab223226296f9793a8caa7f48f0"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91CA-9C24-416D-A2CC-1682F66F01DF}"/>
</file>

<file path=customXml/itemProps2.xml><?xml version="1.0" encoding="utf-8"?>
<ds:datastoreItem xmlns:ds="http://schemas.openxmlformats.org/officeDocument/2006/customXml" ds:itemID="{5C6CDE7B-8F7B-4AB5-84F8-A03D59C9CA3D}"/>
</file>

<file path=customXml/itemProps3.xml><?xml version="1.0" encoding="utf-8"?>
<ds:datastoreItem xmlns:ds="http://schemas.openxmlformats.org/officeDocument/2006/customXml" ds:itemID="{76D70C5D-7BF1-4C7C-A741-1FB02512CF47}"/>
</file>

<file path=customXml/itemProps4.xml><?xml version="1.0" encoding="utf-8"?>
<ds:datastoreItem xmlns:ds="http://schemas.openxmlformats.org/officeDocument/2006/customXml" ds:itemID="{294BE7D5-1938-4D71-904D-1B82903DE4AA}">
  <ds:schemaRefs>
    <ds:schemaRef ds:uri="office.server.policy"/>
  </ds:schemaRefs>
</ds:datastoreItem>
</file>

<file path=customXml/itemProps5.xml><?xml version="1.0" encoding="utf-8"?>
<ds:datastoreItem xmlns:ds="http://schemas.openxmlformats.org/officeDocument/2006/customXml" ds:itemID="{089DC7A5-E254-4B6A-8445-D6E28B61BBA3}"/>
</file>

<file path=customXml/itemProps6.xml><?xml version="1.0" encoding="utf-8"?>
<ds:datastoreItem xmlns:ds="http://schemas.openxmlformats.org/officeDocument/2006/customXml" ds:itemID="{43DF536C-7BA5-4BCF-AA84-93BE72653110}"/>
</file>

<file path=docProps/app.xml><?xml version="1.0" encoding="utf-8"?>
<Properties xmlns="http://schemas.openxmlformats.org/officeDocument/2006/extended-properties" xmlns:vt="http://schemas.openxmlformats.org/officeDocument/2006/docPropsVTypes">
  <Template>Normal.dotm</Template>
  <TotalTime>1</TotalTime>
  <Pages>48</Pages>
  <Words>17029</Words>
  <Characters>87870</Characters>
  <Application>Microsoft Office Word</Application>
  <DocSecurity>0</DocSecurity>
  <Lines>2092</Lines>
  <Paragraphs>874</Paragraphs>
  <ScaleCrop>false</ScaleCrop>
  <HeadingPairs>
    <vt:vector size="2" baseType="variant">
      <vt:variant>
        <vt:lpstr>Title</vt:lpstr>
      </vt:variant>
      <vt:variant>
        <vt:i4>1</vt:i4>
      </vt:variant>
    </vt:vector>
  </HeadingPairs>
  <TitlesOfParts>
    <vt:vector size="1" baseType="lpstr">
      <vt:lpstr>Invitation to Tender Document 2009 Transitional Tenders - FINAL.doc</vt:lpstr>
    </vt:vector>
  </TitlesOfParts>
  <Manager> </Manager>
  <Company> </Company>
  <LinksUpToDate>false</LinksUpToDate>
  <CharactersWithSpaces>104025</CharactersWithSpaces>
  <SharedDoc>false</SharedDoc>
  <HLinks>
    <vt:vector size="18" baseType="variant">
      <vt:variant>
        <vt:i4>1638473</vt:i4>
      </vt:variant>
      <vt:variant>
        <vt:i4>6</vt:i4>
      </vt:variant>
      <vt:variant>
        <vt:i4>0</vt:i4>
      </vt:variant>
      <vt:variant>
        <vt:i4>5</vt:i4>
      </vt:variant>
      <vt:variant>
        <vt:lpwstr>http://www.ofgem.bravosolution.co.uk/</vt:lpwstr>
      </vt:variant>
      <vt:variant>
        <vt:lpwstr/>
      </vt:variant>
      <vt:variant>
        <vt:i4>327767</vt:i4>
      </vt:variant>
      <vt:variant>
        <vt:i4>3</vt:i4>
      </vt:variant>
      <vt:variant>
        <vt:i4>0</vt:i4>
      </vt:variant>
      <vt:variant>
        <vt:i4>5</vt:i4>
      </vt:variant>
      <vt:variant>
        <vt:lpwstr>http://www.ofgem.gov.uk/</vt:lpwstr>
      </vt:variant>
      <vt:variant>
        <vt:lpwstr/>
      </vt:variant>
      <vt:variant>
        <vt:i4>6553653</vt:i4>
      </vt:variant>
      <vt:variant>
        <vt:i4>0</vt:i4>
      </vt:variant>
      <vt:variant>
        <vt:i4>0</vt:i4>
      </vt:variant>
      <vt:variant>
        <vt:i4>5</vt:i4>
      </vt:variant>
      <vt:variant>
        <vt:lpwstr>http://www.dca.gov.uk/foi/codesprac.htm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Electricity Transmission: Invitation to Tender Document for the First Transitional Tender Round</dc:title>
  <dc:subject> </dc:subject>
  <dc:creator> </dc:creator>
  <cp:keywords> </cp:keywords>
  <dc:description> </dc:description>
  <cp:lastModifiedBy>Ofgem</cp:lastModifiedBy>
  <cp:revision>2</cp:revision>
  <cp:lastPrinted>2009-12-22T12:36:00Z</cp:lastPrinted>
  <dcterms:created xsi:type="dcterms:W3CDTF">2011-03-28T15:25:00Z</dcterms:created>
  <dcterms:modified xsi:type="dcterms:W3CDTF">2011-03-28T15:25:00Z</dcterms:modified>
  <cp:category> </cp:category>
  <cp:contentType>Other</cp:contentType>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0x0101001B29A5457858BB40B9775B98A0F7A8170075FCC9F3596292448B93F27D0D4676C4</vt:lpwstr>
  </property>
  <property fmtid="{D5CDD505-2E9C-101B-9397-08002B2CF9AE}" pid="3" name="Applicable Start Date">
    <vt:lpwstr>2009-02-26T00:00:00+00:00</vt:lpwstr>
  </property>
  <property fmtid="{D5CDD505-2E9C-101B-9397-08002B2CF9AE}" pid="4" name="Recipient">
    <vt:lpwstr/>
  </property>
  <property fmtid="{D5CDD505-2E9C-101B-9397-08002B2CF9AE}" pid="5" name="Applicable Duration">
    <vt:lpwstr>-</vt:lpwstr>
  </property>
  <property fmtid="{D5CDD505-2E9C-101B-9397-08002B2CF9AE}" pid="6" name="ContentType">
    <vt:lpwstr>Document</vt:lpwstr>
  </property>
  <property fmtid="{D5CDD505-2E9C-101B-9397-08002B2CF9AE}" pid="7" name="Subject">
    <vt:lpwstr> </vt:lpwstr>
  </property>
  <property fmtid="{D5CDD505-2E9C-101B-9397-08002B2CF9AE}" pid="8" name="Keywords">
    <vt:lpwstr> </vt:lpwstr>
  </property>
  <property fmtid="{D5CDD505-2E9C-101B-9397-08002B2CF9AE}" pid="9" name="_Author">
    <vt:lpwstr> </vt:lpwstr>
  </property>
  <property fmtid="{D5CDD505-2E9C-101B-9397-08002B2CF9AE}" pid="10" name="_Category">
    <vt:lpwstr> </vt:lpwstr>
  </property>
  <property fmtid="{D5CDD505-2E9C-101B-9397-08002B2CF9AE}" pid="11" name="Categories">
    <vt:lpwstr/>
  </property>
  <property fmtid="{D5CDD505-2E9C-101B-9397-08002B2CF9AE}" pid="12" name="Approval Level">
    <vt:lpwstr/>
  </property>
  <property fmtid="{D5CDD505-2E9C-101B-9397-08002B2CF9AE}" pid="13" name="_Comments">
    <vt:lpwstr> </vt:lpwstr>
  </property>
  <property fmtid="{D5CDD505-2E9C-101B-9397-08002B2CF9AE}" pid="14" name="Assigned To">
    <vt:lpwstr/>
  </property>
  <property fmtid="{D5CDD505-2E9C-101B-9397-08002B2CF9AE}" pid="15" name="Order">
    <vt:lpwstr>2576700.00000000</vt:lpwstr>
  </property>
  <property fmtid="{D5CDD505-2E9C-101B-9397-08002B2CF9AE}" pid="17" name="DLCPolicyLabelClientValue">
    <vt:lpwstr>Version : {_UIVersionString}</vt:lpwstr>
  </property>
  <property fmtid="{D5CDD505-2E9C-101B-9397-08002B2CF9AE}" pid="19" name="Meeting Date">
    <vt:lpwstr>2009-12-22T00:00:00+00:00</vt:lpwstr>
  </property>
  <property fmtid="{D5CDD505-2E9C-101B-9397-08002B2CF9AE}" pid="21" name="Classification">
    <vt:lpwstr>Unclassified</vt:lpwstr>
  </property>
  <property fmtid="{D5CDD505-2E9C-101B-9397-08002B2CF9AE}" pid="22" name="Organisation">
    <vt:lpwstr>OFGEM</vt:lpwstr>
  </property>
  <property fmtid="{D5CDD505-2E9C-101B-9397-08002B2CF9AE}" pid="23" name="DLCPolicyLabelValue">
    <vt:lpwstr>Version : 0.1</vt:lpwstr>
  </property>
</Properties>
</file>