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7E603" w14:textId="77777777" w:rsidR="00785495" w:rsidRDefault="00000000">
      <w:pPr>
        <w:spacing w:after="80"/>
      </w:pPr>
      <w:proofErr w:type="spellStart"/>
      <w:r>
        <w:rPr>
          <w:b/>
          <w:bCs/>
          <w:color w:val="1F3864"/>
          <w:sz w:val="32"/>
          <w:szCs w:val="32"/>
        </w:rPr>
        <w:t>bigspark</w:t>
      </w:r>
      <w:proofErr w:type="spellEnd"/>
      <w:r>
        <w:rPr>
          <w:b/>
          <w:bCs/>
          <w:color w:val="1F3864"/>
          <w:sz w:val="32"/>
          <w:szCs w:val="32"/>
        </w:rPr>
        <w:t xml:space="preserve"> / </w:t>
      </w:r>
      <w:proofErr w:type="spellStart"/>
      <w:r>
        <w:rPr>
          <w:b/>
          <w:bCs/>
          <w:color w:val="1F3864"/>
          <w:sz w:val="32"/>
          <w:szCs w:val="32"/>
        </w:rPr>
        <w:t>aizle</w:t>
      </w:r>
      <w:proofErr w:type="spellEnd"/>
    </w:p>
    <w:p w14:paraId="14CFCE58" w14:textId="77777777" w:rsidR="00785495" w:rsidRDefault="00000000">
      <w:pPr>
        <w:spacing w:after="80"/>
      </w:pPr>
      <w:r>
        <w:rPr>
          <w:b/>
          <w:bCs/>
          <w:sz w:val="24"/>
          <w:szCs w:val="24"/>
        </w:rPr>
        <w:t>Response to Ofgem AI Technical Sandbox Consultation</w:t>
      </w:r>
    </w:p>
    <w:p w14:paraId="032BC3DD" w14:textId="77777777" w:rsidR="00785495" w:rsidRDefault="00000000">
      <w:pPr>
        <w:spacing w:before="80" w:after="40"/>
      </w:pPr>
      <w:r>
        <w:rPr>
          <w:b/>
          <w:bCs/>
          <w:color w:val="666666"/>
          <w:sz w:val="20"/>
          <w:szCs w:val="20"/>
        </w:rPr>
        <w:t xml:space="preserve">Deadline: </w:t>
      </w:r>
      <w:r>
        <w:rPr>
          <w:color w:val="666666"/>
          <w:sz w:val="20"/>
          <w:szCs w:val="20"/>
        </w:rPr>
        <w:t>20 March 2026</w:t>
      </w:r>
    </w:p>
    <w:p w14:paraId="4105AA1C" w14:textId="77777777" w:rsidR="00785495" w:rsidRDefault="00000000">
      <w:pPr>
        <w:spacing w:before="40" w:after="40"/>
      </w:pPr>
      <w:r>
        <w:rPr>
          <w:b/>
          <w:bCs/>
          <w:color w:val="666666"/>
          <w:sz w:val="20"/>
          <w:szCs w:val="20"/>
        </w:rPr>
        <w:t xml:space="preserve">Respondent: </w:t>
      </w:r>
      <w:proofErr w:type="spellStart"/>
      <w:r>
        <w:rPr>
          <w:color w:val="666666"/>
          <w:sz w:val="20"/>
          <w:szCs w:val="20"/>
        </w:rPr>
        <w:t>bigspark</w:t>
      </w:r>
      <w:proofErr w:type="spellEnd"/>
      <w:r>
        <w:rPr>
          <w:color w:val="666666"/>
          <w:sz w:val="20"/>
          <w:szCs w:val="20"/>
        </w:rPr>
        <w:t xml:space="preserve"> Ltd</w:t>
      </w:r>
    </w:p>
    <w:p w14:paraId="115BD030" w14:textId="7B2260DB" w:rsidR="00785495" w:rsidRDefault="00000000">
      <w:pPr>
        <w:spacing w:before="40" w:after="40"/>
      </w:pPr>
      <w:r>
        <w:rPr>
          <w:b/>
          <w:bCs/>
          <w:color w:val="666666"/>
          <w:sz w:val="20"/>
          <w:szCs w:val="20"/>
        </w:rPr>
        <w:t xml:space="preserve">Contact: </w:t>
      </w:r>
      <w:r>
        <w:rPr>
          <w:color w:val="666666"/>
          <w:sz w:val="20"/>
          <w:szCs w:val="20"/>
        </w:rPr>
        <w:t>David Tracy, Head of Product</w:t>
      </w:r>
      <w:r w:rsidR="00B00E85">
        <w:rPr>
          <w:color w:val="666666"/>
          <w:sz w:val="20"/>
          <w:szCs w:val="20"/>
        </w:rPr>
        <w:t xml:space="preserve"> </w:t>
      </w:r>
      <w:hyperlink r:id="rId5" w:history="1">
        <w:r w:rsidR="00B00E85" w:rsidRPr="000C0DAE">
          <w:rPr>
            <w:rStyle w:val="Hyperlink"/>
            <w:sz w:val="20"/>
            <w:szCs w:val="20"/>
          </w:rPr>
          <w:t>david.tracy@bigspark.dev</w:t>
        </w:r>
      </w:hyperlink>
    </w:p>
    <w:p w14:paraId="0A4E8E05" w14:textId="16A2B5BA" w:rsidR="00785495" w:rsidRDefault="00000000">
      <w:pPr>
        <w:spacing w:before="40" w:after="200"/>
      </w:pPr>
      <w:r>
        <w:rPr>
          <w:b/>
          <w:bCs/>
          <w:color w:val="666666"/>
          <w:sz w:val="20"/>
          <w:szCs w:val="20"/>
        </w:rPr>
        <w:t xml:space="preserve">Website: </w:t>
      </w:r>
      <w:hyperlink r:id="rId6" w:history="1">
        <w:r w:rsidR="00B00E85" w:rsidRPr="000C0DAE">
          <w:rPr>
            <w:rStyle w:val="Hyperlink"/>
            <w:sz w:val="20"/>
            <w:szCs w:val="20"/>
          </w:rPr>
          <w:t>https://bigspark.ai</w:t>
        </w:r>
      </w:hyperlink>
      <w:r>
        <w:rPr>
          <w:color w:val="666666"/>
          <w:sz w:val="20"/>
          <w:szCs w:val="20"/>
        </w:rPr>
        <w:t xml:space="preserve"> | </w:t>
      </w:r>
      <w:hyperlink r:id="rId7" w:history="1">
        <w:r w:rsidR="00B00E85" w:rsidRPr="000C0DAE">
          <w:rPr>
            <w:rStyle w:val="Hyperlink"/>
            <w:sz w:val="20"/>
            <w:szCs w:val="20"/>
          </w:rPr>
          <w:t>https://aizle.ai</w:t>
        </w:r>
      </w:hyperlink>
    </w:p>
    <w:p w14:paraId="02AAFB5C" w14:textId="77777777" w:rsidR="00785495" w:rsidRDefault="00785495">
      <w:pPr>
        <w:pBdr>
          <w:bottom w:val="single" w:sz="4" w:space="1" w:color="CCCCCC"/>
        </w:pBdr>
        <w:spacing w:before="200" w:after="200"/>
      </w:pPr>
    </w:p>
    <w:p w14:paraId="7479ABF8" w14:textId="77777777" w:rsidR="00785495" w:rsidRDefault="00000000">
      <w:pPr>
        <w:spacing w:before="120" w:after="120"/>
      </w:pPr>
      <w:proofErr w:type="spellStart"/>
      <w:r>
        <w:t>bigspark</w:t>
      </w:r>
      <w:proofErr w:type="spellEnd"/>
      <w:r>
        <w:t xml:space="preserve"> is a data and AI engineering company. Our </w:t>
      </w:r>
      <w:proofErr w:type="spellStart"/>
      <w:r>
        <w:t>Aizle</w:t>
      </w:r>
      <w:proofErr w:type="spellEnd"/>
      <w:r>
        <w:t xml:space="preserve"> platform provides simulation-based synthetic data and is the foundational data infrastructure for the FCA’s Digital Sandbox and the Department for Business and Trade’s Smart Data Challenge Prize. We respond to this consultation as organisations with direct experience of what makes a regulatory sandbox work in practice, and where the risks of </w:t>
      </w:r>
      <w:proofErr w:type="spellStart"/>
      <w:r>
        <w:t>underdelivery</w:t>
      </w:r>
      <w:proofErr w:type="spellEnd"/>
      <w:r>
        <w:t xml:space="preserve"> tend to emerge.</w:t>
      </w:r>
    </w:p>
    <w:p w14:paraId="7AC74819" w14:textId="77777777" w:rsidR="00785495" w:rsidRDefault="00785495">
      <w:pPr>
        <w:pBdr>
          <w:bottom w:val="single" w:sz="4" w:space="1" w:color="CCCCCC"/>
        </w:pBdr>
        <w:spacing w:before="200" w:after="200"/>
      </w:pPr>
    </w:p>
    <w:p w14:paraId="4A25D35A" w14:textId="77777777" w:rsidR="00785495" w:rsidRDefault="00000000">
      <w:pPr>
        <w:pStyle w:val="Heading1"/>
      </w:pPr>
      <w:r>
        <w:t>Q1. Eligibility criteria for lead participants</w:t>
      </w:r>
    </w:p>
    <w:p w14:paraId="282A0FAB" w14:textId="77777777" w:rsidR="00785495" w:rsidRDefault="00000000">
      <w:pPr>
        <w:spacing w:before="120" w:after="120"/>
      </w:pPr>
      <w:r>
        <w:t xml:space="preserve">We broadly support the principle behind the eligibility </w:t>
      </w:r>
      <w:proofErr w:type="gramStart"/>
      <w:r>
        <w:t>criteria, and</w:t>
      </w:r>
      <w:proofErr w:type="gramEnd"/>
      <w:r>
        <w:t xml:space="preserve"> agree that regulatory accountability needs to be built into the sandbox from the start. A lead participant who sits within Ofgem’s regulatory perimeter provides a clear line of responsibility if something goes wrong, and that matters.</w:t>
      </w:r>
    </w:p>
    <w:p w14:paraId="70A7E324" w14:textId="77777777" w:rsidR="00785495" w:rsidRDefault="00000000">
      <w:pPr>
        <w:spacing w:before="120" w:after="120"/>
      </w:pPr>
      <w:r>
        <w:t>However, we think the current framing is too restrictive, and risks excluding some of the most valuable contributors to the sandbox.</w:t>
      </w:r>
    </w:p>
    <w:p w14:paraId="73C1DBFA" w14:textId="77777777" w:rsidR="00785495" w:rsidRDefault="00000000">
      <w:pPr>
        <w:spacing w:before="120" w:after="120"/>
      </w:pPr>
      <w:r>
        <w:t>Academic institutions, early-stage technology companies, and consumer advocacy groups will never hold an energy licence. Under the current proposal, their only route in is as a junior partner to a licensee. In practice, that means their participation depends entirely on finding a willing sponsor, negotiating terms, and subordinating their agenda to that of a regulated firm. Some will manage this. Many will not.</w:t>
      </w:r>
    </w:p>
    <w:p w14:paraId="6F21086B" w14:textId="03E04B02" w:rsidR="00785495" w:rsidRDefault="00000000">
      <w:pPr>
        <w:spacing w:before="120" w:after="120"/>
      </w:pPr>
      <w:r>
        <w:t xml:space="preserve">This is worth examining carefully, because some of the most genuinely novel AI use cases in energy are more likely to originate outside the licensed sector than within it. Start-ups are not constrained by legacy systems or incumbent incentives. Academics can </w:t>
      </w:r>
      <w:r w:rsidR="00B00E85">
        <w:t>have freedom and flexibility</w:t>
      </w:r>
      <w:r>
        <w:t xml:space="preserve"> that </w:t>
      </w:r>
      <w:r w:rsidR="00B00E85">
        <w:t>establish</w:t>
      </w:r>
      <w:r>
        <w:t xml:space="preserve">ed firms </w:t>
      </w:r>
      <w:r w:rsidR="00B00E85">
        <w:t>do not</w:t>
      </w:r>
      <w:r>
        <w:t>. Consumer groups understand vulnerability, affordability, and lived experience in ways that no licensee can replicate from transactional data alone.</w:t>
      </w:r>
    </w:p>
    <w:p w14:paraId="614CE1C9" w14:textId="77777777" w:rsidR="00785495" w:rsidRDefault="00000000">
      <w:pPr>
        <w:spacing w:before="120" w:after="120"/>
      </w:pPr>
      <w:r>
        <w:t>The FCA’s experience is relevant here. Its Digital Sandbox evolved precisely because a licensed-firm-first model was too narrow to capture the full range of innovation the market could offer.</w:t>
      </w:r>
    </w:p>
    <w:p w14:paraId="5D7ED208" w14:textId="77777777" w:rsidR="00785495" w:rsidRDefault="00000000">
      <w:pPr>
        <w:spacing w:before="120" w:after="120"/>
      </w:pPr>
      <w:r>
        <w:t>We would suggest Ofgem considers two complementary additions to the eligibility framework.</w:t>
      </w:r>
    </w:p>
    <w:p w14:paraId="654C59F7" w14:textId="77777777" w:rsidR="00785495" w:rsidRDefault="00000000">
      <w:pPr>
        <w:spacing w:before="120" w:after="120"/>
      </w:pPr>
      <w:r>
        <w:t>First, a sponsored participation pathway, where a non-licensed entity can lead a use case provided a named licensed organisation takes on defined accountability responsibilities. This preserves regulatory assurance while opening the door to a richer innovation ecosystem.</w:t>
      </w:r>
    </w:p>
    <w:p w14:paraId="3D24497F" w14:textId="77777777" w:rsidR="00785495" w:rsidRDefault="00000000">
      <w:pPr>
        <w:spacing w:before="120" w:after="120"/>
      </w:pPr>
      <w:r>
        <w:t xml:space="preserve">The second is a defined carve-out for certain classes of participant. Academic institutions and consumer advocacy groups bring perspectives that licensed firms structurally cannot replicate, and their participation should not depend on finding a willing commercial sponsor. A lightweight accreditation or registration process, specific to the sandbox, would give Ofgem the governance </w:t>
      </w:r>
      <w:proofErr w:type="gramStart"/>
      <w:r>
        <w:t>handle</w:t>
      </w:r>
      <w:proofErr w:type="gramEnd"/>
      <w:r>
        <w:t xml:space="preserve"> it needs without requiring these organisations to meet criteria designed for energy market operators.</w:t>
      </w:r>
    </w:p>
    <w:p w14:paraId="34247523" w14:textId="77777777" w:rsidR="00785495" w:rsidRDefault="00000000">
      <w:pPr>
        <w:spacing w:before="120" w:after="120"/>
      </w:pPr>
      <w:r>
        <w:lastRenderedPageBreak/>
        <w:t>Beyond these two groups, Ofgem should also consider whether firms already supervised by a regulator of comparable stature, such as the FCA, PRA, or Ofcom, or an internationally recognised equivalent, might qualify for a streamlined entry route. Where a firm already operates under active regulatory supervision, the accountability question is largely answered. Ofgem would not need to create that oversight from scratch. We would suggest publishing a defined list of qualifying bodies to keep this practical and prevent ambiguity.</w:t>
      </w:r>
    </w:p>
    <w:p w14:paraId="75AE9E0C" w14:textId="77777777" w:rsidR="00785495" w:rsidRDefault="00000000">
      <w:pPr>
        <w:spacing w:before="120" w:after="120"/>
      </w:pPr>
      <w:r>
        <w:t>The one caution worth noting is that regulatory equivalence is not uniform across jurisdictions. Any overseas accreditation pathway would benefit from a simple equivalence assessment to ensure the supervision in question is substantive rather than nominal.</w:t>
      </w:r>
    </w:p>
    <w:p w14:paraId="46F22680" w14:textId="77777777" w:rsidR="00785495" w:rsidRDefault="00785495">
      <w:pPr>
        <w:pBdr>
          <w:bottom w:val="single" w:sz="4" w:space="1" w:color="CCCCCC"/>
        </w:pBdr>
        <w:spacing w:before="200" w:after="200"/>
      </w:pPr>
    </w:p>
    <w:p w14:paraId="52BBC4F4" w14:textId="77777777" w:rsidR="00785495" w:rsidRDefault="00000000">
      <w:pPr>
        <w:pStyle w:val="Heading1"/>
      </w:pPr>
      <w:r>
        <w:t>Q2. Use case selection criteria</w:t>
      </w:r>
    </w:p>
    <w:p w14:paraId="087FB749" w14:textId="77777777" w:rsidR="00785495" w:rsidRDefault="00000000">
      <w:pPr>
        <w:spacing w:before="120" w:after="120"/>
      </w:pPr>
      <w:r>
        <w:t>We support the proposed criteria but want to flag two specific concerns, propose one addition, and make the case that the data access question deserves more explicit treatment than the current framing provides.</w:t>
      </w:r>
    </w:p>
    <w:p w14:paraId="26A71B8D" w14:textId="77777777" w:rsidR="00785495" w:rsidRDefault="00000000">
      <w:pPr>
        <w:spacing w:before="200" w:after="80"/>
      </w:pPr>
      <w:r>
        <w:rPr>
          <w:b/>
          <w:bCs/>
          <w:color w:val="1F3864"/>
        </w:rPr>
        <w:t>Data access: why synthetic data must be explicitly recognised</w:t>
      </w:r>
    </w:p>
    <w:p w14:paraId="73D8B441" w14:textId="77777777" w:rsidR="00785495" w:rsidRDefault="00000000">
      <w:pPr>
        <w:spacing w:before="120" w:after="120"/>
      </w:pPr>
      <w:r>
        <w:t>On testability and data access, we welcome that Ofgem has recognised data availability as a selection criterion. In practice, however, this criterion may prove harder to satisfy than the consultation anticipates, and we think the guidance should be explicit about why.</w:t>
      </w:r>
    </w:p>
    <w:p w14:paraId="5B881F1E" w14:textId="77777777" w:rsidR="00785495" w:rsidRDefault="00000000">
      <w:pPr>
        <w:spacing w:before="120" w:after="120"/>
      </w:pPr>
      <w:r>
        <w:t>Obtaining real operational data for sandbox testing is not simply a procurement question. It involves data protection obligations, information security reviews, legal agreements between multiple organisations, and the risk of inadvertent disclosure. For use cases that require data spanning more than one company or sector, these challenges multiply. Matching and joining real-world data points across multiple suppliers and domains is, in many cases, practically impossible.</w:t>
      </w:r>
    </w:p>
    <w:p w14:paraId="101EA555" w14:textId="77777777" w:rsidR="00785495" w:rsidRDefault="00000000">
      <w:pPr>
        <w:spacing w:before="120" w:after="120"/>
      </w:pPr>
      <w:r>
        <w:t>Synthetic data offers a direct solution to this. It carries zero privacy or disclosure risk, requires no data sharing agreements between organisations, and can be produced with full referential integrity across sectors and companies. Critically, it can be constructed to include rare or sensitive events, such as fraud, vulnerability indicators, or payment defaults, at a frequency that makes them meaningful for AI training and testing, without exposing any real individual.</w:t>
      </w:r>
    </w:p>
    <w:p w14:paraId="02B962C8" w14:textId="77777777" w:rsidR="00785495" w:rsidRDefault="00000000">
      <w:pPr>
        <w:spacing w:before="120" w:after="120"/>
      </w:pPr>
      <w:r>
        <w:t xml:space="preserve">It is also worth addressing a common misconception that anonymisation of real data provides an equivalent level of protection. It does not. Anonymisation exists on a spectrum, and the degree of protection it offers depends entirely on what other data is available to a potential attacker. Smart meter data at half-hourly granularity is particularly vulnerable to this: usage patterns reveal when a property is occupied, daily routines, household composition, and in some cases whether medical equipment is in use. Even without a name attached, that data is personal in any meaningful sense. The ICO has acknowledged that re-identification risk increases as datasets become richer and more linkable, which is precisely the direction of travel in a cross-sector sandbox environment. There is a further problem: the fields most useful for AI innovation are often the same fields that carry the highest re-identification risk. Stripping or generalising them reduces privacy risk but removes the signal the AI needs to function. Synthetic data sidesteps this </w:t>
      </w:r>
      <w:proofErr w:type="spellStart"/>
      <w:r>
        <w:t>tradeoff</w:t>
      </w:r>
      <w:proofErr w:type="spellEnd"/>
      <w:r>
        <w:t xml:space="preserve"> entirely, preserving full analytical utility with zero disclosure risk.</w:t>
      </w:r>
    </w:p>
    <w:p w14:paraId="1D0F4F47" w14:textId="77777777" w:rsidR="00785495" w:rsidRDefault="00000000">
      <w:pPr>
        <w:spacing w:before="120" w:after="120"/>
      </w:pPr>
      <w:r>
        <w:t xml:space="preserve">This is not a theoretical proposition. Synthetic data has been the foundation of the FCA’s Digital Sandbox since its launch, where it has been used by organisations from early-stage start-ups to global banks. The Department for Business and Trade similarly adopted synthetic data as the basis for its Smart Data Challenge Prize, where participants used linked energy, banking, property and retail data to build prototype products. In both cases, </w:t>
      </w:r>
      <w:r>
        <w:lastRenderedPageBreak/>
        <w:t>synthetic data enabled innovation that would have been blocked or severely delayed by the practicalities of accessing real data.</w:t>
      </w:r>
    </w:p>
    <w:p w14:paraId="6F61083F" w14:textId="77777777" w:rsidR="00785495" w:rsidRDefault="00000000">
      <w:pPr>
        <w:spacing w:before="120" w:after="120"/>
      </w:pPr>
      <w:r>
        <w:t>We would suggest that the testability criterion is strengthened to explicitly acknowledge synthetic data as a valid and preferred route to satisfying the data access requirement, particularly for use cases involving personal data, cross-sector data linkage, or sensitive consumer characteristics.</w:t>
      </w:r>
    </w:p>
    <w:p w14:paraId="7886453B" w14:textId="77777777" w:rsidR="00785495" w:rsidRDefault="00000000">
      <w:pPr>
        <w:spacing w:before="120" w:after="120"/>
      </w:pPr>
      <w:r>
        <w:t>A related and underexplored dimension of data access is consent. Where firms intend to bring their own customer data into the sandbox, the question of whether adequate consent exists for that data to be used in AI testing is not straightforward. Standard customer consent for data processing does not automatically extend to use in a regulatory innovation environment. This risk is largely eliminated by using synthetic data, which carries no consent obligations, but Ofgem should address it explicitly in the application guidance rather than leaving it to individual participants to interpret.</w:t>
      </w:r>
    </w:p>
    <w:p w14:paraId="521ADB73" w14:textId="77777777" w:rsidR="00785495" w:rsidRDefault="00000000">
      <w:pPr>
        <w:spacing w:before="200" w:after="80"/>
      </w:pPr>
      <w:r>
        <w:rPr>
          <w:b/>
          <w:bCs/>
          <w:color w:val="1F3864"/>
        </w:rPr>
        <w:t>The innovation criterion: regulatory novelty matters too</w:t>
      </w:r>
    </w:p>
    <w:p w14:paraId="6B619DB8" w14:textId="77777777" w:rsidR="00785495" w:rsidRDefault="00000000">
      <w:pPr>
        <w:spacing w:before="120" w:after="120"/>
      </w:pPr>
      <w:r>
        <w:t xml:space="preserve">On the innovation criterion, we support the principle but would note one risk. Defining innovation as “not currently possible in the live market” could inadvertently exclude use cases that are technically possible </w:t>
      </w:r>
      <w:proofErr w:type="gramStart"/>
      <w:r>
        <w:t>today</w:t>
      </w:r>
      <w:proofErr w:type="gramEnd"/>
      <w:r>
        <w:t xml:space="preserve"> but where regulatory uncertainty is the actual barrier. A use case might be deliverable with existing technology but untested in a regulated context. We would suggest the criterion is framed around regulatory novelty as well as technical novelty.</w:t>
      </w:r>
    </w:p>
    <w:p w14:paraId="1AEC9EF9" w14:textId="77777777" w:rsidR="00785495" w:rsidRDefault="00000000">
      <w:pPr>
        <w:spacing w:before="200" w:after="80"/>
      </w:pPr>
      <w:r>
        <w:rPr>
          <w:b/>
          <w:bCs/>
          <w:color w:val="1F3864"/>
        </w:rPr>
        <w:t>Additional criterion: cross-domain data readiness</w:t>
      </w:r>
    </w:p>
    <w:p w14:paraId="029B6524" w14:textId="77777777" w:rsidR="00785495" w:rsidRDefault="00000000">
      <w:pPr>
        <w:spacing w:before="120" w:after="120"/>
      </w:pPr>
      <w:r>
        <w:t xml:space="preserve">On cross-domain data readiness, we would propose an additional criterion. Many of the highest-value AI use cases in energy, including vulnerability identification, fuel poverty detection, demand-side response optimisation, and switching behaviour analysis, cannot be properly explored using energy data alone. They require linkage to financial, property, demographic, or other consumer data. The current criteria do not acknowledge </w:t>
      </w:r>
      <w:proofErr w:type="gramStart"/>
      <w:r>
        <w:t>this, and</w:t>
      </w:r>
      <w:proofErr w:type="gramEnd"/>
      <w:r>
        <w:t xml:space="preserve"> use cases that attempt it will encounter the data access challenges described above in their most acute form.</w:t>
      </w:r>
    </w:p>
    <w:p w14:paraId="1E83CFC6" w14:textId="77777777" w:rsidR="00785495" w:rsidRDefault="00000000">
      <w:pPr>
        <w:spacing w:before="120" w:after="120"/>
      </w:pPr>
      <w:r>
        <w:t>Ofgem should consider whether use cases that require cross-domain data linkage are given explicit recognition in the selection criteria, and whether guidance on how to satisfy the data access requirement in those cases is provided as part of the application process.</w:t>
      </w:r>
    </w:p>
    <w:p w14:paraId="41C6B387" w14:textId="77777777" w:rsidR="00785495" w:rsidRDefault="00000000">
      <w:pPr>
        <w:spacing w:before="120" w:after="120"/>
      </w:pPr>
      <w:r>
        <w:t xml:space="preserve">In short, the testability and data access criteria are only as strong as the guidance that sits behind them. Ofgem should be explicit about how participants are expected to meet those criteria, and simulation-based synthetic data is the most practical and lowest-risk route for </w:t>
      </w:r>
      <w:proofErr w:type="gramStart"/>
      <w:r>
        <w:t>the majority of</w:t>
      </w:r>
      <w:proofErr w:type="gramEnd"/>
      <w:r>
        <w:t xml:space="preserve"> use cases the sandbox will attract.</w:t>
      </w:r>
    </w:p>
    <w:p w14:paraId="7EE20F4A" w14:textId="77777777" w:rsidR="00785495" w:rsidRDefault="00785495">
      <w:pPr>
        <w:pBdr>
          <w:bottom w:val="single" w:sz="4" w:space="1" w:color="CCCCCC"/>
        </w:pBdr>
        <w:spacing w:before="200" w:after="200"/>
      </w:pPr>
    </w:p>
    <w:p w14:paraId="41719480" w14:textId="77777777" w:rsidR="00785495" w:rsidRDefault="00000000">
      <w:pPr>
        <w:pStyle w:val="Heading1"/>
      </w:pPr>
      <w:r>
        <w:t>Q3. Distinctiveness from other initiatives</w:t>
      </w:r>
    </w:p>
    <w:p w14:paraId="3D5ACDD7" w14:textId="77777777" w:rsidR="00785495" w:rsidRDefault="00000000">
      <w:pPr>
        <w:spacing w:before="120" w:after="120"/>
      </w:pPr>
      <w:r>
        <w:t>We broadly support the proposed alignment framework, and offer observations grounded in direct experience of the FCA model, with a specific focus on the technical infrastructure layer that the consultation does not yet address in depth.</w:t>
      </w:r>
    </w:p>
    <w:p w14:paraId="5F9774B0" w14:textId="77777777" w:rsidR="00785495" w:rsidRDefault="00000000">
      <w:pPr>
        <w:spacing w:before="120" w:after="120"/>
      </w:pPr>
      <w:r>
        <w:t>The proposed alignment framework is broadly coherent. The distinctions between the AI Technical Sandbox, the AI Reg Lab, the Energy Regulation Sandbox, and the Future Regulation Sandbox are clearly articulated, and we support the intention to join up with UKRI, SIF, NIA, and NESO programmes. Avoiding duplication while enabling evidence to flow between initiatives is the right design principle.</w:t>
      </w:r>
    </w:p>
    <w:p w14:paraId="50647DFF" w14:textId="77777777" w:rsidR="00785495" w:rsidRDefault="00000000">
      <w:pPr>
        <w:spacing w:before="120" w:after="120"/>
      </w:pPr>
      <w:r>
        <w:lastRenderedPageBreak/>
        <w:t xml:space="preserve">On the FCA alignment, we would offer a perspective grounded in direct experience. </w:t>
      </w:r>
      <w:proofErr w:type="spellStart"/>
      <w:r>
        <w:t>bigspark</w:t>
      </w:r>
      <w:proofErr w:type="spellEnd"/>
      <w:r>
        <w:t xml:space="preserve"> and </w:t>
      </w:r>
      <w:proofErr w:type="spellStart"/>
      <w:r>
        <w:t>Aizle</w:t>
      </w:r>
      <w:proofErr w:type="spellEnd"/>
      <w:r>
        <w:t xml:space="preserve"> have been active participants in the FCA’s Digital Sandbox since its early </w:t>
      </w:r>
      <w:proofErr w:type="gramStart"/>
      <w:r>
        <w:t>stages, and</w:t>
      </w:r>
      <w:proofErr w:type="gramEnd"/>
      <w:r>
        <w:t xml:space="preserve"> are now supplying three large-scale datasets across the Digital Sandbox, AI Supercharged Sandbox, and the Smart Data Accelerator, including the </w:t>
      </w:r>
      <w:proofErr w:type="spellStart"/>
      <w:r>
        <w:t>Aizle</w:t>
      </w:r>
      <w:proofErr w:type="spellEnd"/>
      <w:r>
        <w:t xml:space="preserve"> APP Fraud dataset which is the most-used dataset in the sandbox. </w:t>
      </w:r>
      <w:proofErr w:type="spellStart"/>
      <w:r>
        <w:t>bigspark</w:t>
      </w:r>
      <w:proofErr w:type="spellEnd"/>
      <w:r>
        <w:t xml:space="preserve"> also contributes to the FCA’s Synthetic Data Expert Group through David Tracy’s membership. That experience leads us to one observation the consultation does not yet address in depth.</w:t>
      </w:r>
    </w:p>
    <w:p w14:paraId="3A42755B" w14:textId="77777777" w:rsidR="00785495" w:rsidRDefault="00000000">
      <w:pPr>
        <w:spacing w:before="120" w:after="120"/>
      </w:pPr>
      <w:r>
        <w:t>The consultation references the FCA primarily as a model for governance and transparent evaluation. That is valid, but it captures only part of the picture. What made the FCA Digital Sandbox genuinely functional was the combination of three things working together: high quality representative data, a purpose-built technical platform to host and access that data safely, and a governance framework to oversee it. Ofgem’s consultation addresses the first and third of these in some depth. The second receives less attention than it deserves.</w:t>
      </w:r>
    </w:p>
    <w:p w14:paraId="229CF61B" w14:textId="77777777" w:rsidR="00785495" w:rsidRDefault="00000000">
      <w:pPr>
        <w:spacing w:before="120" w:after="120"/>
      </w:pPr>
      <w:r>
        <w:t xml:space="preserve">A sandbox without a mature, purpose-built hosting environment creates practical problems that governance cannot solve. Security reviews, integration complexity, and access controls become blockers that slow or prevent participation, particularly for smaller organisations. The FCA’s experience demonstrates that investing in the right technical infrastructure from the outset is what compresses timelines from months to weeks and enables the breadth of participation that makes a sandbox valuable. We would encourage Ofgem to </w:t>
      </w:r>
      <w:proofErr w:type="gramStart"/>
      <w:r>
        <w:t>give explicit consideration to</w:t>
      </w:r>
      <w:proofErr w:type="gramEnd"/>
      <w:r>
        <w:t xml:space="preserve"> the platform layer as it develops the pilot design.</w:t>
      </w:r>
    </w:p>
    <w:p w14:paraId="7A9A3FAC" w14:textId="77777777" w:rsidR="00785495" w:rsidRDefault="00000000">
      <w:pPr>
        <w:spacing w:before="120" w:after="120"/>
      </w:pPr>
      <w:r>
        <w:t>The FCA has since gone further still, launching its Supercharged Sandbox in partnership with NVIDIA to provide firms with advanced compute infrastructure specifically for AI experimentation. This underlines the point: the FCA’s model works not because of governance alone, but because it has invested progressively in the technical environment that makes meaningful testing possible.</w:t>
      </w:r>
    </w:p>
    <w:p w14:paraId="0A89AFD6" w14:textId="77777777" w:rsidR="00785495" w:rsidRDefault="00000000">
      <w:pPr>
        <w:spacing w:before="120" w:after="120"/>
      </w:pPr>
      <w:r>
        <w:t>We would also draw Ofgem’s attention to the Department for Business and Trade’s Smart Data Challenge Prize as a directly relevant domestic model. This initiative used synthetic data spanning energy, banking, property, and retail to enable innovators to build prototype products under the Data (Use and Access) Act. The build phase completed in November 2025, and its outputs are now informing UK smart data policy. The energy data component overlaps significantly with the use cases the Ofgem sandbox is likely to attract, and closer coordination between these two initiatives would avoid duplication and could accelerate learning on both sides.</w:t>
      </w:r>
    </w:p>
    <w:p w14:paraId="5F2B4C14" w14:textId="77777777" w:rsidR="00785495" w:rsidRDefault="00000000">
      <w:pPr>
        <w:spacing w:before="120" w:after="120"/>
      </w:pPr>
      <w:r>
        <w:t>We would be happy to engage with any of the NESO, SIF, NIA, and UKRI bodies referenced in the consultation if it would help accelerate alignment across these programmes.</w:t>
      </w:r>
    </w:p>
    <w:p w14:paraId="1B1282F8" w14:textId="77777777" w:rsidR="00785495" w:rsidRDefault="00785495">
      <w:pPr>
        <w:pBdr>
          <w:bottom w:val="single" w:sz="4" w:space="1" w:color="CCCCCC"/>
        </w:pBdr>
        <w:spacing w:before="200" w:after="200"/>
      </w:pPr>
    </w:p>
    <w:p w14:paraId="3037268E" w14:textId="77777777" w:rsidR="00785495" w:rsidRDefault="00000000">
      <w:pPr>
        <w:pStyle w:val="Heading1"/>
      </w:pPr>
      <w:r>
        <w:t>Q4. Governance structure</w:t>
      </w:r>
    </w:p>
    <w:p w14:paraId="4ECEF3D8" w14:textId="77777777" w:rsidR="00785495" w:rsidRDefault="00000000">
      <w:pPr>
        <w:spacing w:before="120" w:after="120"/>
      </w:pPr>
      <w:r>
        <w:t xml:space="preserve">The proposed governance structure is appropriate for a pilot of this </w:t>
      </w:r>
      <w:proofErr w:type="gramStart"/>
      <w:r>
        <w:t>nature</w:t>
      </w:r>
      <w:proofErr w:type="gramEnd"/>
      <w:r>
        <w:t xml:space="preserve"> and we support its broad design. A Steering Group with published criteria, regular reporting, and transparent use case selection provides the accountability framework the sandbox needs. We would offer two observations on how it could be strengthened.</w:t>
      </w:r>
    </w:p>
    <w:p w14:paraId="746D92A3" w14:textId="77777777" w:rsidR="00785495" w:rsidRDefault="00000000">
      <w:pPr>
        <w:spacing w:before="200" w:after="80"/>
      </w:pPr>
      <w:r>
        <w:rPr>
          <w:b/>
          <w:bCs/>
          <w:color w:val="1F3864"/>
        </w:rPr>
        <w:t>Steering Group composition</w:t>
      </w:r>
    </w:p>
    <w:p w14:paraId="2A9F6A02" w14:textId="77777777" w:rsidR="00785495" w:rsidRDefault="00000000">
      <w:pPr>
        <w:spacing w:before="120" w:after="120"/>
      </w:pPr>
      <w:r>
        <w:t xml:space="preserve">On Steering Group composition, the consultation describes membership drawn from licensees, market participants, operators of essential services, consumer groups, and independent experts. We would suggest that independent expertise should explicitly include people with direct experience of running or participating in regulatory sandboxes in other sectors. The FCA’s Digital Sandbox, for example, has generated a body of practical knowledge about what works and what does not in a regulated innovation environment. That </w:t>
      </w:r>
      <w:r>
        <w:lastRenderedPageBreak/>
        <w:t>knowledge is not automatically transferable, but it is directly relevant, and having it represented on the Steering Group from the outset would help Ofgem avoid problems that other regulators have already encountered and solved.</w:t>
      </w:r>
    </w:p>
    <w:p w14:paraId="40B28CB1" w14:textId="77777777" w:rsidR="00785495" w:rsidRDefault="00000000">
      <w:pPr>
        <w:spacing w:before="200" w:after="80"/>
      </w:pPr>
      <w:r>
        <w:rPr>
          <w:b/>
          <w:bCs/>
          <w:color w:val="1F3864"/>
        </w:rPr>
        <w:t xml:space="preserve">A </w:t>
      </w:r>
      <w:proofErr w:type="spellStart"/>
      <w:r>
        <w:rPr>
          <w:b/>
          <w:bCs/>
          <w:color w:val="1F3864"/>
        </w:rPr>
        <w:t>TechSprint</w:t>
      </w:r>
      <w:proofErr w:type="spellEnd"/>
      <w:r>
        <w:rPr>
          <w:b/>
          <w:bCs/>
          <w:color w:val="1F3864"/>
        </w:rPr>
        <w:t xml:space="preserve"> to complement open forums</w:t>
      </w:r>
    </w:p>
    <w:p w14:paraId="1CCC4476" w14:textId="77777777" w:rsidR="00785495" w:rsidRDefault="00000000">
      <w:pPr>
        <w:spacing w:before="120" w:after="120"/>
      </w:pPr>
      <w:r>
        <w:t xml:space="preserve">On working groups and open forums, we welcome their inclusion but would encourage Ofgem to consider a more active engagement format alongside them. Consultation-style forums are useful for gathering views but tend to attract the same voices and produce the same outputs. The FCA’s </w:t>
      </w:r>
      <w:proofErr w:type="spellStart"/>
      <w:r>
        <w:t>TechSprint</w:t>
      </w:r>
      <w:proofErr w:type="spellEnd"/>
      <w:r>
        <w:t xml:space="preserve"> model offers a more productive alternative: time-limited, problem-focused events where diverse participants, including technology providers, consumer groups, academics, and regulated firms, work together against a shared dataset or challenge. These events have consistently produced insights and prototypes that no individual organisation would have developed alone, and they create the kind of cross-sector relationships that sustain an innovation ecosystem long after the event itself. A </w:t>
      </w:r>
      <w:proofErr w:type="spellStart"/>
      <w:r>
        <w:t>TechSprint</w:t>
      </w:r>
      <w:proofErr w:type="spellEnd"/>
      <w:r>
        <w:t xml:space="preserve"> equivalent, run early in the pilot with representative synthetic data as the shared foundation, would help Ofgem test its data and governance arrangements under realistic conditions before committing to a full application process.</w:t>
      </w:r>
    </w:p>
    <w:p w14:paraId="636B1465" w14:textId="77777777" w:rsidR="00785495" w:rsidRDefault="00785495">
      <w:pPr>
        <w:pBdr>
          <w:bottom w:val="single" w:sz="4" w:space="1" w:color="CCCCCC"/>
        </w:pBdr>
        <w:spacing w:before="200" w:after="200"/>
      </w:pPr>
    </w:p>
    <w:p w14:paraId="1DFA4301" w14:textId="77777777" w:rsidR="00785495" w:rsidRDefault="00000000">
      <w:pPr>
        <w:pStyle w:val="Heading1"/>
      </w:pPr>
      <w:r>
        <w:t>Q5. Next steps and timeline</w:t>
      </w:r>
    </w:p>
    <w:p w14:paraId="24E94ED0" w14:textId="77777777" w:rsidR="00785495" w:rsidRDefault="00000000">
      <w:pPr>
        <w:spacing w:before="120" w:after="120"/>
      </w:pPr>
      <w:r>
        <w:t xml:space="preserve">The proposed timeline is broadly </w:t>
      </w:r>
      <w:proofErr w:type="gramStart"/>
      <w:r>
        <w:t>sensible</w:t>
      </w:r>
      <w:proofErr w:type="gramEnd"/>
      <w:r>
        <w:t xml:space="preserve"> and the sequencing of consultation, decision, guidance, and pilot launch is logical. We have one observation about how the pre-launch window is used.</w:t>
      </w:r>
    </w:p>
    <w:p w14:paraId="2581460D" w14:textId="77777777" w:rsidR="00785495" w:rsidRDefault="00000000">
      <w:pPr>
        <w:spacing w:before="120" w:after="120"/>
      </w:pPr>
      <w:r>
        <w:t>The gap between consultation close and anticipated pilot launch is approximately six months. That window carries a risk that is worth naming. If data sourcing, platform procurement, and legal agreements are left until after participants have been selected, the effective testing period within the 12-month pilot will be significantly shorter than intended. Participants will spend the early months of the pilot on setup rather than on innovation. The FCA’s experience suggests this is one of the most common reasons sandbox pilots underdeliver against their objectives.</w:t>
      </w:r>
    </w:p>
    <w:p w14:paraId="6B6914F2" w14:textId="77777777" w:rsidR="00785495" w:rsidRDefault="00000000">
      <w:pPr>
        <w:spacing w:before="120" w:after="120"/>
      </w:pPr>
      <w:r>
        <w:t xml:space="preserve">We would encourage Ofgem to use the pre-launch period to get the foundational infrastructure in place before applications open. That means having representative datasets available and accessible, and a hosting environment ready to receive participants, from day one of the pilot. Simulation-based synthetic data from the </w:t>
      </w:r>
      <w:proofErr w:type="spellStart"/>
      <w:r>
        <w:t>Aizle</w:t>
      </w:r>
      <w:proofErr w:type="spellEnd"/>
      <w:r>
        <w:t xml:space="preserve"> platform is particularly well suited to this approach. It requires no data sharing agreements, no information security reviews of third-party systems, and can be ready immediately, and updated or extended as the pilot evolves. We would encourage Ofgem to identify data and platform partners as part of the pre-launch phase rather than as a downstream procurement exercise, and we would welcome early engagement about how </w:t>
      </w:r>
      <w:proofErr w:type="spellStart"/>
      <w:r>
        <w:t>bigspark</w:t>
      </w:r>
      <w:proofErr w:type="spellEnd"/>
      <w:r>
        <w:t xml:space="preserve"> and </w:t>
      </w:r>
      <w:proofErr w:type="spellStart"/>
      <w:r>
        <w:t>Aizle</w:t>
      </w:r>
      <w:proofErr w:type="spellEnd"/>
      <w:r>
        <w:t xml:space="preserve"> can contribute to that groundwork.</w:t>
      </w:r>
    </w:p>
    <w:p w14:paraId="395578E8" w14:textId="77777777" w:rsidR="00785495" w:rsidRDefault="00785495">
      <w:pPr>
        <w:pBdr>
          <w:bottom w:val="single" w:sz="4" w:space="1" w:color="CCCCCC"/>
        </w:pBdr>
        <w:spacing w:before="200" w:after="200"/>
      </w:pPr>
    </w:p>
    <w:p w14:paraId="1F0C32D3" w14:textId="77777777" w:rsidR="00785495" w:rsidRDefault="00000000">
      <w:pPr>
        <w:pStyle w:val="Heading1"/>
      </w:pPr>
      <w:r>
        <w:t>Q6. Ethical considerations</w:t>
      </w:r>
    </w:p>
    <w:p w14:paraId="32069AA0" w14:textId="77777777" w:rsidR="00785495" w:rsidRDefault="00000000">
      <w:pPr>
        <w:spacing w:before="120" w:after="120"/>
      </w:pPr>
      <w:r>
        <w:t>The ethical framework is well-conceived, but its effectiveness will depend on the quality and representativeness of the data used at each checkpoint. We want to make a specific case for why simulation-based synthetic data is the right foundation for ethics testing, and why not all synthetic data is equally suited to this purpose.</w:t>
      </w:r>
    </w:p>
    <w:p w14:paraId="4266BB06" w14:textId="77777777" w:rsidR="00785495" w:rsidRDefault="00000000">
      <w:pPr>
        <w:spacing w:before="120" w:after="120"/>
      </w:pPr>
      <w:r>
        <w:t xml:space="preserve">The consultation’s treatment of ethics and responsible AI is thoughtful, and we welcome the commitment to pre and post-test ethics reviews covering fairness, transparency, data </w:t>
      </w:r>
      <w:r>
        <w:lastRenderedPageBreak/>
        <w:t>protection, and consumer outcomes. The integration of ethical assurance alongside technical safety is the right design principle.</w:t>
      </w:r>
    </w:p>
    <w:p w14:paraId="7A21B948" w14:textId="77777777" w:rsidR="00785495" w:rsidRDefault="00000000">
      <w:pPr>
        <w:spacing w:before="200" w:after="80"/>
      </w:pPr>
      <w:r>
        <w:rPr>
          <w:b/>
          <w:bCs/>
          <w:color w:val="1F3864"/>
        </w:rPr>
        <w:t>Why standard datasets fail vulnerable consumers</w:t>
      </w:r>
    </w:p>
    <w:p w14:paraId="7ACDF2C4" w14:textId="77777777" w:rsidR="00785495" w:rsidRDefault="00000000">
      <w:pPr>
        <w:spacing w:before="120" w:after="120"/>
      </w:pPr>
      <w:r>
        <w:t>The observation is this: ethics checkpoints are only as good as the data they are run against. A pre-test fairness review that uses incomplete or unrepresentative data will not surface the biases it is designed to catch. Many of the consumer groups that matter most for Ofgem’s purposes, including those in fuel poverty, those with disabilities or health conditions, those in non-standard housing, and those with complex or irregular financial lives, are systematically underrepresented in operational datasets. An AI model trained or tested on data that skews towards the mainstream will appear to perform well against standard metrics while failing the people who most need it to work.</w:t>
      </w:r>
    </w:p>
    <w:p w14:paraId="49E753E5" w14:textId="77777777" w:rsidR="00785495" w:rsidRDefault="00000000">
      <w:pPr>
        <w:spacing w:before="200" w:after="80"/>
      </w:pPr>
      <w:r>
        <w:rPr>
          <w:b/>
          <w:bCs/>
          <w:color w:val="1F3864"/>
        </w:rPr>
        <w:t>Why not all synthetic data is equal for this purpose</w:t>
      </w:r>
    </w:p>
    <w:p w14:paraId="4A8A5A6C" w14:textId="77777777" w:rsidR="00785495" w:rsidRDefault="00000000">
      <w:pPr>
        <w:spacing w:before="120" w:after="120"/>
      </w:pPr>
      <w:r>
        <w:t xml:space="preserve">Synthetic data is increasingly cited as a solution to this problem, and in many cases it is. But it is worth being precise about what kind of synthetic data </w:t>
      </w:r>
      <w:proofErr w:type="gramStart"/>
      <w:r>
        <w:t>actually helps</w:t>
      </w:r>
      <w:proofErr w:type="gramEnd"/>
      <w:r>
        <w:t>, because not all synthetic data is generated the same way.</w:t>
      </w:r>
    </w:p>
    <w:p w14:paraId="38BBC018" w14:textId="77777777" w:rsidR="00785495" w:rsidRDefault="00000000">
      <w:pPr>
        <w:spacing w:before="120" w:after="120"/>
      </w:pPr>
      <w:r>
        <w:t>The most widely used commercial approaches rely on machine learning methods, which learn statistical patterns from real data and then generate synthetic records that mirror those patterns. These methods have real strengths, but they have a specific and significant weakness when it comes to vulnerable or minority populations. Because ML-generated synthetic data inherits its distributional properties from the real data it was trained on, outliers and edge cases remain outliers. The techniques used to protect privacy in these models, including differential privacy, are in fact less effective for unusual records precisely because those records stand out. Rare events and minority cohorts are exactly the populations that are hardest to protect and hardest to represent well using ML methods.</w:t>
      </w:r>
    </w:p>
    <w:p w14:paraId="15C530EA" w14:textId="77777777" w:rsidR="00785495" w:rsidRDefault="00000000">
      <w:pPr>
        <w:spacing w:before="120" w:after="120"/>
      </w:pPr>
      <w:r>
        <w:t xml:space="preserve">Simulation-based approaches, by contrast, do not derive their parameters from real data. Instead, they model behaviour from the ground up, using rules, research, and expert knowledge to define how agents act and interact. This means that vulnerable groups, rare events, and edge cases can be explicitly and deliberately included at whatever scale is needed, not as a statistical artefact of a training set, but as a designed feature of the simulation. There is no privacy </w:t>
      </w:r>
      <w:proofErr w:type="spellStart"/>
      <w:r>
        <w:t>tradeoff</w:t>
      </w:r>
      <w:proofErr w:type="spellEnd"/>
      <w:r>
        <w:t xml:space="preserve"> involved, because there is no real data in the pipeline to leak.</w:t>
      </w:r>
    </w:p>
    <w:p w14:paraId="48F22C77" w14:textId="77777777" w:rsidR="00785495" w:rsidRDefault="00000000">
      <w:pPr>
        <w:spacing w:before="120" w:after="120"/>
      </w:pPr>
      <w:r>
        <w:t xml:space="preserve">It is also worth noting that anonymisation of real data, which is sometimes presented as a safe alternative to synthetic data, does not eliminate this risk. The fields most relevant to fairness and bias testing, vulnerability indicators, household composition, consumption patterns, health-related usage, are precisely the fields that carry the highest re-identification risk and are therefore most likely to be stripped or generalised in an anonymisation process. The result is data that is neither safe nor useful. Synthetic data generated by simulation avoids this </w:t>
      </w:r>
      <w:proofErr w:type="spellStart"/>
      <w:r>
        <w:t>tradeoff</w:t>
      </w:r>
      <w:proofErr w:type="spellEnd"/>
      <w:r>
        <w:t xml:space="preserve"> entirely: vulnerability characteristics and edge cases are designed features of the dataset, not privacy liabilities.</w:t>
      </w:r>
    </w:p>
    <w:p w14:paraId="0DA0B88F" w14:textId="77777777" w:rsidR="00785495" w:rsidRDefault="00000000">
      <w:pPr>
        <w:spacing w:before="200" w:after="80"/>
      </w:pPr>
      <w:r>
        <w:rPr>
          <w:b/>
          <w:bCs/>
          <w:color w:val="1F3864"/>
        </w:rPr>
        <w:t xml:space="preserve">The </w:t>
      </w:r>
      <w:proofErr w:type="spellStart"/>
      <w:r>
        <w:rPr>
          <w:b/>
          <w:bCs/>
          <w:color w:val="1F3864"/>
        </w:rPr>
        <w:t>Aizle</w:t>
      </w:r>
      <w:proofErr w:type="spellEnd"/>
      <w:r>
        <w:rPr>
          <w:b/>
          <w:bCs/>
          <w:color w:val="1F3864"/>
        </w:rPr>
        <w:t xml:space="preserve"> platform and what it enables</w:t>
      </w:r>
    </w:p>
    <w:p w14:paraId="69D50BEE" w14:textId="77777777" w:rsidR="00785495" w:rsidRDefault="00000000">
      <w:pPr>
        <w:spacing w:before="120" w:after="120"/>
      </w:pPr>
      <w:r>
        <w:t xml:space="preserve">The </w:t>
      </w:r>
      <w:proofErr w:type="spellStart"/>
      <w:r>
        <w:t>Aizle</w:t>
      </w:r>
      <w:proofErr w:type="spellEnd"/>
      <w:r>
        <w:t xml:space="preserve"> platform uses this simulation-based approach. It already </w:t>
      </w:r>
      <w:proofErr w:type="gramStart"/>
      <w:r>
        <w:t>models</w:t>
      </w:r>
      <w:proofErr w:type="gramEnd"/>
      <w:r>
        <w:t xml:space="preserve"> vulnerability markers drawn from the FCA’s definition of vulnerable customers, linked across energy accounts, financial data, household composition, and property characteristics. Fairness and bias testing can therefore be conducted against a population that genuinely reflects the range of consumers Ofgem is responsible for protecting, including those who are most at risk and least visible in real-world datasets.</w:t>
      </w:r>
    </w:p>
    <w:p w14:paraId="2D379C54" w14:textId="77777777" w:rsidR="00785495" w:rsidRDefault="00000000">
      <w:pPr>
        <w:spacing w:before="120" w:after="120"/>
      </w:pPr>
      <w:r>
        <w:t xml:space="preserve">Beyond data coverage, simulation-based synthetic data also enables a more rigorous approach to AI safety testing more broadly. Because it carries zero privacy or disclosure risk, it can be used as a UAT-style gate at multiple points in the development cycle, allowing both </w:t>
      </w:r>
      <w:r>
        <w:lastRenderedPageBreak/>
        <w:t>the regulator and the participant to verify that a model is performing fairly and within acceptable guardrails before it is ever tested against real data or deployed in a live environment.</w:t>
      </w:r>
    </w:p>
    <w:p w14:paraId="49750773" w14:textId="77777777" w:rsidR="00785495" w:rsidRDefault="00000000">
      <w:pPr>
        <w:spacing w:before="120" w:after="120"/>
      </w:pPr>
      <w:r>
        <w:t xml:space="preserve">We would encourage Ofgem to formalise this approach in the pilot design: requiring that use cases demonstrate fairness and bias testing against representative synthetic data that explicitly includes vulnerable cohorts, as a condition of progression through the ethics checkpoints. This would give the pre and post-test reviews real </w:t>
      </w:r>
      <w:proofErr w:type="gramStart"/>
      <w:r>
        <w:t>teeth, and</w:t>
      </w:r>
      <w:proofErr w:type="gramEnd"/>
      <w:r>
        <w:t xml:space="preserve"> provide a replicable model that the wider sector could adopt beyond the sandbox itself.</w:t>
      </w:r>
    </w:p>
    <w:p w14:paraId="29ABA4D0" w14:textId="77777777" w:rsidR="00785495" w:rsidRDefault="00000000">
      <w:pPr>
        <w:spacing w:before="200" w:after="80"/>
      </w:pPr>
      <w:r>
        <w:rPr>
          <w:b/>
          <w:bCs/>
          <w:color w:val="1F3864"/>
        </w:rPr>
        <w:t>Consent as an ethical dimension</w:t>
      </w:r>
    </w:p>
    <w:p w14:paraId="38DE97D4" w14:textId="77777777" w:rsidR="00785495" w:rsidRDefault="00000000">
      <w:pPr>
        <w:spacing w:before="120" w:after="120"/>
      </w:pPr>
      <w:r>
        <w:t>As noted in our response to Q2, standard customer consent for data processing does not automatically extend to use in AI testing and development. Participants using real customer data will need to satisfy themselves that adequate consent exists, and the guidance should set a clear expectation rather than leaving it to individual interpretation. Simulation-based synthetic data removes this concern entirely, which is a further argument for treating it as the default starting point for sandbox testing rather than an optional alternative.</w:t>
      </w:r>
    </w:p>
    <w:p w14:paraId="4E7378CE" w14:textId="77777777" w:rsidR="00785495" w:rsidRDefault="00000000">
      <w:pPr>
        <w:spacing w:before="120" w:after="120"/>
      </w:pPr>
      <w:r>
        <w:t>The ethical framework proposed is a sound starting point. Making simulation-based synthetic data the default for fairness and bias testing, rather than an option of last resort, would give it real force and set a standard the wider sector could follow.</w:t>
      </w:r>
    </w:p>
    <w:p w14:paraId="3EEE5A0B" w14:textId="77777777" w:rsidR="00785495" w:rsidRDefault="00785495">
      <w:pPr>
        <w:pBdr>
          <w:bottom w:val="single" w:sz="4" w:space="1" w:color="CCCCCC"/>
        </w:pBdr>
        <w:spacing w:before="200" w:after="200"/>
      </w:pPr>
    </w:p>
    <w:p w14:paraId="59011E5A" w14:textId="77777777" w:rsidR="00785495" w:rsidRDefault="00000000">
      <w:pPr>
        <w:pStyle w:val="Heading1"/>
      </w:pPr>
      <w:r>
        <w:t>Q7. Supporting stakeholders through the pilot</w:t>
      </w:r>
    </w:p>
    <w:p w14:paraId="1AF6520B" w14:textId="77777777" w:rsidR="00785495" w:rsidRDefault="00000000">
      <w:pPr>
        <w:spacing w:before="120" w:after="120"/>
      </w:pPr>
      <w:r>
        <w:t>The most valuable thing Ofgem can do to support stakeholders is to be specific early. Broad invitations to innovate tend to produce broad and unfocused responses. The FCA’s most productive sandbox cohorts were those where the regulator had published a clear view of the problems it wanted solved before applications opened. Participants arrived with relevant, well-formed proposals rather than speculative ones, and the selection process was faster and more productive as a result.</w:t>
      </w:r>
    </w:p>
    <w:p w14:paraId="76B62052" w14:textId="77777777" w:rsidR="00785495" w:rsidRDefault="00000000">
      <w:pPr>
        <w:spacing w:before="120" w:after="120"/>
      </w:pPr>
      <w:r>
        <w:t xml:space="preserve">We would suggest Ofgem publishes a shortlist of priority use case areas ahead of the application window. This does not need to be prescriptive or </w:t>
      </w:r>
      <w:proofErr w:type="gramStart"/>
      <w:r>
        <w:t>exhaustive, but</w:t>
      </w:r>
      <w:proofErr w:type="gramEnd"/>
      <w:r>
        <w:t xml:space="preserve"> giving the market a signal about where Ofgem sees the greatest regulatory uncertainty and consumer benefit would materially improve the quality of applications and reduce the time spent filtering out proposals that miss the point.</w:t>
      </w:r>
    </w:p>
    <w:p w14:paraId="4402F010" w14:textId="77777777" w:rsidR="00785495" w:rsidRDefault="00000000">
      <w:pPr>
        <w:spacing w:before="120" w:after="120"/>
      </w:pPr>
      <w:r>
        <w:t xml:space="preserve">On ongoing engagement, our experience supporting the FCA Digital Sandbox is directly relevant. In the early stages, the </w:t>
      </w:r>
      <w:proofErr w:type="spellStart"/>
      <w:r>
        <w:t>Aizle</w:t>
      </w:r>
      <w:proofErr w:type="spellEnd"/>
      <w:r>
        <w:t xml:space="preserve"> team maintained close and frequent engagement with both the sandbox team and participants, with open drop-in sessions and quarterly feedback forums. The data evolved considerably in response, with iterative improvements that made it more useful as new use cases emerged. As the sandbox matured, that engagement naturally right-sized to a lighter-touch rhythm. We would encourage Ofgem to build a similar model: starting with high-frequency, open engagement and scaling it back as the data and infrastructure stabilise.</w:t>
      </w:r>
    </w:p>
    <w:p w14:paraId="3FC05C78" w14:textId="77777777" w:rsidR="00785495" w:rsidRDefault="00785495">
      <w:pPr>
        <w:pBdr>
          <w:bottom w:val="single" w:sz="4" w:space="1" w:color="CCCCCC"/>
        </w:pBdr>
        <w:spacing w:before="200" w:after="200"/>
      </w:pPr>
    </w:p>
    <w:p w14:paraId="51A84C72" w14:textId="77777777" w:rsidR="00785495" w:rsidRDefault="00000000">
      <w:pPr>
        <w:pStyle w:val="Heading1"/>
      </w:pPr>
      <w:r>
        <w:t>Q8. Further comments</w:t>
      </w:r>
    </w:p>
    <w:p w14:paraId="40899DFC" w14:textId="77777777" w:rsidR="00785495" w:rsidRDefault="00000000">
      <w:pPr>
        <w:spacing w:before="120" w:after="120"/>
      </w:pPr>
      <w:r>
        <w:t xml:space="preserve">We use this final question to draw together three threads from our response: the case for treating data and platform infrastructure as foundational rather than incidental to the sandbox; a specific use case we believe deserves priority attention; and a direct signal of </w:t>
      </w:r>
      <w:proofErr w:type="spellStart"/>
      <w:r>
        <w:t>bigspark’s</w:t>
      </w:r>
      <w:proofErr w:type="spellEnd"/>
      <w:r>
        <w:t xml:space="preserve"> readiness to contribute.</w:t>
      </w:r>
    </w:p>
    <w:p w14:paraId="7A7EADF3" w14:textId="77777777" w:rsidR="00785495" w:rsidRDefault="00000000">
      <w:pPr>
        <w:spacing w:before="120" w:after="120"/>
      </w:pPr>
      <w:r>
        <w:lastRenderedPageBreak/>
        <w:t>The AI Technical Sandbox is a genuinely important initiative. The energy sector is at an inflection point, and the decisions made about how AI is tested, governed, and deployed in the next few years will shape consumer outcomes, market integrity, and progress towards net zero for a long time to come. Getting the foundational infrastructure right matters, and we think that infrastructure has three components: governance, a purpose-built technical platform, and representative data. The consultation addresses the first of these thoroughly. Our response has tried to make the case for why the other two deserve equal attention.</w:t>
      </w:r>
    </w:p>
    <w:p w14:paraId="68E44893" w14:textId="77777777" w:rsidR="00785495" w:rsidRDefault="00000000">
      <w:pPr>
        <w:spacing w:before="200" w:after="80"/>
      </w:pPr>
      <w:r>
        <w:rPr>
          <w:b/>
          <w:bCs/>
          <w:color w:val="1F3864"/>
        </w:rPr>
        <w:t>A priority use case: Consent and Open Energy</w:t>
      </w:r>
    </w:p>
    <w:p w14:paraId="18C10EA4" w14:textId="77777777" w:rsidR="00785495" w:rsidRDefault="00000000">
      <w:pPr>
        <w:spacing w:before="120" w:after="120"/>
      </w:pPr>
      <w:r>
        <w:t xml:space="preserve">One area we would encourage Ofgem to consider as a priority use case is consent: both as a live compliance question within the sandbox, and as a subject of </w:t>
      </w:r>
      <w:proofErr w:type="gramStart"/>
      <w:r>
        <w:t>innovation in its own right</w:t>
      </w:r>
      <w:proofErr w:type="gramEnd"/>
      <w:r>
        <w:t xml:space="preserve">. The FCA’s Smart Data Accelerator, which uses </w:t>
      </w:r>
      <w:proofErr w:type="spellStart"/>
      <w:r>
        <w:t>bigspark</w:t>
      </w:r>
      <w:proofErr w:type="spellEnd"/>
      <w:r>
        <w:t xml:space="preserve"> synthetic data as part of its core infrastructure, is exploring data portability, consent frameworks, and cross-sector data sharing in a financial services context. The energy sector equivalent of this work has not yet happened.</w:t>
      </w:r>
    </w:p>
    <w:p w14:paraId="415B57E2" w14:textId="77777777" w:rsidR="00785495" w:rsidRDefault="00000000">
      <w:pPr>
        <w:spacing w:before="120" w:after="120"/>
      </w:pPr>
      <w:r>
        <w:t>The emerging Open Energy agenda, which would give consumers the right to port their energy data across providers in the way Open Banking has done for financial data, will require robust consent authorisation journeys, delegation frameworks, and revocation mechanisms to function safely. These have not yet been designed or tested in an energy context.</w:t>
      </w:r>
    </w:p>
    <w:p w14:paraId="68475CAE" w14:textId="77777777" w:rsidR="00785495" w:rsidRDefault="00000000">
      <w:pPr>
        <w:spacing w:before="120" w:after="120"/>
      </w:pPr>
      <w:r>
        <w:t>A particularly important dimension of this is the delegation of consent to AI agents. As AI-driven automation becomes more prevalent in energy services, firms will increasingly want to deploy agents that can act autonomously on a consumer’s behalf: switching tariffs, selling surplus energy back to the network, optimising smart charging schedules, or managing battery storage dispatch decisions. For an agent to act in these ways, it needs explicit, bounded, and revocable consent to both access data and initiate transactions. The regulatory framework for how that consent is granted, scoped, monitored, and withdrawn does not yet exist in an energy context. This is precisely the kind of question that cannot be answered in the abstract. It needs to be tested against realistic scenarios, with realistic data, in a controlled environment. The sandbox is the right place to do it.</w:t>
      </w:r>
    </w:p>
    <w:p w14:paraId="14BB686A" w14:textId="77777777" w:rsidR="00785495" w:rsidRDefault="00000000">
      <w:pPr>
        <w:spacing w:before="120" w:after="120"/>
      </w:pPr>
      <w:r>
        <w:t>Using synthetic data to simulate the full range of consumer circumstances, including vulnerable customers, complex households, and those with limited digital access, would allow consent journey designs to be stress-tested without any risk to real consumers. This is precisely the kind of use case that sits at the intersection of regulatory uncertainty, consumer protection, and genuine innovation, and it is one where we would be well placed to contribute.</w:t>
      </w:r>
    </w:p>
    <w:p w14:paraId="74A15EE1" w14:textId="77777777" w:rsidR="00785495" w:rsidRDefault="00000000">
      <w:pPr>
        <w:spacing w:before="200" w:after="80"/>
      </w:pPr>
      <w:proofErr w:type="spellStart"/>
      <w:r>
        <w:rPr>
          <w:b/>
          <w:bCs/>
          <w:color w:val="1F3864"/>
        </w:rPr>
        <w:t>bigspark's</w:t>
      </w:r>
      <w:proofErr w:type="spellEnd"/>
      <w:r>
        <w:rPr>
          <w:b/>
          <w:bCs/>
          <w:color w:val="1F3864"/>
        </w:rPr>
        <w:t xml:space="preserve"> current energy work</w:t>
      </w:r>
    </w:p>
    <w:p w14:paraId="6DC1DCAA" w14:textId="77777777" w:rsidR="00785495" w:rsidRDefault="00000000">
      <w:pPr>
        <w:spacing w:before="120" w:after="120"/>
      </w:pPr>
      <w:proofErr w:type="spellStart"/>
      <w:r>
        <w:t>bigspark</w:t>
      </w:r>
      <w:proofErr w:type="spellEnd"/>
      <w:r>
        <w:t xml:space="preserve"> is not approaching this as a hypothetical proposition. Through our work with the LEMA consortium, we are engaged across several live energy system challenges, and are developing </w:t>
      </w:r>
      <w:proofErr w:type="spellStart"/>
      <w:r>
        <w:t>Aizle</w:t>
      </w:r>
      <w:proofErr w:type="spellEnd"/>
      <w:r>
        <w:t xml:space="preserve"> Energy Flex, a planning and scenario modelling platform that uses digital twin techniques to model energy consumption profiles, assess the long-term impact of different technology and connection choices, and evaluate how flexibility services such as Dynamic Load Averaging can improve grid connection terms.</w:t>
      </w:r>
    </w:p>
    <w:p w14:paraId="413B5A92" w14:textId="77777777" w:rsidR="00785495" w:rsidRDefault="00000000">
      <w:pPr>
        <w:spacing w:before="120" w:after="120"/>
      </w:pPr>
      <w:r>
        <w:t>Our current engagements span two site types that share the same underlying problem: grid constraints that delay or limit connection, and a need for accurate energy consumption modelling to make the commercial case for smarter alternatives.</w:t>
      </w:r>
    </w:p>
    <w:p w14:paraId="1D0E73C6" w14:textId="77777777" w:rsidR="00785495" w:rsidRDefault="00000000">
      <w:pPr>
        <w:spacing w:before="120" w:after="120"/>
      </w:pPr>
      <w:r>
        <w:t xml:space="preserve">The first is a large all-electric residential development on a severely grid-constrained site. We are working with a broad consortium including the housing developer, the local distribution network operator, local government, and national housing bodies to model energy consumption profiles for Future Homes Standard-compliant configurations including heat pumps, solar PV, batteries, and EV charging, and to demonstrate how DLA can enable </w:t>
      </w:r>
      <w:r>
        <w:lastRenderedPageBreak/>
        <w:t>earlier connection and a faster build rate. The network operator has confirmed this as the first on-the-ground implementation of their smart flexible connection product.</w:t>
      </w:r>
    </w:p>
    <w:p w14:paraId="4E7C3983" w14:textId="77777777" w:rsidR="00785495" w:rsidRDefault="00000000">
      <w:pPr>
        <w:spacing w:before="120" w:after="120"/>
      </w:pPr>
      <w:r>
        <w:t xml:space="preserve">The second is a commercial glasshouse operation with high energy demands for grow-lighting and climate control, facing a similar grid connection challenge. We are modelling the site’s consumption profile to accurately characterise the </w:t>
      </w:r>
      <w:proofErr w:type="gramStart"/>
      <w:r>
        <w:t>load, and</w:t>
      </w:r>
      <w:proofErr w:type="gramEnd"/>
      <w:r>
        <w:t xml:space="preserve"> exploring how DLA and flexible connection arrangements could support better commercial terms.</w:t>
      </w:r>
    </w:p>
    <w:p w14:paraId="0EB7347A" w14:textId="77777777" w:rsidR="00785495" w:rsidRDefault="00000000">
      <w:pPr>
        <w:spacing w:before="120" w:after="120"/>
      </w:pPr>
      <w:r>
        <w:t>Alongside these site-level engagements, we are working directly with local councils to model current energy supply sources against predicted future demand and 2050 net zero targets, helping to articulate the gap between current trajectory and ambition, and identify where intervention is most needed.</w:t>
      </w:r>
    </w:p>
    <w:p w14:paraId="2564F6A7" w14:textId="77777777" w:rsidR="00785495" w:rsidRDefault="00000000">
      <w:pPr>
        <w:spacing w:before="120" w:after="120"/>
      </w:pPr>
      <w:proofErr w:type="spellStart"/>
      <w:r>
        <w:t>Aizle</w:t>
      </w:r>
      <w:proofErr w:type="spellEnd"/>
      <w:r>
        <w:t xml:space="preserve"> Energy Flex is being designed to serve </w:t>
      </w:r>
      <w:proofErr w:type="gramStart"/>
      <w:r>
        <w:t>all of</w:t>
      </w:r>
      <w:proofErr w:type="gramEnd"/>
      <w:r>
        <w:t xml:space="preserve"> these cases. It is at an early stage, but the modelling approach is live, the engagements are real, and the regulatory questions they surface -around flexible connections, demand management, and the grid implications of decarbonised energy systems- are precisely the kind of territory the sandbox is designed to explore. This work is aligned with published network operator flexibility roadmaps and the UK’s Future Homes Standard obligations.</w:t>
      </w:r>
    </w:p>
    <w:p w14:paraId="2D571F57" w14:textId="77777777" w:rsidR="00785495" w:rsidRDefault="00000000">
      <w:pPr>
        <w:spacing w:before="120" w:after="120"/>
      </w:pPr>
      <w:r>
        <w:t xml:space="preserve">The case for simulation-based synthetic data as the foundation for this work is set out in our responses to Q2 and Q6. </w:t>
      </w:r>
      <w:proofErr w:type="spellStart"/>
      <w:r>
        <w:t>bigspark</w:t>
      </w:r>
      <w:proofErr w:type="spellEnd"/>
      <w:r>
        <w:t xml:space="preserve"> and </w:t>
      </w:r>
      <w:proofErr w:type="spellStart"/>
      <w:r>
        <w:t>Aizle</w:t>
      </w:r>
      <w:proofErr w:type="spellEnd"/>
      <w:r>
        <w:t xml:space="preserve"> bring a track record of doing this in practice, at the FCA and the Department for Business and Trade, and we have energy-specific data available today with richer network and device-level datasets in active development that we expect to be ready within the pilot window.</w:t>
      </w:r>
    </w:p>
    <w:p w14:paraId="025A08B4" w14:textId="77777777" w:rsidR="00785495" w:rsidRDefault="00000000">
      <w:pPr>
        <w:spacing w:before="120" w:after="120"/>
      </w:pPr>
      <w:r>
        <w:t xml:space="preserve">We would welcome the opportunity to discuss any of the above in more detail, including a demonstration of the </w:t>
      </w:r>
      <w:proofErr w:type="spellStart"/>
      <w:r>
        <w:t>Aizle</w:t>
      </w:r>
      <w:proofErr w:type="spellEnd"/>
      <w:r>
        <w:t xml:space="preserve"> platform and its existing energy datasets, and to show how </w:t>
      </w:r>
      <w:proofErr w:type="spellStart"/>
      <w:r>
        <w:t>bigspark</w:t>
      </w:r>
      <w:proofErr w:type="spellEnd"/>
      <w:r>
        <w:t xml:space="preserve"> and </w:t>
      </w:r>
      <w:proofErr w:type="spellStart"/>
      <w:r>
        <w:t>Aizle’s</w:t>
      </w:r>
      <w:proofErr w:type="spellEnd"/>
      <w:r>
        <w:t xml:space="preserve"> existing capabilities map onto the sandbox’s objectives. We are ready to engage at whatever stage is most useful to the AI Policy team.</w:t>
      </w:r>
    </w:p>
    <w:p w14:paraId="530C886D" w14:textId="77777777" w:rsidR="00785495" w:rsidRDefault="00785495">
      <w:pPr>
        <w:pBdr>
          <w:bottom w:val="single" w:sz="4" w:space="1" w:color="CCCCCC"/>
        </w:pBdr>
        <w:spacing w:before="200" w:after="200"/>
      </w:pPr>
    </w:p>
    <w:p w14:paraId="22DAAFCB" w14:textId="29ABB453" w:rsidR="00785495" w:rsidRDefault="00000000">
      <w:pPr>
        <w:spacing w:before="200" w:after="40"/>
      </w:pPr>
      <w:proofErr w:type="spellStart"/>
      <w:r>
        <w:rPr>
          <w:b/>
          <w:bCs/>
          <w:color w:val="1F3864"/>
          <w:sz w:val="20"/>
          <w:szCs w:val="20"/>
        </w:rPr>
        <w:t>bigspark</w:t>
      </w:r>
      <w:proofErr w:type="spellEnd"/>
      <w:r>
        <w:rPr>
          <w:b/>
          <w:bCs/>
          <w:color w:val="1F3864"/>
          <w:sz w:val="20"/>
          <w:szCs w:val="20"/>
        </w:rPr>
        <w:t xml:space="preserve"> Ltd | David Tracy, Head of Product</w:t>
      </w:r>
    </w:p>
    <w:p w14:paraId="3A96C255" w14:textId="3C67DD68" w:rsidR="00785495" w:rsidRDefault="00A44356">
      <w:pPr>
        <w:spacing w:before="40"/>
      </w:pPr>
      <w:hyperlink r:id="rId8" w:history="1">
        <w:r w:rsidRPr="000C0DAE">
          <w:rPr>
            <w:rStyle w:val="Hyperlink"/>
            <w:sz w:val="20"/>
            <w:szCs w:val="20"/>
          </w:rPr>
          <w:t>https://bigspark.ai</w:t>
        </w:r>
      </w:hyperlink>
      <w:r>
        <w:rPr>
          <w:color w:val="666666"/>
          <w:sz w:val="20"/>
          <w:szCs w:val="20"/>
        </w:rPr>
        <w:t xml:space="preserve"> | </w:t>
      </w:r>
      <w:hyperlink r:id="rId9" w:history="1">
        <w:r w:rsidRPr="000C0DAE">
          <w:rPr>
            <w:rStyle w:val="Hyperlink"/>
            <w:sz w:val="20"/>
            <w:szCs w:val="20"/>
          </w:rPr>
          <w:t>https://aizle.ai</w:t>
        </w:r>
      </w:hyperlink>
    </w:p>
    <w:sectPr w:rsidR="0078549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146A"/>
    <w:multiLevelType w:val="hybridMultilevel"/>
    <w:tmpl w:val="B7942086"/>
    <w:lvl w:ilvl="0" w:tplc="124678CA">
      <w:start w:val="1"/>
      <w:numFmt w:val="bullet"/>
      <w:lvlText w:val="●"/>
      <w:lvlJc w:val="left"/>
      <w:pPr>
        <w:ind w:left="720" w:hanging="360"/>
      </w:pPr>
    </w:lvl>
    <w:lvl w:ilvl="1" w:tplc="39BAE3D6">
      <w:start w:val="1"/>
      <w:numFmt w:val="bullet"/>
      <w:lvlText w:val="○"/>
      <w:lvlJc w:val="left"/>
      <w:pPr>
        <w:ind w:left="1440" w:hanging="360"/>
      </w:pPr>
    </w:lvl>
    <w:lvl w:ilvl="2" w:tplc="18F6D754">
      <w:start w:val="1"/>
      <w:numFmt w:val="bullet"/>
      <w:lvlText w:val="■"/>
      <w:lvlJc w:val="left"/>
      <w:pPr>
        <w:ind w:left="2160" w:hanging="360"/>
      </w:pPr>
    </w:lvl>
    <w:lvl w:ilvl="3" w:tplc="638ED5A4">
      <w:start w:val="1"/>
      <w:numFmt w:val="bullet"/>
      <w:lvlText w:val="●"/>
      <w:lvlJc w:val="left"/>
      <w:pPr>
        <w:ind w:left="2880" w:hanging="360"/>
      </w:pPr>
    </w:lvl>
    <w:lvl w:ilvl="4" w:tplc="939AE2F6">
      <w:start w:val="1"/>
      <w:numFmt w:val="bullet"/>
      <w:lvlText w:val="○"/>
      <w:lvlJc w:val="left"/>
      <w:pPr>
        <w:ind w:left="3600" w:hanging="360"/>
      </w:pPr>
    </w:lvl>
    <w:lvl w:ilvl="5" w:tplc="7A103B12">
      <w:start w:val="1"/>
      <w:numFmt w:val="bullet"/>
      <w:lvlText w:val="■"/>
      <w:lvlJc w:val="left"/>
      <w:pPr>
        <w:ind w:left="4320" w:hanging="360"/>
      </w:pPr>
    </w:lvl>
    <w:lvl w:ilvl="6" w:tplc="7214F2DA">
      <w:start w:val="1"/>
      <w:numFmt w:val="bullet"/>
      <w:lvlText w:val="●"/>
      <w:lvlJc w:val="left"/>
      <w:pPr>
        <w:ind w:left="5040" w:hanging="360"/>
      </w:pPr>
    </w:lvl>
    <w:lvl w:ilvl="7" w:tplc="4566C07E">
      <w:start w:val="1"/>
      <w:numFmt w:val="bullet"/>
      <w:lvlText w:val="●"/>
      <w:lvlJc w:val="left"/>
      <w:pPr>
        <w:ind w:left="5760" w:hanging="360"/>
      </w:pPr>
    </w:lvl>
    <w:lvl w:ilvl="8" w:tplc="3D1CE5D8">
      <w:start w:val="1"/>
      <w:numFmt w:val="bullet"/>
      <w:lvlText w:val="●"/>
      <w:lvlJc w:val="left"/>
      <w:pPr>
        <w:ind w:left="6480" w:hanging="360"/>
      </w:pPr>
    </w:lvl>
  </w:abstractNum>
  <w:num w:numId="1" w16cid:durableId="20358786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495"/>
    <w:rsid w:val="00785495"/>
    <w:rsid w:val="009D6485"/>
    <w:rsid w:val="00A44356"/>
    <w:rsid w:val="00B00E85"/>
    <w:rsid w:val="00C54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59E91"/>
  <w15:docId w15:val="{A08E976C-5470-4BEC-BEDB-C35C83E1B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404040"/>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160"/>
      <w:outlineLvl w:val="0"/>
    </w:pPr>
    <w:rPr>
      <w:b/>
      <w:bCs/>
      <w:color w:val="1F3864"/>
      <w:sz w:val="26"/>
      <w:szCs w:val="26"/>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UnresolvedMention">
    <w:name w:val="Unresolved Mention"/>
    <w:basedOn w:val="DefaultParagraphFont"/>
    <w:uiPriority w:val="99"/>
    <w:semiHidden/>
    <w:unhideWhenUsed/>
    <w:rsid w:val="00B00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igspark.ai"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aizle.ai"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gspark.ai" TargetMode="External"/><Relationship Id="rId11" Type="http://schemas.openxmlformats.org/officeDocument/2006/relationships/theme" Target="theme/theme1.xml"/><Relationship Id="rId5" Type="http://schemas.openxmlformats.org/officeDocument/2006/relationships/hyperlink" Target="mailto:david.tracy@bigspark.de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izle.ai"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FE5A163A0BA49B62EE8FDC3CC3AD2" ma:contentTypeVersion="17" ma:contentTypeDescription="Create a new document." ma:contentTypeScope="" ma:versionID="6586676598167c8bc4e349c8815fdbc7">
  <xsd:schema xmlns:xsd="http://www.w3.org/2001/XMLSchema" xmlns:xs="http://www.w3.org/2001/XMLSchema" xmlns:p="http://schemas.microsoft.com/office/2006/metadata/properties" xmlns:ns1="http://schemas.microsoft.com/sharepoint/v3" xmlns:ns2="39d9b90a-dc22-4b72-a3d3-09222a6369e3" xmlns:ns3="8f0c66ae-ea71-4efa-88c7-e4011843a5ec" targetNamespace="http://schemas.microsoft.com/office/2006/metadata/properties" ma:root="true" ma:fieldsID="fcf5166adb526367f467c1c556972da8" ns1:_="" ns2:_="" ns3:_="">
    <xsd:import namespace="http://schemas.microsoft.com/sharepoint/v3"/>
    <xsd:import namespace="39d9b90a-dc22-4b72-a3d3-09222a6369e3"/>
    <xsd:import namespace="8f0c66ae-ea71-4efa-88c7-e4011843a5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9b90a-dc22-4b72-a3d3-09222a636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c66ae-ea71-4efa-88c7-e4011843a5e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bf8ba5a-73df-4c6b-b13e-dfa0d2e7fce2}" ma:internalName="TaxCatchAll" ma:showField="CatchAllData" ma:web="8f0c66ae-ea71-4efa-88c7-e4011843a5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0c66ae-ea71-4efa-88c7-e4011843a5ec" xsi:nil="true"/>
    <_ip_UnifiedCompliancePolicyUIAction xmlns="http://schemas.microsoft.com/sharepoint/v3" xsi:nil="true"/>
    <_ip_UnifiedCompliancePolicyProperties xmlns="http://schemas.microsoft.com/sharepoint/v3" xsi:nil="true"/>
    <lcf76f155ced4ddcb4097134ff3c332f xmlns="39d9b90a-dc22-4b72-a3d3-09222a6369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A5C680-977E-45D4-96A4-D76412D1BEC0}"/>
</file>

<file path=customXml/itemProps2.xml><?xml version="1.0" encoding="utf-8"?>
<ds:datastoreItem xmlns:ds="http://schemas.openxmlformats.org/officeDocument/2006/customXml" ds:itemID="{544E493B-D0C3-4DD2-8030-1B8FE30760DA}"/>
</file>

<file path=customXml/itemProps3.xml><?xml version="1.0" encoding="utf-8"?>
<ds:datastoreItem xmlns:ds="http://schemas.openxmlformats.org/officeDocument/2006/customXml" ds:itemID="{4FAA033B-2DEB-4469-BB97-22D6C1DC4CD0}"/>
</file>

<file path=docProps/app.xml><?xml version="1.0" encoding="utf-8"?>
<Properties xmlns="http://schemas.openxmlformats.org/officeDocument/2006/extended-properties" xmlns:vt="http://schemas.openxmlformats.org/officeDocument/2006/docPropsVTypes">
  <Template>Normal</Template>
  <TotalTime>0</TotalTime>
  <Pages>9</Pages>
  <Words>4679</Words>
  <Characters>26674</Characters>
  <Application>Microsoft Office Word</Application>
  <DocSecurity>0</DocSecurity>
  <Lines>222</Lines>
  <Paragraphs>62</Paragraphs>
  <ScaleCrop>false</ScaleCrop>
  <Company/>
  <LinksUpToDate>false</LinksUpToDate>
  <CharactersWithSpaces>31291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David Tracy</cp:lastModifiedBy>
  <cp:revision>2</cp:revision>
  <dcterms:created xsi:type="dcterms:W3CDTF">2026-03-20T15:28:00Z</dcterms:created>
  <dcterms:modified xsi:type="dcterms:W3CDTF">2026-03-20T15:28:00Z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0x0101001A9FE5A163A0BA49B62EE8FDC3CC3AD2</vt:lpwstr>
  </property>
  <property fmtid="{D5CDD505-2E9C-101B-9397-08002B2CF9AE}" pid="4" name="docLang">
    <vt:lpwstr>en</vt:lpwstr>
  </property>
  <property fmtid="{D5CDD505-2E9C-101B-9397-08002B2CF9AE}" pid="5" name="MediaServiceImageTags">
    <vt:lpwstr/>
  </property>
</Properties>
</file>