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B848B" w14:textId="1C610066" w:rsidR="00FE5C7C" w:rsidRPr="00FE5C7C" w:rsidRDefault="00FE5C7C" w:rsidP="00FE5C7C">
      <w:r w:rsidRPr="00FE5C7C">
        <w:t>Dear Ofgem AI Policy team</w:t>
      </w:r>
    </w:p>
    <w:p w14:paraId="152A9D4A" w14:textId="00AEC127" w:rsidR="00FE5C7C" w:rsidRDefault="00FE5C7C" w:rsidP="00FE5C7C">
      <w:r w:rsidRPr="00FE5C7C">
        <w:t>DNV welcomes Ofgem’s proposal for a 12</w:t>
      </w:r>
      <w:r w:rsidRPr="00FE5C7C">
        <w:noBreakHyphen/>
        <w:t>month AI Technical Sandbox pilot. We support the aim of clarifying how AI deployments interact with the existing energy regulatory framework, and where evidence may indicate gaps.  We have considered the consultation questions and prepared the following responses, which we hope Ofgem will find helpful.</w:t>
      </w:r>
    </w:p>
    <w:p w14:paraId="3C876704" w14:textId="77777777" w:rsidR="00FE5C7C" w:rsidRPr="00FE5C7C" w:rsidRDefault="00FE5C7C" w:rsidP="00FE5C7C"/>
    <w:p w14:paraId="1EE0D6A8" w14:textId="77777777" w:rsidR="00FE5C7C" w:rsidRPr="00FE5C7C" w:rsidRDefault="00FE5C7C" w:rsidP="00FE5C7C">
      <w:r w:rsidRPr="00FE5C7C">
        <w:rPr>
          <w:b/>
          <w:bCs/>
        </w:rPr>
        <w:t>Q1 – Eligibility and participation</w:t>
      </w:r>
    </w:p>
    <w:p w14:paraId="3297BC68" w14:textId="77777777" w:rsidR="00FE5C7C" w:rsidRPr="00FE5C7C" w:rsidRDefault="00FE5C7C" w:rsidP="00FE5C7C">
      <w:r w:rsidRPr="00FE5C7C">
        <w:t>Limiting lead applicants to licensees, market participants, and operators of essential services makes sense for accountability, enforceability, and access to operational data. We also support encouraging partnerships with technology providers, academia and other innovators. We recommend explicitly recognising independent assurance / risk-management organizations as a valuable partner category, to help participants “not mark their own homework” and to strengthen trust in outcomes.</w:t>
      </w:r>
    </w:p>
    <w:p w14:paraId="02239F4D" w14:textId="77777777" w:rsidR="00FE5C7C" w:rsidRPr="00FE5C7C" w:rsidRDefault="00FE5C7C" w:rsidP="00FE5C7C">
      <w:r w:rsidRPr="00FE5C7C">
        <w:t>Bounding leads to only licensees creates a challenge whereby new hazards emerge from AI R&amp;D yet may not propagate to energy networks immediately. These represent an "unknown unknown" to the networks, meaning new risks do not immediately affect decision making; nor are they valued sufficiently when prioritising use cases for sandbox testing.  Hence, we suggest Ofgem consider enabling recommended submissions from AI assurance researchers.</w:t>
      </w:r>
    </w:p>
    <w:p w14:paraId="2BA30552" w14:textId="77777777" w:rsidR="00FE5C7C" w:rsidRPr="00FE5C7C" w:rsidRDefault="00FE5C7C" w:rsidP="00FE5C7C">
      <w:r w:rsidRPr="00FE5C7C">
        <w:t> </w:t>
      </w:r>
    </w:p>
    <w:p w14:paraId="280FE50C" w14:textId="77777777" w:rsidR="00FE5C7C" w:rsidRPr="00FE5C7C" w:rsidRDefault="00FE5C7C" w:rsidP="00FE5C7C">
      <w:r w:rsidRPr="00FE5C7C">
        <w:rPr>
          <w:b/>
          <w:bCs/>
        </w:rPr>
        <w:t>Q2 – Use case selection</w:t>
      </w:r>
    </w:p>
    <w:p w14:paraId="04D2C811" w14:textId="77777777" w:rsidR="00FE5C7C" w:rsidRPr="00FE5C7C" w:rsidRDefault="00FE5C7C" w:rsidP="00FE5C7C">
      <w:r w:rsidRPr="00FE5C7C">
        <w:t>The proposed criteria are broadly appropriate (commercial neutrality, innovation, sector impact, regulatory uncertainty, testability, governance, data access). We recommend two additions:</w:t>
      </w:r>
    </w:p>
    <w:p w14:paraId="2551EB53" w14:textId="77777777" w:rsidR="00FE5C7C" w:rsidRPr="00FE5C7C" w:rsidRDefault="00FE5C7C" w:rsidP="00FE5C7C">
      <w:pPr>
        <w:numPr>
          <w:ilvl w:val="0"/>
          <w:numId w:val="7"/>
        </w:numPr>
      </w:pPr>
      <w:r w:rsidRPr="00FE5C7C">
        <w:t>Require a minimum “evidence plan” up front, documenting success metrics, test design, and what artefacts will be produced for sector learning (even if only in anonymised/high-level form.)</w:t>
      </w:r>
    </w:p>
    <w:p w14:paraId="52BD9D01" w14:textId="77777777" w:rsidR="00FE5C7C" w:rsidRPr="00FE5C7C" w:rsidRDefault="00FE5C7C" w:rsidP="00FE5C7C">
      <w:pPr>
        <w:numPr>
          <w:ilvl w:val="0"/>
          <w:numId w:val="7"/>
        </w:numPr>
      </w:pPr>
      <w:r w:rsidRPr="00FE5C7C">
        <w:t>Add a “data readiness &amp; provenance” check to confirm clear data lineage, representativeness, and constraints (including synthetic data validation where used.)</w:t>
      </w:r>
    </w:p>
    <w:p w14:paraId="4F3CFEA3" w14:textId="77777777" w:rsidR="00FE5C7C" w:rsidRPr="00FE5C7C" w:rsidRDefault="00FE5C7C" w:rsidP="00FE5C7C">
      <w:r w:rsidRPr="00FE5C7C">
        <w:t>Safeguards: publish a simple scoring rubric and enforce conflict-of-interest/recusal for Steering Group members on competing or adjacent use cases.</w:t>
      </w:r>
    </w:p>
    <w:p w14:paraId="720193CB" w14:textId="77777777" w:rsidR="00FE5C7C" w:rsidRPr="00FE5C7C" w:rsidRDefault="00FE5C7C" w:rsidP="00FE5C7C">
      <w:r w:rsidRPr="00FE5C7C">
        <w:t> </w:t>
      </w:r>
    </w:p>
    <w:p w14:paraId="418FD81E" w14:textId="77777777" w:rsidR="00FE5C7C" w:rsidRPr="00FE5C7C" w:rsidRDefault="00FE5C7C" w:rsidP="00FE5C7C">
      <w:r w:rsidRPr="00FE5C7C">
        <w:rPr>
          <w:b/>
          <w:bCs/>
        </w:rPr>
        <w:t>Q3 – Alignment with other initiatives</w:t>
      </w:r>
    </w:p>
    <w:p w14:paraId="4662DD07" w14:textId="77777777" w:rsidR="00FE5C7C" w:rsidRPr="00FE5C7C" w:rsidRDefault="00FE5C7C" w:rsidP="00FE5C7C">
      <w:r w:rsidRPr="00FE5C7C">
        <w:lastRenderedPageBreak/>
        <w:t>The distinction and complementarity are mostly clear, though we suggest making the hand-offs explicit:</w:t>
      </w:r>
    </w:p>
    <w:p w14:paraId="59C61F1F" w14:textId="77777777" w:rsidR="00FE5C7C" w:rsidRPr="00FE5C7C" w:rsidRDefault="00FE5C7C" w:rsidP="00FE5C7C">
      <w:pPr>
        <w:numPr>
          <w:ilvl w:val="0"/>
          <w:numId w:val="8"/>
        </w:numPr>
      </w:pPr>
      <w:r w:rsidRPr="00FE5C7C">
        <w:t>AI Reg Lab: ethics/regulatory reasoning and “what good looks like” tabletop tests.</w:t>
      </w:r>
    </w:p>
    <w:p w14:paraId="20A4D057" w14:textId="77777777" w:rsidR="00FE5C7C" w:rsidRPr="00FE5C7C" w:rsidRDefault="00FE5C7C" w:rsidP="00FE5C7C">
      <w:pPr>
        <w:numPr>
          <w:ilvl w:val="0"/>
          <w:numId w:val="8"/>
        </w:numPr>
      </w:pPr>
      <w:r w:rsidRPr="00FE5C7C">
        <w:t>AI Technical Sandbox: technical testing/evaluation on representative data and realistic scenarios.</w:t>
      </w:r>
    </w:p>
    <w:p w14:paraId="6DD9588B" w14:textId="77777777" w:rsidR="00FE5C7C" w:rsidRPr="00FE5C7C" w:rsidRDefault="00FE5C7C" w:rsidP="00FE5C7C">
      <w:pPr>
        <w:numPr>
          <w:ilvl w:val="0"/>
          <w:numId w:val="8"/>
        </w:numPr>
      </w:pPr>
      <w:r w:rsidRPr="00FE5C7C">
        <w:t>Energy Regulation Sandbox: live trials only where regulatory flexibilities are required.</w:t>
      </w:r>
    </w:p>
    <w:p w14:paraId="4626BC84" w14:textId="77777777" w:rsidR="00FE5C7C" w:rsidRPr="00FE5C7C" w:rsidRDefault="00FE5C7C" w:rsidP="00FE5C7C">
      <w:pPr>
        <w:numPr>
          <w:ilvl w:val="0"/>
          <w:numId w:val="8"/>
        </w:numPr>
      </w:pPr>
      <w:r w:rsidRPr="00FE5C7C">
        <w:t>Future Regulation Sandbox: structured experiments where evidence suggests the rulebook needs change.</w:t>
      </w:r>
    </w:p>
    <w:p w14:paraId="571ADCB5" w14:textId="77777777" w:rsidR="00FE5C7C" w:rsidRPr="00FE5C7C" w:rsidRDefault="00FE5C7C" w:rsidP="00FE5C7C">
      <w:r w:rsidRPr="00FE5C7C">
        <w:t>This will help stakeholders choose the right route and avoid duplicating effort within UKRI, SIF, NIA and other programmes.</w:t>
      </w:r>
    </w:p>
    <w:p w14:paraId="3C91F3E8" w14:textId="77777777" w:rsidR="00FE5C7C" w:rsidRPr="00FE5C7C" w:rsidRDefault="00FE5C7C" w:rsidP="00FE5C7C">
      <w:r w:rsidRPr="00FE5C7C">
        <w:t> </w:t>
      </w:r>
    </w:p>
    <w:p w14:paraId="4646D130" w14:textId="77777777" w:rsidR="00FE5C7C" w:rsidRPr="00FE5C7C" w:rsidRDefault="00FE5C7C" w:rsidP="00FE5C7C">
      <w:r w:rsidRPr="00FE5C7C">
        <w:rPr>
          <w:b/>
          <w:bCs/>
        </w:rPr>
        <w:t>Q4 – Engagement and governance</w:t>
      </w:r>
    </w:p>
    <w:p w14:paraId="25D40A56" w14:textId="77777777" w:rsidR="00FE5C7C" w:rsidRPr="00FE5C7C" w:rsidRDefault="00FE5C7C" w:rsidP="00FE5C7C">
      <w:r w:rsidRPr="00FE5C7C">
        <w:t>The proposed Steering Group plus working groups/open forums is sensible. Ofgem could potentially strengthen the governance:</w:t>
      </w:r>
    </w:p>
    <w:p w14:paraId="529D4E4C" w14:textId="77777777" w:rsidR="00FE5C7C" w:rsidRPr="00FE5C7C" w:rsidRDefault="00FE5C7C" w:rsidP="00FE5C7C">
      <w:pPr>
        <w:numPr>
          <w:ilvl w:val="0"/>
          <w:numId w:val="9"/>
        </w:numPr>
      </w:pPr>
      <w:r w:rsidRPr="00FE5C7C">
        <w:t>Ensure Steering Group membership includes independent technical assurance expertise (AI assurance, cyber-security and data governance) alongside consumer representation.</w:t>
      </w:r>
    </w:p>
    <w:p w14:paraId="77D19744" w14:textId="77777777" w:rsidR="00FE5C7C" w:rsidRPr="00FE5C7C" w:rsidRDefault="00FE5C7C" w:rsidP="00FE5C7C">
      <w:pPr>
        <w:numPr>
          <w:ilvl w:val="0"/>
          <w:numId w:val="9"/>
        </w:numPr>
      </w:pPr>
      <w:r w:rsidRPr="00FE5C7C">
        <w:t>Publish terms of reference (including conflict management and recusal rules) and publish regular high-level progress updates and findings (with clear IP/confidentiality boundaries.)</w:t>
      </w:r>
    </w:p>
    <w:p w14:paraId="3EA50DDB" w14:textId="77777777" w:rsidR="00FE5C7C" w:rsidRPr="00FE5C7C" w:rsidRDefault="00FE5C7C" w:rsidP="00FE5C7C">
      <w:r w:rsidRPr="00FE5C7C">
        <w:t> </w:t>
      </w:r>
    </w:p>
    <w:p w14:paraId="5D1151AA" w14:textId="77777777" w:rsidR="00FE5C7C" w:rsidRPr="00FE5C7C" w:rsidRDefault="00FE5C7C" w:rsidP="00FE5C7C">
      <w:r w:rsidRPr="00FE5C7C">
        <w:rPr>
          <w:b/>
          <w:bCs/>
        </w:rPr>
        <w:t>Q5 – Timelines and next steps</w:t>
      </w:r>
    </w:p>
    <w:p w14:paraId="7C76CF0E" w14:textId="77777777" w:rsidR="00FE5C7C" w:rsidRPr="00FE5C7C" w:rsidRDefault="00FE5C7C" w:rsidP="00FE5C7C">
      <w:r w:rsidRPr="00FE5C7C">
        <w:t>The overall steps are clear (consultation → decision/outcome → participation guidance → open applications → 12</w:t>
      </w:r>
      <w:r w:rsidRPr="00FE5C7C">
        <w:noBreakHyphen/>
        <w:t>month pilot with reporting). These suggestions may enhance the process:</w:t>
      </w:r>
    </w:p>
    <w:p w14:paraId="74F2464B" w14:textId="77777777" w:rsidR="00FE5C7C" w:rsidRPr="00FE5C7C" w:rsidRDefault="00FE5C7C" w:rsidP="00FE5C7C">
      <w:pPr>
        <w:numPr>
          <w:ilvl w:val="0"/>
          <w:numId w:val="10"/>
        </w:numPr>
      </w:pPr>
      <w:r w:rsidRPr="00FE5C7C">
        <w:t>Provide an early “participation pack” templates (application form, evidence plan, reporting template, confidentiality/IP handling approach) so applicants can prepare before the application window opens.</w:t>
      </w:r>
    </w:p>
    <w:p w14:paraId="0D7F8EFB" w14:textId="77777777" w:rsidR="00FE5C7C" w:rsidRPr="00FE5C7C" w:rsidRDefault="00FE5C7C" w:rsidP="00FE5C7C">
      <w:pPr>
        <w:numPr>
          <w:ilvl w:val="0"/>
          <w:numId w:val="10"/>
        </w:numPr>
      </w:pPr>
      <w:r w:rsidRPr="00FE5C7C">
        <w:t>Consider an onboarding phase and clear stage-gating (entry criteria, mid-point review) to keep the pilot manageable and outcomes comparable across use cases.</w:t>
      </w:r>
    </w:p>
    <w:p w14:paraId="719CDDAA" w14:textId="77777777" w:rsidR="00FE5C7C" w:rsidRPr="00FE5C7C" w:rsidRDefault="00FE5C7C" w:rsidP="00FE5C7C">
      <w:r w:rsidRPr="00FE5C7C">
        <w:lastRenderedPageBreak/>
        <w:t> </w:t>
      </w:r>
    </w:p>
    <w:p w14:paraId="29F0C296" w14:textId="77777777" w:rsidR="00FE5C7C" w:rsidRPr="00FE5C7C" w:rsidRDefault="00FE5C7C" w:rsidP="00FE5C7C">
      <w:r w:rsidRPr="00FE5C7C">
        <w:rPr>
          <w:b/>
          <w:bCs/>
        </w:rPr>
        <w:t>Q6 – Ethics and responsible AI</w:t>
      </w:r>
    </w:p>
    <w:p w14:paraId="1465C9D7" w14:textId="77777777" w:rsidR="00FE5C7C" w:rsidRPr="00FE5C7C" w:rsidRDefault="00FE5C7C" w:rsidP="00FE5C7C">
      <w:r w:rsidRPr="00FE5C7C">
        <w:t>We support embedding ethics and safety through design, testing and evaluation, including pre/post-test reviews and adversarial testing (red-teaming). To make this practical and repeatable, we recommend standardising the minimum artefacts each trial should produce, proportionate to risk, for example:</w:t>
      </w:r>
    </w:p>
    <w:p w14:paraId="1FFCEC50" w14:textId="77777777" w:rsidR="00FE5C7C" w:rsidRPr="00FE5C7C" w:rsidRDefault="00FE5C7C" w:rsidP="00FE5C7C">
      <w:pPr>
        <w:numPr>
          <w:ilvl w:val="0"/>
          <w:numId w:val="11"/>
        </w:numPr>
      </w:pPr>
      <w:r w:rsidRPr="00FE5C7C">
        <w:t>Documented harms/risks register and mitigations;</w:t>
      </w:r>
    </w:p>
    <w:p w14:paraId="45027D2C" w14:textId="77777777" w:rsidR="00FE5C7C" w:rsidRPr="00FE5C7C" w:rsidRDefault="00FE5C7C" w:rsidP="00FE5C7C">
      <w:pPr>
        <w:numPr>
          <w:ilvl w:val="0"/>
          <w:numId w:val="11"/>
        </w:numPr>
      </w:pPr>
      <w:r w:rsidRPr="00FE5C7C">
        <w:t>Transparency/explainability approach appropriate to user impact;</w:t>
      </w:r>
    </w:p>
    <w:p w14:paraId="0B88DF19" w14:textId="77777777" w:rsidR="00FE5C7C" w:rsidRPr="00FE5C7C" w:rsidRDefault="00FE5C7C" w:rsidP="00FE5C7C">
      <w:pPr>
        <w:numPr>
          <w:ilvl w:val="0"/>
          <w:numId w:val="11"/>
        </w:numPr>
      </w:pPr>
      <w:r w:rsidRPr="00FE5C7C">
        <w:t>Security and data protection controls; and</w:t>
      </w:r>
    </w:p>
    <w:p w14:paraId="1CE37AF4" w14:textId="77777777" w:rsidR="00FE5C7C" w:rsidRPr="00FE5C7C" w:rsidRDefault="00FE5C7C" w:rsidP="00FE5C7C">
      <w:pPr>
        <w:numPr>
          <w:ilvl w:val="0"/>
          <w:numId w:val="11"/>
        </w:numPr>
      </w:pPr>
      <w:r w:rsidRPr="00FE5C7C">
        <w:t>Monitoring plan (drift, incident response) for anything that might later move toward live deployment.</w:t>
      </w:r>
    </w:p>
    <w:p w14:paraId="5DF0B74F" w14:textId="77777777" w:rsidR="00FE5C7C" w:rsidRPr="00FE5C7C" w:rsidRDefault="00FE5C7C" w:rsidP="00FE5C7C">
      <w:r w:rsidRPr="00FE5C7C">
        <w:t>This would also improve the usefulness of published sector learnings.</w:t>
      </w:r>
    </w:p>
    <w:p w14:paraId="76B53547" w14:textId="0D153D9A" w:rsidR="00FE5C7C" w:rsidRPr="00FE5C7C" w:rsidRDefault="00FE5C7C" w:rsidP="00FE5C7C"/>
    <w:p w14:paraId="20C9CDFF" w14:textId="77777777" w:rsidR="00FE5C7C" w:rsidRPr="00FE5C7C" w:rsidRDefault="00FE5C7C" w:rsidP="00FE5C7C">
      <w:r w:rsidRPr="00FE5C7C">
        <w:rPr>
          <w:b/>
          <w:bCs/>
        </w:rPr>
        <w:t>Q7 – Stakeholder support</w:t>
      </w:r>
    </w:p>
    <w:p w14:paraId="78F06402" w14:textId="77777777" w:rsidR="00FE5C7C" w:rsidRPr="00FE5C7C" w:rsidRDefault="00FE5C7C" w:rsidP="00FE5C7C">
      <w:r w:rsidRPr="00FE5C7C">
        <w:t>We have brainstormed some ways that Ofgem could accelerate useful participation:</w:t>
      </w:r>
    </w:p>
    <w:p w14:paraId="39399FA8" w14:textId="77777777" w:rsidR="00FE5C7C" w:rsidRPr="00FE5C7C" w:rsidRDefault="00FE5C7C" w:rsidP="00FE5C7C">
      <w:pPr>
        <w:numPr>
          <w:ilvl w:val="0"/>
          <w:numId w:val="12"/>
        </w:numPr>
      </w:pPr>
      <w:r w:rsidRPr="00FE5C7C">
        <w:t>Office hours / clinics (technical + regulatory);</w:t>
      </w:r>
    </w:p>
    <w:p w14:paraId="72AEBE7A" w14:textId="77777777" w:rsidR="00FE5C7C" w:rsidRPr="00FE5C7C" w:rsidRDefault="00FE5C7C" w:rsidP="00FE5C7C">
      <w:pPr>
        <w:numPr>
          <w:ilvl w:val="0"/>
          <w:numId w:val="12"/>
        </w:numPr>
      </w:pPr>
      <w:r w:rsidRPr="00FE5C7C">
        <w:t>Shared evaluation templates and example artefacts;</w:t>
      </w:r>
    </w:p>
    <w:p w14:paraId="34CE5558" w14:textId="77777777" w:rsidR="00FE5C7C" w:rsidRPr="00FE5C7C" w:rsidRDefault="00FE5C7C" w:rsidP="00FE5C7C">
      <w:pPr>
        <w:numPr>
          <w:ilvl w:val="0"/>
          <w:numId w:val="12"/>
        </w:numPr>
      </w:pPr>
      <w:r w:rsidRPr="00FE5C7C">
        <w:t>Guidance on IP/confidentiality boundaries and what will be published; or</w:t>
      </w:r>
    </w:p>
    <w:p w14:paraId="6AACD0BB" w14:textId="77777777" w:rsidR="00FE5C7C" w:rsidRPr="00FE5C7C" w:rsidRDefault="00FE5C7C" w:rsidP="00FE5C7C">
      <w:pPr>
        <w:numPr>
          <w:ilvl w:val="0"/>
          <w:numId w:val="12"/>
        </w:numPr>
      </w:pPr>
      <w:r w:rsidRPr="00FE5C7C">
        <w:t>Support for secure data access patterns (including when synthetic data is acceptable and how it should be validated).</w:t>
      </w:r>
    </w:p>
    <w:p w14:paraId="02D085E1" w14:textId="77777777" w:rsidR="00FE5C7C" w:rsidRPr="00FE5C7C" w:rsidRDefault="00FE5C7C" w:rsidP="00FE5C7C">
      <w:r w:rsidRPr="00FE5C7C">
        <w:t> </w:t>
      </w:r>
    </w:p>
    <w:p w14:paraId="14ACCA74" w14:textId="77777777" w:rsidR="00FE5C7C" w:rsidRPr="00FE5C7C" w:rsidRDefault="00FE5C7C" w:rsidP="00FE5C7C">
      <w:r w:rsidRPr="00FE5C7C">
        <w:rPr>
          <w:b/>
          <w:bCs/>
        </w:rPr>
        <w:t>Q8 – Other comments</w:t>
      </w:r>
    </w:p>
    <w:p w14:paraId="70B49D49" w14:textId="27734B1C" w:rsidR="00FE5C7C" w:rsidRPr="00FE5C7C" w:rsidRDefault="00FE5C7C" w:rsidP="00FE5C7C">
      <w:r w:rsidRPr="00FE5C7C">
        <w:t>The biggest delivery risk is likely to be data access and safe handling.  Many high-value use cases will stall without clear patterns for representative data, including extraction/egress limits and expectations for synthetic data. We recommend Ofgem prioritises a small set of safe data access archetypes for the pilot to reduce friction, and ensures published learnings include what worked/failed on data governance as much as on the models themselves.  Ultimately safe, secure and effective AI adoption is as much a governance challenge as it is a technical one.</w:t>
      </w:r>
    </w:p>
    <w:p w14:paraId="5C02DF7F" w14:textId="77777777" w:rsidR="00FE5C7C" w:rsidRPr="00FE5C7C" w:rsidRDefault="00FE5C7C" w:rsidP="00FE5C7C">
      <w:r w:rsidRPr="00FE5C7C">
        <w:t>Yours,</w:t>
      </w:r>
    </w:p>
    <w:p w14:paraId="60C06722" w14:textId="75000656" w:rsidR="00FE5C7C" w:rsidRPr="00FE5C7C" w:rsidRDefault="00FE5C7C" w:rsidP="00FE5C7C">
      <w:r w:rsidRPr="00FE5C7C">
        <w:t>On behalf of DNV Services UK Limited</w:t>
      </w:r>
      <w:r w:rsidRPr="00FE5C7C">
        <w:rPr>
          <w:b/>
          <w:bCs/>
        </w:rPr>
        <w:t> </w:t>
      </w:r>
    </w:p>
    <w:p w14:paraId="50417ADD" w14:textId="77777777" w:rsidR="00FE5C7C" w:rsidRPr="00FE5C7C" w:rsidRDefault="00FE5C7C" w:rsidP="00FE5C7C">
      <w:r w:rsidRPr="00FE5C7C">
        <w:rPr>
          <w:b/>
          <w:bCs/>
        </w:rPr>
        <w:lastRenderedPageBreak/>
        <w:t xml:space="preserve">Matt Celnik PhD CEng </w:t>
      </w:r>
      <w:proofErr w:type="spellStart"/>
      <w:r w:rsidRPr="00FE5C7C">
        <w:rPr>
          <w:b/>
          <w:bCs/>
        </w:rPr>
        <w:t>MIChemE</w:t>
      </w:r>
      <w:proofErr w:type="spellEnd"/>
    </w:p>
    <w:p w14:paraId="2C6EB20D" w14:textId="40F53C9F" w:rsidR="00FE5C7C" w:rsidRPr="00FE5C7C" w:rsidRDefault="00FE5C7C" w:rsidP="00FE5C7C">
      <w:r w:rsidRPr="00FE5C7C">
        <w:t>Technical Lead | Digital Energy | UK &amp; Ireland</w:t>
      </w:r>
      <w:r w:rsidRPr="00FE5C7C">
        <w:br/>
        <w:t>Energy Systems</w:t>
      </w:r>
    </w:p>
    <w:p w14:paraId="2DB165EE" w14:textId="77777777" w:rsidR="00FE5C7C" w:rsidRPr="00FE5C7C" w:rsidRDefault="00FE5C7C" w:rsidP="00FE5C7C">
      <w:r w:rsidRPr="00FE5C7C">
        <w:t>DNV Services UK Limited</w:t>
      </w:r>
    </w:p>
    <w:p w14:paraId="40518776" w14:textId="77777777" w:rsidR="00A63499" w:rsidRDefault="00A63499"/>
    <w:sectPr w:rsidR="00A6349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D19E3" w14:textId="77777777" w:rsidR="00C90AEA" w:rsidRDefault="00C90AEA" w:rsidP="00FE5C7C">
      <w:pPr>
        <w:spacing w:after="0" w:line="240" w:lineRule="auto"/>
      </w:pPr>
      <w:r>
        <w:separator/>
      </w:r>
    </w:p>
  </w:endnote>
  <w:endnote w:type="continuationSeparator" w:id="0">
    <w:p w14:paraId="06E65718" w14:textId="77777777" w:rsidR="00C90AEA" w:rsidRDefault="00C90AEA" w:rsidP="00FE5C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B44F1" w14:textId="018B3EED" w:rsidR="00FE5C7C" w:rsidRDefault="00FE5C7C">
    <w:pPr>
      <w:pStyle w:val="Footer"/>
    </w:pPr>
    <w:r>
      <w:rPr>
        <w:noProof/>
      </w:rPr>
      <mc:AlternateContent>
        <mc:Choice Requires="wps">
          <w:drawing>
            <wp:anchor distT="0" distB="0" distL="0" distR="0" simplePos="0" relativeHeight="251662336" behindDoc="0" locked="0" layoutInCell="1" allowOverlap="1" wp14:anchorId="55F9C943" wp14:editId="3AA05768">
              <wp:simplePos x="635" y="635"/>
              <wp:positionH relativeFrom="page">
                <wp:align>center</wp:align>
              </wp:positionH>
              <wp:positionV relativeFrom="page">
                <wp:align>bottom</wp:align>
              </wp:positionV>
              <wp:extent cx="518795" cy="370205"/>
              <wp:effectExtent l="0" t="0" r="14605" b="0"/>
              <wp:wrapNone/>
              <wp:docPr id="273821124"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488A7351" w14:textId="0276BF8C" w:rsidR="00FE5C7C" w:rsidRPr="00FE5C7C" w:rsidRDefault="00FE5C7C" w:rsidP="00FE5C7C">
                          <w:pPr>
                            <w:spacing w:after="0"/>
                            <w:rPr>
                              <w:rFonts w:ascii="Aptos" w:eastAsia="Aptos" w:hAnsi="Aptos" w:cs="Aptos"/>
                              <w:noProof/>
                              <w:color w:val="000000"/>
                              <w:sz w:val="20"/>
                              <w:szCs w:val="20"/>
                            </w:rPr>
                          </w:pPr>
                          <w:r w:rsidRPr="00FE5C7C">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F9C943" id="_x0000_t202" coordsize="21600,21600" o:spt="202" path="m,l,21600r21600,l21600,xe">
              <v:stroke joinstyle="miter"/>
              <v:path gradientshapeok="t" o:connecttype="rect"/>
            </v:shapetype>
            <v:shape id="Text Box 5" o:spid="_x0000_s1028" type="#_x0000_t202" alt="OFFICIAL" style="position:absolute;margin-left:0;margin-top:0;width:40.85pt;height:29.1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" filled="f" stroked="f">
              <v:fill o:detectmouseclick="t"/>
              <v:textbox style="mso-fit-shape-to-text:t" inset="0,0,0,15pt">
                <w:txbxContent>
                  <w:p w14:paraId="488A7351" w14:textId="0276BF8C" w:rsidR="00FE5C7C" w:rsidRPr="00FE5C7C" w:rsidRDefault="00FE5C7C" w:rsidP="00FE5C7C">
                    <w:pPr>
                      <w:spacing w:after="0"/>
                      <w:rPr>
                        <w:rFonts w:ascii="Aptos" w:eastAsia="Aptos" w:hAnsi="Aptos" w:cs="Aptos"/>
                        <w:noProof/>
                        <w:color w:val="000000"/>
                        <w:sz w:val="20"/>
                        <w:szCs w:val="20"/>
                      </w:rPr>
                    </w:pPr>
                    <w:r w:rsidRPr="00FE5C7C">
                      <w:rPr>
                        <w:rFonts w:ascii="Aptos" w:eastAsia="Aptos" w:hAnsi="Aptos" w:cs="Aptos"/>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4885D" w14:textId="7BC22212" w:rsidR="00FE5C7C" w:rsidRDefault="00FE5C7C">
    <w:pPr>
      <w:pStyle w:val="Footer"/>
    </w:pPr>
    <w:r>
      <w:rPr>
        <w:noProof/>
      </w:rPr>
      <mc:AlternateContent>
        <mc:Choice Requires="wps">
          <w:drawing>
            <wp:anchor distT="0" distB="0" distL="0" distR="0" simplePos="0" relativeHeight="251663360" behindDoc="0" locked="0" layoutInCell="1" allowOverlap="1" wp14:anchorId="61A2113C" wp14:editId="70E7879C">
              <wp:simplePos x="635" y="635"/>
              <wp:positionH relativeFrom="page">
                <wp:align>center</wp:align>
              </wp:positionH>
              <wp:positionV relativeFrom="page">
                <wp:align>bottom</wp:align>
              </wp:positionV>
              <wp:extent cx="518795" cy="370205"/>
              <wp:effectExtent l="0" t="0" r="14605" b="0"/>
              <wp:wrapNone/>
              <wp:docPr id="849728854"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750F215D" w14:textId="607FF228" w:rsidR="00FE5C7C" w:rsidRPr="00FE5C7C" w:rsidRDefault="00FE5C7C" w:rsidP="00FE5C7C">
                          <w:pPr>
                            <w:spacing w:after="0"/>
                            <w:rPr>
                              <w:rFonts w:ascii="Aptos" w:eastAsia="Aptos" w:hAnsi="Aptos" w:cs="Aptos"/>
                              <w:noProof/>
                              <w:color w:val="000000"/>
                              <w:sz w:val="20"/>
                              <w:szCs w:val="20"/>
                            </w:rPr>
                          </w:pPr>
                          <w:r w:rsidRPr="00FE5C7C">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1A2113C" id="_x0000_t202" coordsize="21600,21600" o:spt="202" path="m,l,21600r21600,l21600,xe">
              <v:stroke joinstyle="miter"/>
              <v:path gradientshapeok="t" o:connecttype="rect"/>
            </v:shapetype>
            <v:shape id="Text Box 6" o:spid="_x0000_s1029" type="#_x0000_t202" alt="OFFICIAL" style="position:absolute;margin-left:0;margin-top:0;width:40.85pt;height:29.1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" filled="f" stroked="f">
              <v:fill o:detectmouseclick="t"/>
              <v:textbox style="mso-fit-shape-to-text:t" inset="0,0,0,15pt">
                <w:txbxContent>
                  <w:p w14:paraId="750F215D" w14:textId="607FF228" w:rsidR="00FE5C7C" w:rsidRPr="00FE5C7C" w:rsidRDefault="00FE5C7C" w:rsidP="00FE5C7C">
                    <w:pPr>
                      <w:spacing w:after="0"/>
                      <w:rPr>
                        <w:rFonts w:ascii="Aptos" w:eastAsia="Aptos" w:hAnsi="Aptos" w:cs="Aptos"/>
                        <w:noProof/>
                        <w:color w:val="000000"/>
                        <w:sz w:val="20"/>
                        <w:szCs w:val="20"/>
                      </w:rPr>
                    </w:pPr>
                    <w:r w:rsidRPr="00FE5C7C">
                      <w:rPr>
                        <w:rFonts w:ascii="Aptos" w:eastAsia="Aptos" w:hAnsi="Aptos" w:cs="Aptos"/>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EAFA1" w14:textId="3CFEE77C" w:rsidR="00FE5C7C" w:rsidRDefault="00FE5C7C">
    <w:pPr>
      <w:pStyle w:val="Footer"/>
    </w:pPr>
    <w:r>
      <w:rPr>
        <w:noProof/>
      </w:rPr>
      <mc:AlternateContent>
        <mc:Choice Requires="wps">
          <w:drawing>
            <wp:anchor distT="0" distB="0" distL="0" distR="0" simplePos="0" relativeHeight="251661312" behindDoc="0" locked="0" layoutInCell="1" allowOverlap="1" wp14:anchorId="1A0350F9" wp14:editId="1FA61250">
              <wp:simplePos x="635" y="635"/>
              <wp:positionH relativeFrom="page">
                <wp:align>center</wp:align>
              </wp:positionH>
              <wp:positionV relativeFrom="page">
                <wp:align>bottom</wp:align>
              </wp:positionV>
              <wp:extent cx="518795" cy="370205"/>
              <wp:effectExtent l="0" t="0" r="14605" b="0"/>
              <wp:wrapNone/>
              <wp:docPr id="1778201046"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28170CE8" w14:textId="1756E930" w:rsidR="00FE5C7C" w:rsidRPr="00FE5C7C" w:rsidRDefault="00FE5C7C" w:rsidP="00FE5C7C">
                          <w:pPr>
                            <w:spacing w:after="0"/>
                            <w:rPr>
                              <w:rFonts w:ascii="Aptos" w:eastAsia="Aptos" w:hAnsi="Aptos" w:cs="Aptos"/>
                              <w:noProof/>
                              <w:color w:val="000000"/>
                              <w:sz w:val="20"/>
                              <w:szCs w:val="20"/>
                            </w:rPr>
                          </w:pPr>
                          <w:r w:rsidRPr="00FE5C7C">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0350F9" id="_x0000_t202" coordsize="21600,21600" o:spt="202" path="m,l,21600r21600,l21600,xe">
              <v:stroke joinstyle="miter"/>
              <v:path gradientshapeok="t" o:connecttype="rect"/>
            </v:shapetype>
            <v:shape id="Text Box 4" o:spid="_x0000_s1031" type="#_x0000_t202" alt="OFFICIAL" style="position:absolute;margin-left:0;margin-top:0;width:40.85pt;height:29.1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" filled="f" stroked="f">
              <v:fill o:detectmouseclick="t"/>
              <v:textbox style="mso-fit-shape-to-text:t" inset="0,0,0,15pt">
                <w:txbxContent>
                  <w:p w14:paraId="28170CE8" w14:textId="1756E930" w:rsidR="00FE5C7C" w:rsidRPr="00FE5C7C" w:rsidRDefault="00FE5C7C" w:rsidP="00FE5C7C">
                    <w:pPr>
                      <w:spacing w:after="0"/>
                      <w:rPr>
                        <w:rFonts w:ascii="Aptos" w:eastAsia="Aptos" w:hAnsi="Aptos" w:cs="Aptos"/>
                        <w:noProof/>
                        <w:color w:val="000000"/>
                        <w:sz w:val="20"/>
                        <w:szCs w:val="20"/>
                      </w:rPr>
                    </w:pPr>
                    <w:r w:rsidRPr="00FE5C7C">
                      <w:rPr>
                        <w:rFonts w:ascii="Aptos" w:eastAsia="Aptos" w:hAnsi="Aptos" w:cs="Aptos"/>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FD4A4" w14:textId="77777777" w:rsidR="00C90AEA" w:rsidRDefault="00C90AEA" w:rsidP="00FE5C7C">
      <w:pPr>
        <w:spacing w:after="0" w:line="240" w:lineRule="auto"/>
      </w:pPr>
      <w:r>
        <w:separator/>
      </w:r>
    </w:p>
  </w:footnote>
  <w:footnote w:type="continuationSeparator" w:id="0">
    <w:p w14:paraId="39C5CFD3" w14:textId="77777777" w:rsidR="00C90AEA" w:rsidRDefault="00C90AEA" w:rsidP="00FE5C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9F15C" w14:textId="2E882927" w:rsidR="00FE5C7C" w:rsidRDefault="00FE5C7C">
    <w:pPr>
      <w:pStyle w:val="Header"/>
    </w:pPr>
    <w:r>
      <w:rPr>
        <w:noProof/>
      </w:rPr>
      <mc:AlternateContent>
        <mc:Choice Requires="wps">
          <w:drawing>
            <wp:anchor distT="0" distB="0" distL="0" distR="0" simplePos="0" relativeHeight="251659264" behindDoc="0" locked="0" layoutInCell="1" allowOverlap="1" wp14:anchorId="389F81CE" wp14:editId="53DBBBEB">
              <wp:simplePos x="635" y="635"/>
              <wp:positionH relativeFrom="page">
                <wp:align>center</wp:align>
              </wp:positionH>
              <wp:positionV relativeFrom="page">
                <wp:align>top</wp:align>
              </wp:positionV>
              <wp:extent cx="518795" cy="370205"/>
              <wp:effectExtent l="0" t="0" r="14605" b="10795"/>
              <wp:wrapNone/>
              <wp:docPr id="1705145747"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088E1543" w14:textId="4DD24FE8" w:rsidR="00FE5C7C" w:rsidRPr="00FE5C7C" w:rsidRDefault="00FE5C7C" w:rsidP="00FE5C7C">
                          <w:pPr>
                            <w:spacing w:after="0"/>
                            <w:rPr>
                              <w:rFonts w:ascii="Aptos" w:eastAsia="Aptos" w:hAnsi="Aptos" w:cs="Aptos"/>
                              <w:noProof/>
                              <w:color w:val="000000"/>
                              <w:sz w:val="20"/>
                              <w:szCs w:val="20"/>
                            </w:rPr>
                          </w:pPr>
                          <w:r w:rsidRPr="00FE5C7C">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9F81CE" id="_x0000_t202" coordsize="21600,21600" o:spt="202" path="m,l,21600r21600,l21600,xe">
              <v:stroke joinstyle="miter"/>
              <v:path gradientshapeok="t" o:connecttype="rect"/>
            </v:shapetype>
            <v:shape id="Text Box 2" o:spid="_x0000_s1026" type="#_x0000_t202" alt="OFFICIAL" style="position:absolute;margin-left:0;margin-top:0;width:40.85pt;height:29.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" filled="f" stroked="f">
              <v:fill o:detectmouseclick="t"/>
              <v:textbox style="mso-fit-shape-to-text:t" inset="0,15pt,0,0">
                <w:txbxContent>
                  <w:p w14:paraId="088E1543" w14:textId="4DD24FE8" w:rsidR="00FE5C7C" w:rsidRPr="00FE5C7C" w:rsidRDefault="00FE5C7C" w:rsidP="00FE5C7C">
                    <w:pPr>
                      <w:spacing w:after="0"/>
                      <w:rPr>
                        <w:rFonts w:ascii="Aptos" w:eastAsia="Aptos" w:hAnsi="Aptos" w:cs="Aptos"/>
                        <w:noProof/>
                        <w:color w:val="000000"/>
                        <w:sz w:val="20"/>
                        <w:szCs w:val="20"/>
                      </w:rPr>
                    </w:pPr>
                    <w:r w:rsidRPr="00FE5C7C">
                      <w:rPr>
                        <w:rFonts w:ascii="Aptos" w:eastAsia="Aptos" w:hAnsi="Aptos" w:cs="Aptos"/>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69FED" w14:textId="36845849" w:rsidR="00FE5C7C" w:rsidRDefault="00FE5C7C">
    <w:pPr>
      <w:pStyle w:val="Header"/>
    </w:pPr>
    <w:r>
      <w:rPr>
        <w:noProof/>
      </w:rPr>
      <mc:AlternateContent>
        <mc:Choice Requires="wps">
          <w:drawing>
            <wp:anchor distT="0" distB="0" distL="0" distR="0" simplePos="0" relativeHeight="251660288" behindDoc="0" locked="0" layoutInCell="1" allowOverlap="1" wp14:anchorId="0E3BB447" wp14:editId="4D8DF96A">
              <wp:simplePos x="635" y="635"/>
              <wp:positionH relativeFrom="page">
                <wp:align>center</wp:align>
              </wp:positionH>
              <wp:positionV relativeFrom="page">
                <wp:align>top</wp:align>
              </wp:positionV>
              <wp:extent cx="518795" cy="370205"/>
              <wp:effectExtent l="0" t="0" r="14605" b="10795"/>
              <wp:wrapNone/>
              <wp:docPr id="1945035946"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62F90146" w14:textId="05B2D671" w:rsidR="00FE5C7C" w:rsidRPr="00FE5C7C" w:rsidRDefault="00FE5C7C" w:rsidP="00FE5C7C">
                          <w:pPr>
                            <w:spacing w:after="0"/>
                            <w:rPr>
                              <w:rFonts w:ascii="Aptos" w:eastAsia="Aptos" w:hAnsi="Aptos" w:cs="Aptos"/>
                              <w:noProof/>
                              <w:color w:val="000000"/>
                              <w:sz w:val="20"/>
                              <w:szCs w:val="20"/>
                            </w:rPr>
                          </w:pPr>
                          <w:r w:rsidRPr="00FE5C7C">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3BB447" id="_x0000_t202" coordsize="21600,21600" o:spt="202" path="m,l,21600r21600,l21600,xe">
              <v:stroke joinstyle="miter"/>
              <v:path gradientshapeok="t" o:connecttype="rect"/>
            </v:shapetype>
            <v:shape id="Text Box 3" o:spid="_x0000_s1027" type="#_x0000_t202" alt="OFFICIAL" style="position:absolute;margin-left:0;margin-top:0;width:40.85pt;height:29.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" filled="f" stroked="f">
              <v:fill o:detectmouseclick="t"/>
              <v:textbox style="mso-fit-shape-to-text:t" inset="0,15pt,0,0">
                <w:txbxContent>
                  <w:p w14:paraId="62F90146" w14:textId="05B2D671" w:rsidR="00FE5C7C" w:rsidRPr="00FE5C7C" w:rsidRDefault="00FE5C7C" w:rsidP="00FE5C7C">
                    <w:pPr>
                      <w:spacing w:after="0"/>
                      <w:rPr>
                        <w:rFonts w:ascii="Aptos" w:eastAsia="Aptos" w:hAnsi="Aptos" w:cs="Aptos"/>
                        <w:noProof/>
                        <w:color w:val="000000"/>
                        <w:sz w:val="20"/>
                        <w:szCs w:val="20"/>
                      </w:rPr>
                    </w:pPr>
                    <w:r w:rsidRPr="00FE5C7C">
                      <w:rPr>
                        <w:rFonts w:ascii="Aptos" w:eastAsia="Aptos" w:hAnsi="Aptos" w:cs="Aptos"/>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A5C13" w14:textId="2FB9E7C9" w:rsidR="00FE5C7C" w:rsidRDefault="00FE5C7C">
    <w:pPr>
      <w:pStyle w:val="Header"/>
    </w:pPr>
    <w:r>
      <w:rPr>
        <w:noProof/>
      </w:rPr>
      <mc:AlternateContent>
        <mc:Choice Requires="wps">
          <w:drawing>
            <wp:anchor distT="0" distB="0" distL="0" distR="0" simplePos="0" relativeHeight="251658240" behindDoc="0" locked="0" layoutInCell="1" allowOverlap="1" wp14:anchorId="09FDE0B7" wp14:editId="5F659670">
              <wp:simplePos x="635" y="635"/>
              <wp:positionH relativeFrom="page">
                <wp:align>center</wp:align>
              </wp:positionH>
              <wp:positionV relativeFrom="page">
                <wp:align>top</wp:align>
              </wp:positionV>
              <wp:extent cx="518795" cy="370205"/>
              <wp:effectExtent l="0" t="0" r="14605" b="10795"/>
              <wp:wrapNone/>
              <wp:docPr id="717938796"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75F56674" w14:textId="626863AE" w:rsidR="00FE5C7C" w:rsidRPr="00FE5C7C" w:rsidRDefault="00FE5C7C" w:rsidP="00FE5C7C">
                          <w:pPr>
                            <w:spacing w:after="0"/>
                            <w:rPr>
                              <w:rFonts w:ascii="Aptos" w:eastAsia="Aptos" w:hAnsi="Aptos" w:cs="Aptos"/>
                              <w:noProof/>
                              <w:color w:val="000000"/>
                              <w:sz w:val="20"/>
                              <w:szCs w:val="20"/>
                            </w:rPr>
                          </w:pPr>
                          <w:r w:rsidRPr="00FE5C7C">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FDE0B7" id="_x0000_t202" coordsize="21600,21600" o:spt="202" path="m,l,21600r21600,l21600,xe">
              <v:stroke joinstyle="miter"/>
              <v:path gradientshapeok="t" o:connecttype="rect"/>
            </v:shapetype>
            <v:shape id="Text Box 1" o:spid="_x0000_s1030" type="#_x0000_t202" alt="OFFICIAL" style="position:absolute;margin-left:0;margin-top:0;width:40.85pt;height:29.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" filled="f" stroked="f">
              <v:fill o:detectmouseclick="t"/>
              <v:textbox style="mso-fit-shape-to-text:t" inset="0,15pt,0,0">
                <w:txbxContent>
                  <w:p w14:paraId="75F56674" w14:textId="626863AE" w:rsidR="00FE5C7C" w:rsidRPr="00FE5C7C" w:rsidRDefault="00FE5C7C" w:rsidP="00FE5C7C">
                    <w:pPr>
                      <w:spacing w:after="0"/>
                      <w:rPr>
                        <w:rFonts w:ascii="Aptos" w:eastAsia="Aptos" w:hAnsi="Aptos" w:cs="Aptos"/>
                        <w:noProof/>
                        <w:color w:val="000000"/>
                        <w:sz w:val="20"/>
                        <w:szCs w:val="20"/>
                      </w:rPr>
                    </w:pPr>
                    <w:r w:rsidRPr="00FE5C7C">
                      <w:rPr>
                        <w:rFonts w:ascii="Aptos" w:eastAsia="Aptos" w:hAnsi="Aptos" w:cs="Aptos"/>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43EF"/>
    <w:multiLevelType w:val="multilevel"/>
    <w:tmpl w:val="DFC05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A326AF"/>
    <w:multiLevelType w:val="multilevel"/>
    <w:tmpl w:val="8DE28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E63DEB"/>
    <w:multiLevelType w:val="multilevel"/>
    <w:tmpl w:val="354AB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CD31DD"/>
    <w:multiLevelType w:val="multilevel"/>
    <w:tmpl w:val="6CDE0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BC60EC"/>
    <w:multiLevelType w:val="multilevel"/>
    <w:tmpl w:val="37787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1F3B79"/>
    <w:multiLevelType w:val="multilevel"/>
    <w:tmpl w:val="B5B0C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3802AA9"/>
    <w:multiLevelType w:val="multilevel"/>
    <w:tmpl w:val="8FE25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4451A3B"/>
    <w:multiLevelType w:val="multilevel"/>
    <w:tmpl w:val="D9E60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6DE4AA3"/>
    <w:multiLevelType w:val="multilevel"/>
    <w:tmpl w:val="14D46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0852C91"/>
    <w:multiLevelType w:val="multilevel"/>
    <w:tmpl w:val="0686C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A6A25CF"/>
    <w:multiLevelType w:val="multilevel"/>
    <w:tmpl w:val="441E7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98E12C6"/>
    <w:multiLevelType w:val="multilevel"/>
    <w:tmpl w:val="E314F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64193750">
    <w:abstractNumId w:val="9"/>
  </w:num>
  <w:num w:numId="2" w16cid:durableId="451873094">
    <w:abstractNumId w:val="1"/>
  </w:num>
  <w:num w:numId="3" w16cid:durableId="796724685">
    <w:abstractNumId w:val="11"/>
  </w:num>
  <w:num w:numId="4" w16cid:durableId="1214728563">
    <w:abstractNumId w:val="4"/>
  </w:num>
  <w:num w:numId="5" w16cid:durableId="814640899">
    <w:abstractNumId w:val="2"/>
  </w:num>
  <w:num w:numId="6" w16cid:durableId="217211161">
    <w:abstractNumId w:val="3"/>
  </w:num>
  <w:num w:numId="7" w16cid:durableId="581525325">
    <w:abstractNumId w:val="7"/>
  </w:num>
  <w:num w:numId="8" w16cid:durableId="1396398082">
    <w:abstractNumId w:val="10"/>
  </w:num>
  <w:num w:numId="9" w16cid:durableId="1326202178">
    <w:abstractNumId w:val="0"/>
  </w:num>
  <w:num w:numId="10" w16cid:durableId="2136367779">
    <w:abstractNumId w:val="5"/>
  </w:num>
  <w:num w:numId="11" w16cid:durableId="1284918849">
    <w:abstractNumId w:val="8"/>
  </w:num>
  <w:num w:numId="12" w16cid:durableId="10867307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C7C"/>
    <w:rsid w:val="005D0399"/>
    <w:rsid w:val="00A63499"/>
    <w:rsid w:val="00C90AEA"/>
    <w:rsid w:val="00E92AA1"/>
    <w:rsid w:val="00FE5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38B09"/>
  <w15:chartTrackingRefBased/>
  <w15:docId w15:val="{040C880A-6C7A-4515-8918-AB2A3F8E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E5C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5C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5C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5C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5C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5C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5C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5C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5C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5C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5C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5C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5C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5C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5C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5C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5C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5C7C"/>
    <w:rPr>
      <w:rFonts w:eastAsiaTheme="majorEastAsia" w:cstheme="majorBidi"/>
      <w:color w:val="272727" w:themeColor="text1" w:themeTint="D8"/>
    </w:rPr>
  </w:style>
  <w:style w:type="paragraph" w:styleId="Title">
    <w:name w:val="Title"/>
    <w:basedOn w:val="Normal"/>
    <w:next w:val="Normal"/>
    <w:link w:val="TitleChar"/>
    <w:uiPriority w:val="10"/>
    <w:qFormat/>
    <w:rsid w:val="00FE5C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5C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5C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5C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5C7C"/>
    <w:pPr>
      <w:spacing w:before="160"/>
      <w:jc w:val="center"/>
    </w:pPr>
    <w:rPr>
      <w:i/>
      <w:iCs/>
      <w:color w:val="404040" w:themeColor="text1" w:themeTint="BF"/>
    </w:rPr>
  </w:style>
  <w:style w:type="character" w:customStyle="1" w:styleId="QuoteChar">
    <w:name w:val="Quote Char"/>
    <w:basedOn w:val="DefaultParagraphFont"/>
    <w:link w:val="Quote"/>
    <w:uiPriority w:val="29"/>
    <w:rsid w:val="00FE5C7C"/>
    <w:rPr>
      <w:i/>
      <w:iCs/>
      <w:color w:val="404040" w:themeColor="text1" w:themeTint="BF"/>
    </w:rPr>
  </w:style>
  <w:style w:type="paragraph" w:styleId="ListParagraph">
    <w:name w:val="List Paragraph"/>
    <w:basedOn w:val="Normal"/>
    <w:uiPriority w:val="34"/>
    <w:qFormat/>
    <w:rsid w:val="00FE5C7C"/>
    <w:pPr>
      <w:ind w:left="720"/>
      <w:contextualSpacing/>
    </w:pPr>
  </w:style>
  <w:style w:type="character" w:styleId="IntenseEmphasis">
    <w:name w:val="Intense Emphasis"/>
    <w:basedOn w:val="DefaultParagraphFont"/>
    <w:uiPriority w:val="21"/>
    <w:qFormat/>
    <w:rsid w:val="00FE5C7C"/>
    <w:rPr>
      <w:i/>
      <w:iCs/>
      <w:color w:val="0F4761" w:themeColor="accent1" w:themeShade="BF"/>
    </w:rPr>
  </w:style>
  <w:style w:type="paragraph" w:styleId="IntenseQuote">
    <w:name w:val="Intense Quote"/>
    <w:basedOn w:val="Normal"/>
    <w:next w:val="Normal"/>
    <w:link w:val="IntenseQuoteChar"/>
    <w:uiPriority w:val="30"/>
    <w:qFormat/>
    <w:rsid w:val="00FE5C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5C7C"/>
    <w:rPr>
      <w:i/>
      <w:iCs/>
      <w:color w:val="0F4761" w:themeColor="accent1" w:themeShade="BF"/>
    </w:rPr>
  </w:style>
  <w:style w:type="character" w:styleId="IntenseReference">
    <w:name w:val="Intense Reference"/>
    <w:basedOn w:val="DefaultParagraphFont"/>
    <w:uiPriority w:val="32"/>
    <w:qFormat/>
    <w:rsid w:val="00FE5C7C"/>
    <w:rPr>
      <w:b/>
      <w:bCs/>
      <w:smallCaps/>
      <w:color w:val="0F4761" w:themeColor="accent1" w:themeShade="BF"/>
      <w:spacing w:val="5"/>
    </w:rPr>
  </w:style>
  <w:style w:type="paragraph" w:styleId="Header">
    <w:name w:val="header"/>
    <w:basedOn w:val="Normal"/>
    <w:link w:val="HeaderChar"/>
    <w:uiPriority w:val="99"/>
    <w:unhideWhenUsed/>
    <w:rsid w:val="00FE5C7C"/>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5C7C"/>
  </w:style>
  <w:style w:type="paragraph" w:styleId="Footer">
    <w:name w:val="footer"/>
    <w:basedOn w:val="Normal"/>
    <w:link w:val="FooterChar"/>
    <w:uiPriority w:val="99"/>
    <w:unhideWhenUsed/>
    <w:rsid w:val="00FE5C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5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9FE5A163A0BA49B62EE8FDC3CC3AD2" ma:contentTypeVersion="17" ma:contentTypeDescription="Create a new document." ma:contentTypeScope="" ma:versionID="6586676598167c8bc4e349c8815fdbc7">
  <xsd:schema xmlns:xsd="http://www.w3.org/2001/XMLSchema" xmlns:xs="http://www.w3.org/2001/XMLSchema" xmlns:p="http://schemas.microsoft.com/office/2006/metadata/properties" xmlns:ns1="http://schemas.microsoft.com/sharepoint/v3" xmlns:ns2="39d9b90a-dc22-4b72-a3d3-09222a6369e3" xmlns:ns3="8f0c66ae-ea71-4efa-88c7-e4011843a5ec" targetNamespace="http://schemas.microsoft.com/office/2006/metadata/properties" ma:root="true" ma:fieldsID="fcf5166adb526367f467c1c556972da8" ns1:_="" ns2:_="" ns3:_="">
    <xsd:import namespace="http://schemas.microsoft.com/sharepoint/v3"/>
    <xsd:import namespace="39d9b90a-dc22-4b72-a3d3-09222a6369e3"/>
    <xsd:import namespace="8f0c66ae-ea71-4efa-88c7-e4011843a5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d9b90a-dc22-4b72-a3d3-09222a6369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0c66ae-ea71-4efa-88c7-e4011843a5e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bf8ba5a-73df-4c6b-b13e-dfa0d2e7fce2}" ma:internalName="TaxCatchAll" ma:showField="CatchAllData" ma:web="8f0c66ae-ea71-4efa-88c7-e4011843a5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f0c66ae-ea71-4efa-88c7-e4011843a5ec" xsi:nil="true"/>
    <_ip_UnifiedCompliancePolicyUIAction xmlns="http://schemas.microsoft.com/sharepoint/v3" xsi:nil="true"/>
    <_ip_UnifiedCompliancePolicyProperties xmlns="http://schemas.microsoft.com/sharepoint/v3" xsi:nil="true"/>
    <lcf76f155ced4ddcb4097134ff3c332f xmlns="39d9b90a-dc22-4b72-a3d3-09222a6369e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71B025-D177-45F4-8906-9C99016E5819}"/>
</file>

<file path=customXml/itemProps2.xml><?xml version="1.0" encoding="utf-8"?>
<ds:datastoreItem xmlns:ds="http://schemas.openxmlformats.org/officeDocument/2006/customXml" ds:itemID="{C20067EA-0B08-4D56-B898-F5D260943436}"/>
</file>

<file path=customXml/itemProps3.xml><?xml version="1.0" encoding="utf-8"?>
<ds:datastoreItem xmlns:ds="http://schemas.openxmlformats.org/officeDocument/2006/customXml" ds:itemID="{E1DAA531-DD79-4FF0-BC8B-A3C4DC0F96CF}"/>
</file>

<file path=docProps/app.xml><?xml version="1.0" encoding="utf-8"?>
<Properties xmlns="http://schemas.openxmlformats.org/officeDocument/2006/extended-properties" xmlns:vt="http://schemas.openxmlformats.org/officeDocument/2006/docPropsVTypes">
  <Template>Normal</Template>
  <TotalTime>1</TotalTime>
  <Pages>4</Pages>
  <Words>759</Words>
  <Characters>4814</Characters>
  <Application>Microsoft Office Word</Application>
  <DocSecurity>0</DocSecurity>
  <Lines>104</Lines>
  <Paragraphs>52</Paragraphs>
  <ScaleCrop>false</ScaleCrop>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Cranmer</dc:creator>
  <cp:keywords/>
  <dc:description/>
  <cp:lastModifiedBy>Emily Cranmer</cp:lastModifiedBy>
  <cp:revision>1</cp:revision>
  <dcterms:created xsi:type="dcterms:W3CDTF">2026-06-01T16:20:00Z</dcterms:created>
  <dcterms:modified xsi:type="dcterms:W3CDTF">2026-06-01T16:21:00Z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2acae06c,65a27593,73eee4aa</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69fd31d6,10522dc4,32a5d556</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y fmtid="{D5CDD505-2E9C-101B-9397-08002B2CF9AE}" pid="8" name="MSIP_Label_5aee3434-f7af-4edb-a29e-2a21d151ac0d_Enabled">
    <vt:lpwstr>true</vt:lpwstr>
  </property>
  <property fmtid="{D5CDD505-2E9C-101B-9397-08002B2CF9AE}" pid="9" name="MSIP_Label_5aee3434-f7af-4edb-a29e-2a21d151ac0d_SetDate">
    <vt:lpwstr>2026-06-01T16:21:28Z</vt:lpwstr>
  </property>
  <property fmtid="{D5CDD505-2E9C-101B-9397-08002B2CF9AE}" pid="10" name="MSIP_Label_5aee3434-f7af-4edb-a29e-2a21d151ac0d_Method">
    <vt:lpwstr>Privileged</vt:lpwstr>
  </property>
  <property fmtid="{D5CDD505-2E9C-101B-9397-08002B2CF9AE}" pid="11" name="MSIP_Label_5aee3434-f7af-4edb-a29e-2a21d151ac0d_Name">
    <vt:lpwstr>OFFICIAL -</vt:lpwstr>
  </property>
  <property fmtid="{D5CDD505-2E9C-101B-9397-08002B2CF9AE}" pid="12" name="MSIP_Label_5aee3434-f7af-4edb-a29e-2a21d151ac0d_SiteId">
    <vt:lpwstr>185562ad-39bc-4840-8e40-be6216340c52</vt:lpwstr>
  </property>
  <property fmtid="{D5CDD505-2E9C-101B-9397-08002B2CF9AE}" pid="13" name="MSIP_Label_5aee3434-f7af-4edb-a29e-2a21d151ac0d_ActionId">
    <vt:lpwstr>96df6fdc-da5d-4857-b27e-4a5f967cca9d</vt:lpwstr>
  </property>
  <property fmtid="{D5CDD505-2E9C-101B-9397-08002B2CF9AE}" pid="14" name="MSIP_Label_5aee3434-f7af-4edb-a29e-2a21d151ac0d_ContentBits">
    <vt:lpwstr>3</vt:lpwstr>
  </property>
  <property fmtid="{D5CDD505-2E9C-101B-9397-08002B2CF9AE}" pid="15" name="MSIP_Label_5aee3434-f7af-4edb-a29e-2a21d151ac0d_Tag">
    <vt:lpwstr>10, 0, 1, 1</vt:lpwstr>
  </property>
  <property fmtid="{D5CDD505-2E9C-101B-9397-08002B2CF9AE}" pid="16" name="ContentTypeId">
    <vt:lpwstr>0x0101001A9FE5A163A0BA49B62EE8FDC3CC3AD2</vt:lpwstr>
  </property>
</Properties>
</file>