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CFE99" w14:textId="2CFC204B" w:rsidR="000B1137" w:rsidRPr="000B1137" w:rsidRDefault="000B1137" w:rsidP="008D3D58">
      <w:pPr>
        <w:spacing w:after="0"/>
        <w:jc w:val="both"/>
        <w:rPr>
          <w:rFonts w:ascii="Inter" w:hAnsi="Inter" w:cs="Arial"/>
          <w:b/>
          <w:bCs/>
          <w:sz w:val="44"/>
          <w:szCs w:val="44"/>
        </w:rPr>
      </w:pPr>
      <w:r w:rsidRPr="000B1137">
        <w:rPr>
          <w:rFonts w:ascii="Inter" w:hAnsi="Inter" w:cs="Arial"/>
          <w:b/>
          <w:bCs/>
          <w:sz w:val="44"/>
          <w:szCs w:val="44"/>
        </w:rPr>
        <w:t xml:space="preserve">Hitachi Energy’s response </w:t>
      </w:r>
      <w:r>
        <w:rPr>
          <w:rFonts w:ascii="Inter" w:hAnsi="Inter" w:cs="Arial"/>
          <w:b/>
          <w:bCs/>
          <w:sz w:val="44"/>
          <w:szCs w:val="44"/>
        </w:rPr>
        <w:t>to</w:t>
      </w:r>
      <w:r w:rsidR="00464709">
        <w:rPr>
          <w:rFonts w:ascii="Inter" w:hAnsi="Inter" w:cs="Arial"/>
          <w:b/>
          <w:bCs/>
          <w:sz w:val="44"/>
          <w:szCs w:val="44"/>
        </w:rPr>
        <w:t xml:space="preserve"> </w:t>
      </w:r>
      <w:r>
        <w:rPr>
          <w:rFonts w:ascii="Inter" w:hAnsi="Inter" w:cs="Arial"/>
          <w:b/>
          <w:bCs/>
          <w:sz w:val="44"/>
          <w:szCs w:val="44"/>
        </w:rPr>
        <w:t>Ofgem’s</w:t>
      </w:r>
      <w:r w:rsidR="00464709">
        <w:rPr>
          <w:rFonts w:ascii="Inter" w:hAnsi="Inter" w:cs="Arial"/>
          <w:b/>
          <w:bCs/>
          <w:sz w:val="44"/>
          <w:szCs w:val="44"/>
        </w:rPr>
        <w:t xml:space="preserve"> </w:t>
      </w:r>
      <w:r w:rsidR="007074B5" w:rsidRPr="007074B5">
        <w:rPr>
          <w:rFonts w:ascii="Inter" w:hAnsi="Inter" w:cs="Arial"/>
          <w:b/>
          <w:bCs/>
          <w:sz w:val="44"/>
          <w:szCs w:val="44"/>
        </w:rPr>
        <w:t>Regional Energy Strategic Plan</w:t>
      </w:r>
      <w:r w:rsidR="007074B5">
        <w:rPr>
          <w:rFonts w:ascii="Inter" w:hAnsi="Inter" w:cs="Arial"/>
          <w:b/>
          <w:bCs/>
          <w:sz w:val="44"/>
          <w:szCs w:val="44"/>
        </w:rPr>
        <w:t xml:space="preserve"> (RESP)</w:t>
      </w:r>
      <w:r w:rsidR="007074B5" w:rsidRPr="007074B5">
        <w:rPr>
          <w:rFonts w:ascii="Inter" w:hAnsi="Inter" w:cs="Arial"/>
          <w:b/>
          <w:bCs/>
          <w:sz w:val="44"/>
          <w:szCs w:val="44"/>
        </w:rPr>
        <w:t xml:space="preserve"> policy framework consultation</w:t>
      </w:r>
    </w:p>
    <w:p w14:paraId="05902866" w14:textId="77777777" w:rsidR="000B1137" w:rsidRPr="000B1137" w:rsidRDefault="000B1137" w:rsidP="008D3D58">
      <w:pPr>
        <w:pStyle w:val="Default"/>
        <w:jc w:val="both"/>
        <w:rPr>
          <w:rFonts w:ascii="Inter" w:hAnsi="Inter" w:cs="Arial"/>
          <w:sz w:val="20"/>
          <w:szCs w:val="20"/>
          <w:lang w:val="en-GB"/>
        </w:rPr>
      </w:pPr>
    </w:p>
    <w:p w14:paraId="4070BB4F" w14:textId="5D29FE89" w:rsidR="000B1137" w:rsidRPr="000B1137" w:rsidRDefault="000B1137" w:rsidP="008D3D58">
      <w:pPr>
        <w:pStyle w:val="Default"/>
        <w:jc w:val="both"/>
        <w:rPr>
          <w:rFonts w:ascii="Inter" w:hAnsi="Inter" w:cs="Arial"/>
          <w:b/>
          <w:bCs/>
          <w:sz w:val="20"/>
          <w:szCs w:val="20"/>
          <w:u w:val="single"/>
          <w:lang w:val="en-GB"/>
        </w:rPr>
      </w:pPr>
      <w:r w:rsidRPr="000B1137">
        <w:rPr>
          <w:rFonts w:ascii="Inter" w:hAnsi="Inter" w:cs="Arial"/>
          <w:b/>
          <w:bCs/>
          <w:sz w:val="20"/>
          <w:szCs w:val="20"/>
          <w:u w:val="single"/>
          <w:lang w:val="en-GB"/>
        </w:rPr>
        <w:t xml:space="preserve">Introducing Hitachi Energy </w:t>
      </w:r>
    </w:p>
    <w:p w14:paraId="3FCEA7B5" w14:textId="77777777" w:rsidR="000B1137" w:rsidRPr="000B1137" w:rsidRDefault="000B1137" w:rsidP="008D3D58">
      <w:pPr>
        <w:pStyle w:val="Default"/>
        <w:jc w:val="both"/>
        <w:rPr>
          <w:rFonts w:ascii="Inter" w:hAnsi="Inter" w:cs="Arial"/>
          <w:sz w:val="20"/>
          <w:szCs w:val="20"/>
          <w:lang w:val="en-GB"/>
        </w:rPr>
      </w:pPr>
      <w:r w:rsidRPr="000B1137">
        <w:rPr>
          <w:rFonts w:ascii="Inter" w:hAnsi="Inter" w:cs="Arial"/>
          <w:sz w:val="20"/>
          <w:szCs w:val="20"/>
          <w:lang w:val="en-GB"/>
        </w:rPr>
        <w:t>Hitachi Energy is an exciting global business with a ground-breaking heritage of innovation in pioneering technologies. As a global technology leader, we serve the energy, industrial, mobility, IT, and smart cities sectors. We are a major investor in the UK, with a turnover of £1 billion.</w:t>
      </w:r>
    </w:p>
    <w:p w14:paraId="760494B5" w14:textId="77777777" w:rsidR="000B1137" w:rsidRPr="000B1137" w:rsidRDefault="000B1137" w:rsidP="008D3D58">
      <w:pPr>
        <w:pStyle w:val="Default"/>
        <w:jc w:val="both"/>
        <w:rPr>
          <w:rFonts w:ascii="Inter" w:hAnsi="Inter" w:cs="Arial"/>
          <w:sz w:val="20"/>
          <w:szCs w:val="20"/>
          <w:lang w:val="en-GB"/>
        </w:rPr>
      </w:pPr>
    </w:p>
    <w:p w14:paraId="28C9C84F" w14:textId="77777777" w:rsidR="000B1137" w:rsidRPr="000B1137" w:rsidRDefault="000B1137" w:rsidP="008D3D58">
      <w:pPr>
        <w:pStyle w:val="Default"/>
        <w:jc w:val="both"/>
        <w:rPr>
          <w:rFonts w:ascii="Inter" w:hAnsi="Inter" w:cs="Arial"/>
          <w:sz w:val="20"/>
          <w:szCs w:val="20"/>
          <w:lang w:val="en-GB"/>
        </w:rPr>
      </w:pPr>
      <w:r w:rsidRPr="000B1137">
        <w:rPr>
          <w:rFonts w:ascii="Inter" w:hAnsi="Inter" w:cs="Arial"/>
          <w:sz w:val="20"/>
          <w:szCs w:val="20"/>
          <w:lang w:val="en-GB"/>
        </w:rPr>
        <w:t>We are advancing the world’s energy system to be more sustainable, flexible, and secure. As a technology leader, we collaborate with customers and partners to enable a sustainable energy future – for today’s generations and those to come. In the UK, we are already helping to bring clean energy to 4.5 million homes by connecting the world’s largest offshore windfarm at Dogger Bank to the grid. We strongly believe that the UK can lead the world in creating a secure, Net Zero-ready energy system through investing in technologies to make the energy system more sustainable, flexible, and secure.</w:t>
      </w:r>
    </w:p>
    <w:p w14:paraId="60164F8C" w14:textId="77777777" w:rsidR="000B1137" w:rsidRPr="000B1137" w:rsidRDefault="000B1137" w:rsidP="008D3D58">
      <w:pPr>
        <w:pStyle w:val="Default"/>
        <w:jc w:val="both"/>
        <w:rPr>
          <w:rFonts w:ascii="Inter" w:hAnsi="Inter" w:cs="Arial"/>
          <w:sz w:val="20"/>
          <w:szCs w:val="20"/>
          <w:lang w:val="en-GB"/>
        </w:rPr>
      </w:pPr>
    </w:p>
    <w:p w14:paraId="52F68753" w14:textId="77777777" w:rsidR="000B1137" w:rsidRPr="000B1137" w:rsidRDefault="000B1137" w:rsidP="008D3D58">
      <w:pPr>
        <w:pStyle w:val="Default"/>
        <w:jc w:val="both"/>
        <w:rPr>
          <w:rFonts w:ascii="Inter" w:hAnsi="Inter" w:cs="Arial"/>
          <w:b/>
          <w:bCs/>
          <w:sz w:val="20"/>
          <w:szCs w:val="20"/>
          <w:u w:val="single"/>
          <w:lang w:val="en-GB"/>
        </w:rPr>
      </w:pPr>
      <w:r w:rsidRPr="000B1137">
        <w:rPr>
          <w:rFonts w:ascii="Inter" w:hAnsi="Inter" w:cs="Arial"/>
          <w:b/>
          <w:bCs/>
          <w:sz w:val="20"/>
          <w:szCs w:val="20"/>
          <w:u w:val="single"/>
          <w:lang w:val="en-GB"/>
        </w:rPr>
        <w:t xml:space="preserve">Our response </w:t>
      </w:r>
    </w:p>
    <w:p w14:paraId="6DD6BFD3" w14:textId="08DDEEAE" w:rsidR="007074B5" w:rsidRDefault="007074B5" w:rsidP="008D3D58">
      <w:pPr>
        <w:pStyle w:val="ListParagraph"/>
        <w:numPr>
          <w:ilvl w:val="0"/>
          <w:numId w:val="1"/>
        </w:numPr>
        <w:jc w:val="both"/>
        <w:rPr>
          <w:rFonts w:ascii="Inter" w:hAnsi="Inter"/>
          <w:b/>
          <w:bCs/>
          <w:sz w:val="20"/>
          <w:szCs w:val="20"/>
        </w:rPr>
      </w:pPr>
      <w:r w:rsidRPr="007074B5">
        <w:rPr>
          <w:rFonts w:ascii="Inter" w:hAnsi="Inter"/>
          <w:b/>
          <w:bCs/>
          <w:sz w:val="20"/>
          <w:szCs w:val="20"/>
        </w:rPr>
        <w:t>What are your views on the principles (in paragraph 2.8) to guide NESO’s approach to developing the RESP methodology? Please provide your reasoning.</w:t>
      </w:r>
    </w:p>
    <w:p w14:paraId="19498C9D" w14:textId="77777777" w:rsidR="007074B5" w:rsidRDefault="007074B5" w:rsidP="008D3D58">
      <w:pPr>
        <w:pStyle w:val="ListParagraph"/>
        <w:jc w:val="both"/>
        <w:rPr>
          <w:rFonts w:ascii="Inter" w:hAnsi="Inter"/>
          <w:b/>
          <w:bCs/>
          <w:sz w:val="20"/>
          <w:szCs w:val="20"/>
        </w:rPr>
      </w:pPr>
    </w:p>
    <w:p w14:paraId="7EA707FF" w14:textId="6523DE4C" w:rsidR="009C1974" w:rsidRDefault="007074B5" w:rsidP="008D3D58">
      <w:pPr>
        <w:pStyle w:val="ListParagraph"/>
        <w:jc w:val="both"/>
        <w:rPr>
          <w:rFonts w:ascii="Inter" w:hAnsi="Inter"/>
          <w:sz w:val="20"/>
          <w:szCs w:val="20"/>
        </w:rPr>
      </w:pPr>
      <w:r w:rsidRPr="007074B5">
        <w:rPr>
          <w:rFonts w:ascii="Inter" w:hAnsi="Inter"/>
          <w:sz w:val="20"/>
          <w:szCs w:val="20"/>
        </w:rPr>
        <w:t xml:space="preserve">Hitachi Energy </w:t>
      </w:r>
      <w:r>
        <w:rPr>
          <w:rFonts w:ascii="Inter" w:hAnsi="Inter"/>
          <w:sz w:val="20"/>
          <w:szCs w:val="20"/>
        </w:rPr>
        <w:t>supports the principles to guide NESO’s approach to developing the RESP methodology</w:t>
      </w:r>
      <w:r w:rsidR="009C1974">
        <w:rPr>
          <w:rFonts w:ascii="Inter" w:hAnsi="Inter"/>
          <w:sz w:val="20"/>
          <w:szCs w:val="20"/>
        </w:rPr>
        <w:t xml:space="preserve">. Whilst Hitachi Energy agrees with the need for NESO’s approach to be both proactive and vision-led, it must also enable the RESP to be agile to change. </w:t>
      </w:r>
      <w:r w:rsidR="008D3D58" w:rsidRPr="008D3D58">
        <w:rPr>
          <w:rFonts w:ascii="Inter" w:hAnsi="Inter"/>
          <w:sz w:val="20"/>
          <w:szCs w:val="20"/>
        </w:rPr>
        <w:t>It is important that people have confidence in the RESP and its methodology</w:t>
      </w:r>
      <w:r w:rsidR="008D3D58">
        <w:rPr>
          <w:rFonts w:ascii="Inter" w:hAnsi="Inter"/>
          <w:sz w:val="20"/>
          <w:szCs w:val="20"/>
        </w:rPr>
        <w:t xml:space="preserve">, as well as </w:t>
      </w:r>
      <w:r w:rsidR="008D3D58" w:rsidRPr="008D3D58">
        <w:rPr>
          <w:rFonts w:ascii="Inter" w:hAnsi="Inter"/>
          <w:sz w:val="20"/>
          <w:szCs w:val="20"/>
        </w:rPr>
        <w:t>certainty derived from both the short and long term plans.</w:t>
      </w:r>
    </w:p>
    <w:p w14:paraId="435266A9" w14:textId="77777777" w:rsidR="009C1974" w:rsidRPr="009C1974" w:rsidRDefault="009C1974" w:rsidP="008D3D58">
      <w:pPr>
        <w:pStyle w:val="ListParagraph"/>
        <w:jc w:val="both"/>
        <w:rPr>
          <w:rFonts w:ascii="Inter" w:hAnsi="Inter"/>
          <w:sz w:val="20"/>
          <w:szCs w:val="20"/>
        </w:rPr>
      </w:pPr>
    </w:p>
    <w:p w14:paraId="536DC37D" w14:textId="0D287273" w:rsidR="009C1974" w:rsidRDefault="009C1974" w:rsidP="008D3D58">
      <w:pPr>
        <w:pStyle w:val="ListParagraph"/>
        <w:numPr>
          <w:ilvl w:val="0"/>
          <w:numId w:val="1"/>
        </w:numPr>
        <w:jc w:val="both"/>
        <w:rPr>
          <w:rFonts w:ascii="Inter" w:hAnsi="Inter"/>
          <w:b/>
          <w:bCs/>
          <w:sz w:val="20"/>
          <w:szCs w:val="20"/>
        </w:rPr>
      </w:pPr>
      <w:r w:rsidRPr="009C1974">
        <w:rPr>
          <w:rFonts w:ascii="Inter" w:hAnsi="Inter"/>
          <w:b/>
          <w:bCs/>
          <w:sz w:val="20"/>
          <w:szCs w:val="20"/>
        </w:rPr>
        <w:t xml:space="preserve">Do you agree that the RESP should include a long-term regional vision, alongside a series of short-term and long-term directive net zero pathways? Please provide your reasoning. </w:t>
      </w:r>
    </w:p>
    <w:p w14:paraId="27EE26AC" w14:textId="77777777" w:rsidR="009C1974" w:rsidRDefault="009C1974" w:rsidP="008D3D58">
      <w:pPr>
        <w:pStyle w:val="ListParagraph"/>
        <w:jc w:val="both"/>
        <w:rPr>
          <w:rFonts w:ascii="Inter" w:hAnsi="Inter"/>
          <w:b/>
          <w:bCs/>
          <w:sz w:val="20"/>
          <w:szCs w:val="20"/>
        </w:rPr>
      </w:pPr>
    </w:p>
    <w:p w14:paraId="0E15133B" w14:textId="20971C4D" w:rsidR="009C1974" w:rsidRPr="00BC0E24" w:rsidRDefault="009C1974" w:rsidP="008D3D58">
      <w:pPr>
        <w:pStyle w:val="ListParagraph"/>
        <w:jc w:val="both"/>
        <w:rPr>
          <w:rFonts w:ascii="Inter" w:hAnsi="Inter"/>
          <w:sz w:val="20"/>
          <w:szCs w:val="20"/>
        </w:rPr>
      </w:pPr>
      <w:r w:rsidRPr="00BC0E24">
        <w:rPr>
          <w:rFonts w:ascii="Inter" w:hAnsi="Inter"/>
          <w:sz w:val="20"/>
          <w:szCs w:val="20"/>
        </w:rPr>
        <w:t>Hitachi Energy endorses Ofgem’s view that the RESP should include a long-term regional vision accompanied by a series of both short- and long-term net zero pathways. Hitachi Energy welcomes Ofgem’s proposal for the net zero pathways to be ‘directive’ in nature. If the pathways are not sufficiently directive, there is a significant risk that the RESP will slow progress along the net zero transition. It would be preferential if the RESP highlights the commonalities and common directions between the various</w:t>
      </w:r>
      <w:r w:rsidR="00FF17B6">
        <w:rPr>
          <w:rFonts w:ascii="Inter" w:hAnsi="Inter"/>
          <w:sz w:val="20"/>
          <w:szCs w:val="20"/>
        </w:rPr>
        <w:t xml:space="preserve"> long-term</w:t>
      </w:r>
      <w:r w:rsidRPr="00BC0E24">
        <w:rPr>
          <w:rFonts w:ascii="Inter" w:hAnsi="Inter"/>
          <w:sz w:val="20"/>
          <w:szCs w:val="20"/>
        </w:rPr>
        <w:t xml:space="preserve"> pathway</w:t>
      </w:r>
      <w:r w:rsidR="00FF17B6">
        <w:rPr>
          <w:rFonts w:ascii="Inter" w:hAnsi="Inter"/>
          <w:sz w:val="20"/>
          <w:szCs w:val="20"/>
        </w:rPr>
        <w:t>s</w:t>
      </w:r>
      <w:r w:rsidRPr="00BC0E24">
        <w:rPr>
          <w:rFonts w:ascii="Inter" w:hAnsi="Inter"/>
          <w:sz w:val="20"/>
          <w:szCs w:val="20"/>
        </w:rPr>
        <w:t xml:space="preserve"> in order to boost investor confidence</w:t>
      </w:r>
      <w:r w:rsidR="00FF17B6">
        <w:rPr>
          <w:rFonts w:ascii="Inter" w:hAnsi="Inter"/>
          <w:sz w:val="20"/>
          <w:szCs w:val="20"/>
        </w:rPr>
        <w:t xml:space="preserve"> in that common direction</w:t>
      </w:r>
      <w:r w:rsidRPr="00BC0E24">
        <w:rPr>
          <w:rFonts w:ascii="Inter" w:hAnsi="Inter"/>
          <w:sz w:val="20"/>
          <w:szCs w:val="20"/>
        </w:rPr>
        <w:t xml:space="preserve">.  </w:t>
      </w:r>
    </w:p>
    <w:p w14:paraId="334F7881" w14:textId="77777777" w:rsidR="009C1974" w:rsidRDefault="009C1974" w:rsidP="008D3D58">
      <w:pPr>
        <w:pStyle w:val="ListParagraph"/>
        <w:jc w:val="both"/>
        <w:rPr>
          <w:rFonts w:ascii="Inter" w:hAnsi="Inter"/>
          <w:b/>
          <w:bCs/>
          <w:sz w:val="20"/>
          <w:szCs w:val="20"/>
        </w:rPr>
      </w:pPr>
    </w:p>
    <w:p w14:paraId="60F0D1F9" w14:textId="3F4D662B" w:rsidR="009C1974" w:rsidRDefault="009C1974" w:rsidP="008D3D58">
      <w:pPr>
        <w:pStyle w:val="ListParagraph"/>
        <w:numPr>
          <w:ilvl w:val="0"/>
          <w:numId w:val="1"/>
        </w:numPr>
        <w:jc w:val="both"/>
        <w:rPr>
          <w:rFonts w:ascii="Inter" w:hAnsi="Inter"/>
          <w:b/>
          <w:bCs/>
          <w:sz w:val="20"/>
          <w:szCs w:val="20"/>
        </w:rPr>
      </w:pPr>
      <w:r w:rsidRPr="009C1974">
        <w:rPr>
          <w:rFonts w:ascii="Inter" w:hAnsi="Inter"/>
          <w:b/>
          <w:bCs/>
          <w:sz w:val="20"/>
          <w:szCs w:val="20"/>
        </w:rPr>
        <w:t>Do you agree there should be an annual data refresh with a full RESP update every three years? Please provide your reasoning.</w:t>
      </w:r>
    </w:p>
    <w:p w14:paraId="41AEC605" w14:textId="77777777" w:rsidR="009C1974" w:rsidRDefault="009C1974" w:rsidP="008D3D58">
      <w:pPr>
        <w:pStyle w:val="ListParagraph"/>
        <w:jc w:val="both"/>
        <w:rPr>
          <w:rFonts w:ascii="Inter" w:hAnsi="Inter"/>
          <w:b/>
          <w:bCs/>
          <w:sz w:val="20"/>
          <w:szCs w:val="20"/>
        </w:rPr>
      </w:pPr>
    </w:p>
    <w:p w14:paraId="2794AB92" w14:textId="30E7C5C5" w:rsidR="00BC0E24" w:rsidRPr="00BC0E24" w:rsidRDefault="009C1974" w:rsidP="008D3D58">
      <w:pPr>
        <w:pStyle w:val="ListParagraph"/>
        <w:jc w:val="both"/>
        <w:rPr>
          <w:rFonts w:ascii="Inter" w:hAnsi="Inter"/>
          <w:sz w:val="20"/>
          <w:szCs w:val="20"/>
        </w:rPr>
      </w:pPr>
      <w:r w:rsidRPr="00BC0E24">
        <w:rPr>
          <w:rFonts w:ascii="Inter" w:hAnsi="Inter"/>
          <w:sz w:val="20"/>
          <w:szCs w:val="20"/>
        </w:rPr>
        <w:t xml:space="preserve">Hitachi Energy supports Ofgem’s proposals for an annual data refresh and a full RESP update every three years, as this aligns with the planned Centralised Strategic Network Plan (CSNP). However, Ofgem’s proposal for updating the RESP does not align with the price control periods, and we believe it would be more helpful to the sector if RESP updates were </w:t>
      </w:r>
      <w:r w:rsidR="00B92294">
        <w:rPr>
          <w:rFonts w:ascii="Inter" w:hAnsi="Inter"/>
          <w:sz w:val="20"/>
          <w:szCs w:val="20"/>
        </w:rPr>
        <w:t xml:space="preserve">eventually </w:t>
      </w:r>
      <w:r w:rsidRPr="00BC0E24">
        <w:rPr>
          <w:rFonts w:ascii="Inter" w:hAnsi="Inter"/>
          <w:sz w:val="20"/>
          <w:szCs w:val="20"/>
        </w:rPr>
        <w:t xml:space="preserve">aligned with </w:t>
      </w:r>
      <w:r w:rsidR="00BC0E24" w:rsidRPr="00BC0E24">
        <w:rPr>
          <w:rFonts w:ascii="Inter" w:hAnsi="Inter"/>
          <w:sz w:val="20"/>
          <w:szCs w:val="20"/>
        </w:rPr>
        <w:t xml:space="preserve">price control periods. </w:t>
      </w:r>
    </w:p>
    <w:p w14:paraId="78518BFB" w14:textId="77777777" w:rsidR="00BC0E24" w:rsidRPr="00BC0E24" w:rsidRDefault="00BC0E24" w:rsidP="008D3D58">
      <w:pPr>
        <w:pStyle w:val="ListParagraph"/>
        <w:jc w:val="both"/>
        <w:rPr>
          <w:rFonts w:ascii="Inter" w:hAnsi="Inter"/>
          <w:b/>
          <w:bCs/>
          <w:sz w:val="20"/>
          <w:szCs w:val="20"/>
        </w:rPr>
      </w:pPr>
    </w:p>
    <w:p w14:paraId="3595CF1B" w14:textId="614C5223" w:rsidR="00BC0E24" w:rsidRDefault="00BC0E24" w:rsidP="008D3D58">
      <w:pPr>
        <w:pStyle w:val="ListParagraph"/>
        <w:numPr>
          <w:ilvl w:val="0"/>
          <w:numId w:val="1"/>
        </w:numPr>
        <w:jc w:val="both"/>
        <w:rPr>
          <w:rFonts w:ascii="Inter" w:hAnsi="Inter"/>
          <w:b/>
          <w:bCs/>
          <w:sz w:val="20"/>
          <w:szCs w:val="20"/>
        </w:rPr>
      </w:pPr>
      <w:r w:rsidRPr="00BC0E24">
        <w:rPr>
          <w:rFonts w:ascii="Inter" w:hAnsi="Inter"/>
          <w:b/>
          <w:bCs/>
          <w:sz w:val="20"/>
          <w:szCs w:val="20"/>
        </w:rPr>
        <w:t>Do you agree the RESP should inform the identification of system need in the three areas proposed? Please provide your reasoning, referring to each area in turn.</w:t>
      </w:r>
    </w:p>
    <w:p w14:paraId="111375B4" w14:textId="77777777" w:rsidR="00BC0E24" w:rsidRDefault="00BC0E24" w:rsidP="008D3D58">
      <w:pPr>
        <w:pStyle w:val="ListParagraph"/>
        <w:jc w:val="both"/>
        <w:rPr>
          <w:rFonts w:ascii="Inter" w:hAnsi="Inter"/>
          <w:b/>
          <w:bCs/>
          <w:sz w:val="20"/>
          <w:szCs w:val="20"/>
        </w:rPr>
      </w:pPr>
    </w:p>
    <w:p w14:paraId="6BF2B8E3" w14:textId="47B8D19C" w:rsidR="00BC0E24" w:rsidRPr="00BC0E24" w:rsidRDefault="00BC0E24" w:rsidP="008D3D58">
      <w:pPr>
        <w:pStyle w:val="ListParagraph"/>
        <w:jc w:val="both"/>
        <w:rPr>
          <w:rFonts w:ascii="Inter" w:hAnsi="Inter"/>
          <w:sz w:val="20"/>
          <w:szCs w:val="20"/>
        </w:rPr>
      </w:pPr>
      <w:r w:rsidRPr="00BC0E24">
        <w:rPr>
          <w:rFonts w:ascii="Inter" w:hAnsi="Inter"/>
          <w:sz w:val="20"/>
          <w:szCs w:val="20"/>
        </w:rPr>
        <w:t xml:space="preserve">Hitachi Energy endorses each of the three areas proposed. We would like to emphasise the importance of the RESP </w:t>
      </w:r>
      <w:r w:rsidR="00BB68E9">
        <w:rPr>
          <w:rFonts w:ascii="Inter" w:hAnsi="Inter"/>
          <w:sz w:val="20"/>
          <w:szCs w:val="20"/>
        </w:rPr>
        <w:t xml:space="preserve">in </w:t>
      </w:r>
      <w:r w:rsidRPr="00BC0E24">
        <w:rPr>
          <w:rFonts w:ascii="Inter" w:hAnsi="Inter"/>
          <w:sz w:val="20"/>
          <w:szCs w:val="20"/>
        </w:rPr>
        <w:t>providing consistent assumptions, as well as the planned use of open data practices. Easy access to data is critical in order to inform decision</w:t>
      </w:r>
      <w:r w:rsidR="00BB68E9">
        <w:rPr>
          <w:rFonts w:ascii="Inter" w:hAnsi="Inter"/>
          <w:sz w:val="20"/>
          <w:szCs w:val="20"/>
        </w:rPr>
        <w:t xml:space="preserve"> </w:t>
      </w:r>
      <w:r w:rsidRPr="00BC0E24">
        <w:rPr>
          <w:rFonts w:ascii="Inter" w:hAnsi="Inter"/>
          <w:sz w:val="20"/>
          <w:szCs w:val="20"/>
        </w:rPr>
        <w:t xml:space="preserve">making regarding demand planning and integration with other vectors. </w:t>
      </w:r>
    </w:p>
    <w:p w14:paraId="192FBDBC" w14:textId="7ECAFB9B" w:rsidR="00BC0E24" w:rsidRPr="00BC0E24" w:rsidRDefault="00BC0E24" w:rsidP="008D3D58">
      <w:pPr>
        <w:pStyle w:val="ListParagraph"/>
        <w:jc w:val="both"/>
        <w:rPr>
          <w:rFonts w:ascii="Inter" w:hAnsi="Inter"/>
          <w:b/>
          <w:bCs/>
          <w:sz w:val="20"/>
          <w:szCs w:val="20"/>
        </w:rPr>
      </w:pPr>
    </w:p>
    <w:p w14:paraId="553D391C" w14:textId="516C0567" w:rsidR="00BC0E24" w:rsidRDefault="00BC0E24" w:rsidP="008D3D58">
      <w:pPr>
        <w:pStyle w:val="ListParagraph"/>
        <w:numPr>
          <w:ilvl w:val="0"/>
          <w:numId w:val="1"/>
        </w:numPr>
        <w:jc w:val="both"/>
        <w:rPr>
          <w:rFonts w:ascii="Inter" w:hAnsi="Inter"/>
          <w:b/>
          <w:bCs/>
          <w:sz w:val="20"/>
          <w:szCs w:val="20"/>
        </w:rPr>
      </w:pPr>
      <w:r w:rsidRPr="00BC0E24">
        <w:rPr>
          <w:rFonts w:ascii="Inter" w:hAnsi="Inter"/>
          <w:b/>
          <w:bCs/>
          <w:sz w:val="20"/>
          <w:szCs w:val="20"/>
        </w:rPr>
        <w:t>Do you agree technical coordination should support the resolution of inconsistencies between the RESP and network company plans? Please provide your reasoning.</w:t>
      </w:r>
    </w:p>
    <w:p w14:paraId="0E32F8FB" w14:textId="77777777" w:rsidR="00BC0E24" w:rsidRDefault="00BC0E24" w:rsidP="008D3D58">
      <w:pPr>
        <w:pStyle w:val="ListParagraph"/>
        <w:jc w:val="both"/>
        <w:rPr>
          <w:rFonts w:ascii="Inter" w:hAnsi="Inter"/>
          <w:b/>
          <w:bCs/>
          <w:sz w:val="20"/>
          <w:szCs w:val="20"/>
        </w:rPr>
      </w:pPr>
    </w:p>
    <w:p w14:paraId="73E98A3F" w14:textId="07BC305F" w:rsidR="00BC0E24" w:rsidRPr="008D3D58" w:rsidRDefault="00BC0E24" w:rsidP="008D3D58">
      <w:pPr>
        <w:pStyle w:val="ListParagraph"/>
        <w:jc w:val="both"/>
        <w:rPr>
          <w:rFonts w:ascii="Inter" w:hAnsi="Inter"/>
          <w:sz w:val="20"/>
          <w:szCs w:val="20"/>
        </w:rPr>
      </w:pPr>
      <w:r w:rsidRPr="008D3D58">
        <w:rPr>
          <w:rFonts w:ascii="Inter" w:hAnsi="Inter"/>
          <w:sz w:val="20"/>
          <w:szCs w:val="20"/>
        </w:rPr>
        <w:t>Hitachi Energy agrees that technical coordination is essential for the resolution of inconsistencies between the RESP and network company plans. This is because the holistic approach is relatively novel, and therefore it is key that all relevant parties are bought together and represented in decision</w:t>
      </w:r>
      <w:r w:rsidR="00BB68E9">
        <w:rPr>
          <w:rFonts w:ascii="Inter" w:hAnsi="Inter"/>
          <w:sz w:val="20"/>
          <w:szCs w:val="20"/>
        </w:rPr>
        <w:t xml:space="preserve"> </w:t>
      </w:r>
      <w:r w:rsidRPr="008D3D58">
        <w:rPr>
          <w:rFonts w:ascii="Inter" w:hAnsi="Inter"/>
          <w:sz w:val="20"/>
          <w:szCs w:val="20"/>
        </w:rPr>
        <w:t xml:space="preserve">making. </w:t>
      </w:r>
    </w:p>
    <w:p w14:paraId="2DFA34C2" w14:textId="77777777" w:rsidR="00BC0E24" w:rsidRPr="00BC0E24" w:rsidRDefault="00BC0E24" w:rsidP="008D3D58">
      <w:pPr>
        <w:pStyle w:val="ListParagraph"/>
        <w:jc w:val="both"/>
        <w:rPr>
          <w:rFonts w:ascii="Inter" w:hAnsi="Inter"/>
          <w:b/>
          <w:bCs/>
          <w:sz w:val="20"/>
          <w:szCs w:val="20"/>
        </w:rPr>
      </w:pPr>
    </w:p>
    <w:p w14:paraId="527F1757" w14:textId="29769263" w:rsidR="00BC0E24" w:rsidRDefault="00BC0E24" w:rsidP="008D3D58">
      <w:pPr>
        <w:pStyle w:val="ListParagraph"/>
        <w:numPr>
          <w:ilvl w:val="0"/>
          <w:numId w:val="1"/>
        </w:numPr>
        <w:jc w:val="both"/>
        <w:rPr>
          <w:rFonts w:ascii="Inter" w:hAnsi="Inter"/>
          <w:b/>
          <w:bCs/>
          <w:sz w:val="20"/>
          <w:szCs w:val="20"/>
        </w:rPr>
      </w:pPr>
      <w:r w:rsidRPr="00BC0E24">
        <w:rPr>
          <w:rFonts w:ascii="Inter" w:hAnsi="Inter"/>
          <w:b/>
          <w:bCs/>
          <w:sz w:val="20"/>
          <w:szCs w:val="20"/>
        </w:rPr>
        <w:t>What are your views on the three building blocks which come together to form the RESP in line with our vision? Are there any key components missing?</w:t>
      </w:r>
    </w:p>
    <w:p w14:paraId="129EAD79" w14:textId="77777777" w:rsidR="00BC0E24" w:rsidRDefault="00BC0E24" w:rsidP="008D3D58">
      <w:pPr>
        <w:pStyle w:val="ListParagraph"/>
        <w:jc w:val="both"/>
        <w:rPr>
          <w:rFonts w:ascii="Inter" w:hAnsi="Inter"/>
          <w:b/>
          <w:bCs/>
          <w:sz w:val="20"/>
          <w:szCs w:val="20"/>
        </w:rPr>
      </w:pPr>
    </w:p>
    <w:p w14:paraId="6148FDF8" w14:textId="0FAB357A" w:rsidR="00BC0E24" w:rsidRPr="008D3D58" w:rsidRDefault="00BC0E24" w:rsidP="008D3D58">
      <w:pPr>
        <w:pStyle w:val="ListParagraph"/>
        <w:jc w:val="both"/>
        <w:rPr>
          <w:rFonts w:ascii="Inter" w:hAnsi="Inter"/>
          <w:sz w:val="20"/>
          <w:szCs w:val="20"/>
        </w:rPr>
      </w:pPr>
      <w:r w:rsidRPr="008D3D58">
        <w:rPr>
          <w:rFonts w:ascii="Inter" w:hAnsi="Inter"/>
          <w:sz w:val="20"/>
          <w:szCs w:val="20"/>
        </w:rPr>
        <w:t xml:space="preserve">Hitachi Energy endorses the three proposed building blocks as we believe they are comprehensive and cover all bases. We would like to emphasise the importance of the RESP being based on a sound understanding of overall supply and demand across the energy system. </w:t>
      </w:r>
    </w:p>
    <w:p w14:paraId="65AF1E5A" w14:textId="77777777" w:rsidR="00BC0E24" w:rsidRDefault="00BC0E24" w:rsidP="008D3D58">
      <w:pPr>
        <w:pStyle w:val="ListParagraph"/>
        <w:jc w:val="both"/>
        <w:rPr>
          <w:rFonts w:ascii="Inter" w:hAnsi="Inter"/>
          <w:b/>
          <w:bCs/>
          <w:sz w:val="20"/>
          <w:szCs w:val="20"/>
        </w:rPr>
      </w:pPr>
    </w:p>
    <w:p w14:paraId="50C5A70B" w14:textId="63A445AF" w:rsidR="00BC0E24" w:rsidRDefault="00BC0E24" w:rsidP="008D3D58">
      <w:pPr>
        <w:pStyle w:val="ListParagraph"/>
        <w:numPr>
          <w:ilvl w:val="0"/>
          <w:numId w:val="1"/>
        </w:numPr>
        <w:jc w:val="both"/>
        <w:rPr>
          <w:rFonts w:ascii="Inter" w:hAnsi="Inter"/>
          <w:b/>
          <w:bCs/>
          <w:sz w:val="20"/>
          <w:szCs w:val="20"/>
        </w:rPr>
      </w:pPr>
      <w:r w:rsidRPr="00BC0E24">
        <w:rPr>
          <w:rFonts w:ascii="Inter" w:hAnsi="Inter"/>
          <w:b/>
          <w:bCs/>
          <w:sz w:val="20"/>
          <w:szCs w:val="20"/>
        </w:rPr>
        <w:t>Do you agree with the framework of standard data inputs for the RESP? Please provide your reasoning.</w:t>
      </w:r>
    </w:p>
    <w:p w14:paraId="03D8BAF9" w14:textId="77777777" w:rsidR="00BC0E24" w:rsidRDefault="00BC0E24" w:rsidP="008D3D58">
      <w:pPr>
        <w:pStyle w:val="ListParagraph"/>
        <w:jc w:val="both"/>
        <w:rPr>
          <w:rFonts w:ascii="Inter" w:hAnsi="Inter"/>
          <w:b/>
          <w:bCs/>
          <w:sz w:val="20"/>
          <w:szCs w:val="20"/>
        </w:rPr>
      </w:pPr>
    </w:p>
    <w:p w14:paraId="1401E3C7" w14:textId="6F457A1D" w:rsidR="00BC0E24" w:rsidRPr="008D3D58" w:rsidRDefault="00BC0E24" w:rsidP="008D3D58">
      <w:pPr>
        <w:pStyle w:val="ListParagraph"/>
        <w:jc w:val="both"/>
        <w:rPr>
          <w:rFonts w:ascii="Inter" w:hAnsi="Inter"/>
          <w:sz w:val="20"/>
          <w:szCs w:val="20"/>
        </w:rPr>
      </w:pPr>
      <w:r w:rsidRPr="008D3D58">
        <w:rPr>
          <w:rFonts w:ascii="Inter" w:hAnsi="Inter"/>
          <w:sz w:val="20"/>
          <w:szCs w:val="20"/>
        </w:rPr>
        <w:t>Hitachi Energy believes that the framework of standard data inputs outlined in the consultation document should not be an exhaustive list. This is because it is important</w:t>
      </w:r>
      <w:r w:rsidR="00BB68E9">
        <w:rPr>
          <w:rFonts w:ascii="Inter" w:hAnsi="Inter"/>
          <w:sz w:val="20"/>
          <w:szCs w:val="20"/>
        </w:rPr>
        <w:t xml:space="preserve"> that</w:t>
      </w:r>
      <w:r w:rsidRPr="008D3D58">
        <w:rPr>
          <w:rFonts w:ascii="Inter" w:hAnsi="Inter"/>
          <w:sz w:val="20"/>
          <w:szCs w:val="20"/>
        </w:rPr>
        <w:t xml:space="preserve"> non-electricity sector inputs are factored into the RESP. For example, these could include transport strategies (particularly around electric vehicle charging hubs), industrial cluster plans, data centres, and the grid connections queue.</w:t>
      </w:r>
    </w:p>
    <w:p w14:paraId="70CEBDE2" w14:textId="219CB614" w:rsidR="00BC0E24" w:rsidRDefault="00BC0E24" w:rsidP="008D3D58">
      <w:pPr>
        <w:pStyle w:val="ListParagraph"/>
        <w:jc w:val="both"/>
        <w:rPr>
          <w:rFonts w:ascii="Inter" w:hAnsi="Inter"/>
          <w:b/>
          <w:bCs/>
          <w:sz w:val="20"/>
          <w:szCs w:val="20"/>
        </w:rPr>
      </w:pPr>
      <w:r>
        <w:rPr>
          <w:rFonts w:ascii="Inter" w:hAnsi="Inter"/>
          <w:b/>
          <w:bCs/>
          <w:sz w:val="20"/>
          <w:szCs w:val="20"/>
        </w:rPr>
        <w:t xml:space="preserve"> </w:t>
      </w:r>
    </w:p>
    <w:p w14:paraId="34D3E8CD" w14:textId="5B9A8215" w:rsidR="00BC0E24" w:rsidRDefault="00BC0E24" w:rsidP="008D3D58">
      <w:pPr>
        <w:pStyle w:val="ListParagraph"/>
        <w:numPr>
          <w:ilvl w:val="0"/>
          <w:numId w:val="1"/>
        </w:numPr>
        <w:jc w:val="both"/>
        <w:rPr>
          <w:rFonts w:ascii="Inter" w:hAnsi="Inter"/>
          <w:b/>
          <w:bCs/>
          <w:sz w:val="20"/>
          <w:szCs w:val="20"/>
        </w:rPr>
      </w:pPr>
      <w:r w:rsidRPr="00BC0E24">
        <w:rPr>
          <w:rFonts w:ascii="Inter" w:hAnsi="Inter"/>
          <w:b/>
          <w:bCs/>
          <w:sz w:val="20"/>
          <w:szCs w:val="20"/>
        </w:rPr>
        <w:t xml:space="preserve"> Do you have any suggestions for criteria to assess the credibility of the inputs to the RESP?</w:t>
      </w:r>
    </w:p>
    <w:p w14:paraId="4ECA22F8" w14:textId="77777777" w:rsidR="00BC0E24" w:rsidRDefault="00BC0E24" w:rsidP="008D3D58">
      <w:pPr>
        <w:pStyle w:val="ListParagraph"/>
        <w:jc w:val="both"/>
        <w:rPr>
          <w:rFonts w:ascii="Inter" w:hAnsi="Inter"/>
          <w:b/>
          <w:bCs/>
          <w:sz w:val="20"/>
          <w:szCs w:val="20"/>
        </w:rPr>
      </w:pPr>
    </w:p>
    <w:p w14:paraId="1ADDD613" w14:textId="47D31223" w:rsidR="00ED364F" w:rsidRPr="008D3D58" w:rsidRDefault="00ED364F" w:rsidP="008D3D58">
      <w:pPr>
        <w:pStyle w:val="ListParagraph"/>
        <w:jc w:val="both"/>
        <w:rPr>
          <w:rFonts w:ascii="Inter" w:hAnsi="Inter"/>
          <w:sz w:val="20"/>
          <w:szCs w:val="20"/>
        </w:rPr>
      </w:pPr>
      <w:r w:rsidRPr="008D3D58">
        <w:rPr>
          <w:rFonts w:ascii="Inter" w:hAnsi="Inter"/>
          <w:sz w:val="20"/>
          <w:szCs w:val="20"/>
        </w:rPr>
        <w:t xml:space="preserve">Hitachi Energy suggests that confidence bands could be used to assess the credibility of data inputs where </w:t>
      </w:r>
      <w:r w:rsidR="00DB1837">
        <w:rPr>
          <w:rFonts w:ascii="Inter" w:hAnsi="Inter"/>
          <w:sz w:val="20"/>
          <w:szCs w:val="20"/>
        </w:rPr>
        <w:t>there is un</w:t>
      </w:r>
      <w:r w:rsidRPr="008D3D58">
        <w:rPr>
          <w:rFonts w:ascii="Inter" w:hAnsi="Inter"/>
          <w:sz w:val="20"/>
          <w:szCs w:val="20"/>
        </w:rPr>
        <w:t>certainty. For instance, this could be done via the use of percentage</w:t>
      </w:r>
      <w:r w:rsidR="007D1ABB">
        <w:rPr>
          <w:rFonts w:ascii="Inter" w:hAnsi="Inter"/>
          <w:sz w:val="20"/>
          <w:szCs w:val="20"/>
        </w:rPr>
        <w:t xml:space="preserve"> likelihood for particular range</w:t>
      </w:r>
      <w:r w:rsidRPr="008D3D58">
        <w:rPr>
          <w:rFonts w:ascii="Inter" w:hAnsi="Inter"/>
          <w:sz w:val="20"/>
          <w:szCs w:val="20"/>
        </w:rPr>
        <w:t xml:space="preserve">s. </w:t>
      </w:r>
    </w:p>
    <w:p w14:paraId="7F3AFDB4" w14:textId="77777777" w:rsidR="00ED364F" w:rsidRPr="00ED364F" w:rsidRDefault="00ED364F" w:rsidP="008D3D58">
      <w:pPr>
        <w:pStyle w:val="ListParagraph"/>
        <w:jc w:val="both"/>
        <w:rPr>
          <w:rFonts w:ascii="Inter" w:hAnsi="Inter"/>
          <w:b/>
          <w:bCs/>
          <w:sz w:val="20"/>
          <w:szCs w:val="20"/>
        </w:rPr>
      </w:pPr>
    </w:p>
    <w:p w14:paraId="46398E3D" w14:textId="5184E617" w:rsidR="00ED364F" w:rsidRDefault="00ED364F" w:rsidP="008D3D58">
      <w:pPr>
        <w:pStyle w:val="ListParagraph"/>
        <w:numPr>
          <w:ilvl w:val="0"/>
          <w:numId w:val="1"/>
        </w:numPr>
        <w:jc w:val="both"/>
        <w:rPr>
          <w:rFonts w:ascii="Inter" w:hAnsi="Inter"/>
          <w:b/>
          <w:bCs/>
          <w:sz w:val="20"/>
          <w:szCs w:val="20"/>
        </w:rPr>
      </w:pPr>
      <w:r w:rsidRPr="00ED364F">
        <w:rPr>
          <w:rFonts w:ascii="Inter" w:hAnsi="Inter"/>
          <w:b/>
          <w:bCs/>
          <w:sz w:val="20"/>
          <w:szCs w:val="20"/>
        </w:rPr>
        <w:t>Do you agree with the framework for local actor support? Please provide your reasoning.</w:t>
      </w:r>
    </w:p>
    <w:p w14:paraId="1842B5BD" w14:textId="77777777" w:rsidR="00ED364F" w:rsidRDefault="00ED364F" w:rsidP="008D3D58">
      <w:pPr>
        <w:pStyle w:val="ListParagraph"/>
        <w:jc w:val="both"/>
        <w:rPr>
          <w:rFonts w:ascii="Inter" w:hAnsi="Inter"/>
          <w:b/>
          <w:bCs/>
          <w:sz w:val="20"/>
          <w:szCs w:val="20"/>
        </w:rPr>
      </w:pPr>
    </w:p>
    <w:p w14:paraId="68EF4397" w14:textId="030EF66E" w:rsidR="00ED364F" w:rsidRPr="008D3D58" w:rsidRDefault="00275259" w:rsidP="008D3D58">
      <w:pPr>
        <w:pStyle w:val="ListParagraph"/>
        <w:jc w:val="both"/>
        <w:rPr>
          <w:rFonts w:ascii="Inter" w:hAnsi="Inter"/>
          <w:sz w:val="20"/>
          <w:szCs w:val="20"/>
        </w:rPr>
      </w:pPr>
      <w:r w:rsidRPr="008D3D58">
        <w:rPr>
          <w:rFonts w:ascii="Inter" w:hAnsi="Inter"/>
          <w:sz w:val="20"/>
          <w:szCs w:val="20"/>
        </w:rPr>
        <w:t>Hitachi Energy agrees with the framework for local actor support. However, it is important that local actors themselves are sufficiently resourced to contribute towards the delivery of the RESP, which will be a challenge given</w:t>
      </w:r>
      <w:r w:rsidR="00621154" w:rsidRPr="008D3D58">
        <w:rPr>
          <w:rFonts w:ascii="Inter" w:hAnsi="Inter"/>
          <w:sz w:val="20"/>
          <w:szCs w:val="20"/>
        </w:rPr>
        <w:t xml:space="preserve"> their capacity will be stretched according to competing demands, such as </w:t>
      </w:r>
      <w:r w:rsidR="00C32A99" w:rsidRPr="008D3D58">
        <w:rPr>
          <w:rFonts w:ascii="Inter" w:hAnsi="Inter"/>
          <w:sz w:val="20"/>
          <w:szCs w:val="20"/>
        </w:rPr>
        <w:t>handling planning applications for housing developments. Therefore, it is paramount that</w:t>
      </w:r>
      <w:r w:rsidR="00977CE9" w:rsidRPr="008D3D58">
        <w:rPr>
          <w:rFonts w:ascii="Inter" w:hAnsi="Inter"/>
          <w:sz w:val="20"/>
          <w:szCs w:val="20"/>
        </w:rPr>
        <w:t xml:space="preserve"> NESO </w:t>
      </w:r>
      <w:r w:rsidRPr="008D3D58">
        <w:rPr>
          <w:rFonts w:ascii="Inter" w:hAnsi="Inter"/>
          <w:sz w:val="20"/>
          <w:szCs w:val="20"/>
        </w:rPr>
        <w:t xml:space="preserve">acts as a knowledge hub for local actors, whereby it educates local actors to ensure procedures are consistently applied.  </w:t>
      </w:r>
      <w:r w:rsidR="00977CE9" w:rsidRPr="008D3D58">
        <w:rPr>
          <w:rFonts w:ascii="Inter" w:hAnsi="Inter"/>
          <w:sz w:val="20"/>
          <w:szCs w:val="20"/>
        </w:rPr>
        <w:t xml:space="preserve">Furthermore, NESO should also act as a delivery channel for informing the public more widely about the net zero transition. </w:t>
      </w:r>
    </w:p>
    <w:p w14:paraId="27D79F2D" w14:textId="77777777" w:rsidR="00977CE9" w:rsidRDefault="00977CE9" w:rsidP="008D3D58">
      <w:pPr>
        <w:pStyle w:val="ListParagraph"/>
        <w:jc w:val="both"/>
        <w:rPr>
          <w:rFonts w:ascii="Inter" w:hAnsi="Inter"/>
          <w:b/>
          <w:bCs/>
          <w:sz w:val="20"/>
          <w:szCs w:val="20"/>
        </w:rPr>
      </w:pPr>
    </w:p>
    <w:p w14:paraId="023F96F5" w14:textId="06A27C01" w:rsidR="00977CE9" w:rsidRDefault="00977CE9" w:rsidP="008D3D58">
      <w:pPr>
        <w:pStyle w:val="ListParagraph"/>
        <w:numPr>
          <w:ilvl w:val="0"/>
          <w:numId w:val="1"/>
        </w:numPr>
        <w:jc w:val="both"/>
        <w:rPr>
          <w:rFonts w:ascii="Inter" w:hAnsi="Inter"/>
          <w:b/>
          <w:bCs/>
          <w:sz w:val="20"/>
          <w:szCs w:val="20"/>
        </w:rPr>
      </w:pPr>
      <w:r w:rsidRPr="00977CE9">
        <w:rPr>
          <w:rFonts w:ascii="Inter" w:hAnsi="Inter"/>
          <w:b/>
          <w:bCs/>
          <w:sz w:val="20"/>
          <w:szCs w:val="20"/>
        </w:rPr>
        <w:t>Do you agree with the purpose of the Strategic Board? Please provide your reasoning</w:t>
      </w:r>
      <w:r>
        <w:rPr>
          <w:rFonts w:ascii="Inter" w:hAnsi="Inter"/>
          <w:b/>
          <w:bCs/>
          <w:sz w:val="20"/>
          <w:szCs w:val="20"/>
        </w:rPr>
        <w:t>.</w:t>
      </w:r>
    </w:p>
    <w:p w14:paraId="049DACC2" w14:textId="77777777" w:rsidR="00977CE9" w:rsidRDefault="00977CE9" w:rsidP="008D3D58">
      <w:pPr>
        <w:pStyle w:val="ListParagraph"/>
        <w:jc w:val="both"/>
        <w:rPr>
          <w:rFonts w:ascii="Inter" w:hAnsi="Inter"/>
          <w:b/>
          <w:bCs/>
          <w:sz w:val="20"/>
          <w:szCs w:val="20"/>
        </w:rPr>
      </w:pPr>
    </w:p>
    <w:p w14:paraId="26AF8E07" w14:textId="4AA39DB6" w:rsidR="00977CE9" w:rsidRPr="008D3D58" w:rsidRDefault="00977CE9" w:rsidP="008D3D58">
      <w:pPr>
        <w:pStyle w:val="ListParagraph"/>
        <w:jc w:val="both"/>
        <w:rPr>
          <w:rFonts w:ascii="Inter" w:hAnsi="Inter"/>
          <w:sz w:val="20"/>
          <w:szCs w:val="20"/>
        </w:rPr>
      </w:pPr>
      <w:r w:rsidRPr="008D3D58">
        <w:rPr>
          <w:rFonts w:ascii="Inter" w:hAnsi="Inter"/>
          <w:sz w:val="20"/>
          <w:szCs w:val="20"/>
        </w:rPr>
        <w:t>Hitachi Energy agrees with the purpose of and plans for the Strategic Board.</w:t>
      </w:r>
    </w:p>
    <w:p w14:paraId="73F2255D" w14:textId="77777777" w:rsidR="00977CE9" w:rsidRPr="00977CE9" w:rsidRDefault="00977CE9" w:rsidP="008D3D58">
      <w:pPr>
        <w:pStyle w:val="ListParagraph"/>
        <w:jc w:val="both"/>
        <w:rPr>
          <w:rFonts w:ascii="Inter" w:hAnsi="Inter"/>
          <w:b/>
          <w:bCs/>
          <w:sz w:val="20"/>
          <w:szCs w:val="20"/>
        </w:rPr>
      </w:pPr>
    </w:p>
    <w:p w14:paraId="4001B552" w14:textId="575B147D" w:rsidR="00977CE9" w:rsidRDefault="00977CE9" w:rsidP="008D3D58">
      <w:pPr>
        <w:pStyle w:val="ListParagraph"/>
        <w:numPr>
          <w:ilvl w:val="0"/>
          <w:numId w:val="1"/>
        </w:numPr>
        <w:jc w:val="both"/>
        <w:rPr>
          <w:rFonts w:ascii="Inter" w:hAnsi="Inter"/>
          <w:b/>
          <w:bCs/>
          <w:sz w:val="20"/>
          <w:szCs w:val="20"/>
        </w:rPr>
      </w:pPr>
      <w:r w:rsidRPr="00977CE9">
        <w:rPr>
          <w:rFonts w:ascii="Inter" w:hAnsi="Inter"/>
          <w:b/>
          <w:bCs/>
          <w:sz w:val="20"/>
          <w:szCs w:val="20"/>
        </w:rPr>
        <w:t>Do you agree that the Strategic Board should include representation from relevant democratic actors, network companies and wider cross-sector actors in each region?</w:t>
      </w:r>
    </w:p>
    <w:p w14:paraId="6977F571" w14:textId="77777777" w:rsidR="00977CE9" w:rsidRDefault="00977CE9" w:rsidP="008D3D58">
      <w:pPr>
        <w:pStyle w:val="ListParagraph"/>
        <w:jc w:val="both"/>
        <w:rPr>
          <w:rFonts w:ascii="Inter" w:hAnsi="Inter"/>
          <w:b/>
          <w:bCs/>
          <w:sz w:val="20"/>
          <w:szCs w:val="20"/>
        </w:rPr>
      </w:pPr>
    </w:p>
    <w:p w14:paraId="0CDA8952" w14:textId="65FE2140" w:rsidR="00977CE9" w:rsidRPr="008D3D58" w:rsidRDefault="00977CE9" w:rsidP="008D3D58">
      <w:pPr>
        <w:pStyle w:val="ListParagraph"/>
        <w:jc w:val="both"/>
        <w:rPr>
          <w:rFonts w:ascii="Inter" w:hAnsi="Inter"/>
          <w:sz w:val="20"/>
          <w:szCs w:val="20"/>
        </w:rPr>
      </w:pPr>
      <w:r w:rsidRPr="008D3D58">
        <w:rPr>
          <w:rFonts w:ascii="Inter" w:hAnsi="Inter"/>
          <w:sz w:val="20"/>
          <w:szCs w:val="20"/>
        </w:rPr>
        <w:t xml:space="preserve">Hitachi Energy agrees that the Strategic Board should include representation from all of the aforementioned groups. </w:t>
      </w:r>
    </w:p>
    <w:p w14:paraId="0D41864F" w14:textId="77777777" w:rsidR="00977CE9" w:rsidRDefault="00977CE9" w:rsidP="008D3D58">
      <w:pPr>
        <w:pStyle w:val="ListParagraph"/>
        <w:jc w:val="both"/>
        <w:rPr>
          <w:rFonts w:ascii="Inter" w:hAnsi="Inter"/>
          <w:b/>
          <w:bCs/>
          <w:sz w:val="20"/>
          <w:szCs w:val="20"/>
        </w:rPr>
      </w:pPr>
    </w:p>
    <w:p w14:paraId="1918D793" w14:textId="77E99401" w:rsidR="00977CE9" w:rsidRDefault="00977CE9" w:rsidP="008D3D58">
      <w:pPr>
        <w:pStyle w:val="ListParagraph"/>
        <w:numPr>
          <w:ilvl w:val="0"/>
          <w:numId w:val="1"/>
        </w:numPr>
        <w:jc w:val="both"/>
        <w:rPr>
          <w:rFonts w:ascii="Inter" w:hAnsi="Inter"/>
          <w:b/>
          <w:bCs/>
          <w:sz w:val="20"/>
          <w:szCs w:val="20"/>
        </w:rPr>
      </w:pPr>
      <w:r w:rsidRPr="00977CE9">
        <w:rPr>
          <w:rFonts w:ascii="Inter" w:hAnsi="Inter"/>
          <w:b/>
          <w:bCs/>
          <w:sz w:val="20"/>
          <w:szCs w:val="20"/>
        </w:rPr>
        <w:t>How should actors (democratic, network, cross-sector) be best represented on the board? Please provide your reasoning, referring to each in turn.</w:t>
      </w:r>
    </w:p>
    <w:p w14:paraId="681F63DF" w14:textId="77777777" w:rsidR="00977CE9" w:rsidRDefault="00977CE9" w:rsidP="008D3D58">
      <w:pPr>
        <w:pStyle w:val="ListParagraph"/>
        <w:jc w:val="both"/>
        <w:rPr>
          <w:rFonts w:ascii="Inter" w:hAnsi="Inter"/>
          <w:b/>
          <w:bCs/>
          <w:sz w:val="20"/>
          <w:szCs w:val="20"/>
        </w:rPr>
      </w:pPr>
    </w:p>
    <w:p w14:paraId="7E7FEA43" w14:textId="204AD998" w:rsidR="00977CE9" w:rsidRPr="00BB68E9" w:rsidRDefault="00977CE9" w:rsidP="00BB68E9">
      <w:pPr>
        <w:pStyle w:val="ListParagraph"/>
        <w:jc w:val="both"/>
        <w:rPr>
          <w:rFonts w:ascii="Inter" w:hAnsi="Inter"/>
          <w:sz w:val="20"/>
          <w:szCs w:val="20"/>
        </w:rPr>
      </w:pPr>
      <w:r w:rsidRPr="008D3D58">
        <w:rPr>
          <w:rFonts w:ascii="Inter" w:hAnsi="Inter"/>
          <w:sz w:val="20"/>
          <w:szCs w:val="20"/>
        </w:rPr>
        <w:t xml:space="preserve">Hitachi Energy believes that the most significant actors, assessed according to their impact on the energy system, should be adequately represented. Further consideration must be given to how spaces on the Strategic Board are </w:t>
      </w:r>
      <w:r w:rsidR="00C56EB9">
        <w:rPr>
          <w:rFonts w:ascii="Inter" w:hAnsi="Inter"/>
          <w:sz w:val="20"/>
          <w:szCs w:val="20"/>
        </w:rPr>
        <w:t xml:space="preserve">allocated </w:t>
      </w:r>
      <w:r w:rsidRPr="008D3D58">
        <w:rPr>
          <w:rFonts w:ascii="Inter" w:hAnsi="Inter"/>
          <w:sz w:val="20"/>
          <w:szCs w:val="20"/>
        </w:rPr>
        <w:t xml:space="preserve">between these three actors. </w:t>
      </w:r>
      <w:r w:rsidR="008D3D58" w:rsidRPr="008D3D58">
        <w:rPr>
          <w:rFonts w:ascii="Inter" w:hAnsi="Inter"/>
          <w:sz w:val="20"/>
          <w:szCs w:val="20"/>
        </w:rPr>
        <w:t xml:space="preserve">It is important that the need for representation on the Board is balanced with the need to ensure the Board is not too large in size. </w:t>
      </w:r>
      <w:r w:rsidR="008D3D58" w:rsidRPr="00BB68E9">
        <w:rPr>
          <w:rFonts w:ascii="Inter" w:hAnsi="Inter"/>
          <w:sz w:val="20"/>
          <w:szCs w:val="20"/>
        </w:rPr>
        <w:t xml:space="preserve">Working groups will also be useful channels for ensuring that those who are not on the Board are adequately represented. </w:t>
      </w:r>
    </w:p>
    <w:p w14:paraId="36104389" w14:textId="77777777" w:rsidR="00977CE9" w:rsidRPr="008D3D58" w:rsidRDefault="00977CE9" w:rsidP="008D3D58">
      <w:pPr>
        <w:pStyle w:val="ListParagraph"/>
        <w:jc w:val="both"/>
        <w:rPr>
          <w:rFonts w:ascii="Inter" w:hAnsi="Inter"/>
          <w:sz w:val="20"/>
          <w:szCs w:val="20"/>
        </w:rPr>
      </w:pPr>
    </w:p>
    <w:p w14:paraId="247678DC" w14:textId="0C4B0BCC" w:rsidR="00977CE9" w:rsidRPr="008D3D58" w:rsidRDefault="00977CE9" w:rsidP="008D3D58">
      <w:pPr>
        <w:pStyle w:val="ListParagraph"/>
        <w:jc w:val="both"/>
        <w:rPr>
          <w:rFonts w:ascii="Inter" w:hAnsi="Inter"/>
          <w:sz w:val="20"/>
          <w:szCs w:val="20"/>
        </w:rPr>
      </w:pPr>
      <w:r w:rsidRPr="008D3D58">
        <w:rPr>
          <w:rFonts w:ascii="Inter" w:hAnsi="Inter"/>
          <w:sz w:val="20"/>
          <w:szCs w:val="20"/>
        </w:rPr>
        <w:t xml:space="preserve">However, the innovative nature of the RESP means that Ofgem and NESO should be aware that not every actor is understanding of certain specific issues and their impact on the whole system. For example, democratic actors (e.g. local authorities) may not be the most suitable representative of certain business interests. Therefore, Hitachi Energy believes that industry should represent itself on the Strategic Board, preferably via business groups such as trade bodies and business associations. </w:t>
      </w:r>
    </w:p>
    <w:p w14:paraId="5D4D5A2D" w14:textId="77777777" w:rsidR="00977CE9" w:rsidRPr="008D3D58" w:rsidRDefault="00977CE9" w:rsidP="008D3D58">
      <w:pPr>
        <w:pStyle w:val="ListParagraph"/>
        <w:jc w:val="both"/>
        <w:rPr>
          <w:rFonts w:ascii="Inter" w:hAnsi="Inter"/>
          <w:sz w:val="20"/>
          <w:szCs w:val="20"/>
        </w:rPr>
      </w:pPr>
    </w:p>
    <w:p w14:paraId="2B0B399A" w14:textId="7BCC27A1" w:rsidR="008D3D58" w:rsidRPr="008D3D58" w:rsidRDefault="00977CE9" w:rsidP="008D3D58">
      <w:pPr>
        <w:pStyle w:val="ListParagraph"/>
        <w:jc w:val="both"/>
        <w:rPr>
          <w:rFonts w:ascii="Inter" w:hAnsi="Inter"/>
          <w:sz w:val="20"/>
          <w:szCs w:val="20"/>
        </w:rPr>
      </w:pPr>
      <w:r w:rsidRPr="008D3D58">
        <w:rPr>
          <w:rFonts w:ascii="Inter" w:hAnsi="Inter"/>
          <w:sz w:val="20"/>
          <w:szCs w:val="20"/>
        </w:rPr>
        <w:t xml:space="preserve">Increasing political devolution must also be considered when deciding the composition of Strategic Boards, with the regions proposed by Ofgem spanning multiple combined mayoral authorities. </w:t>
      </w:r>
    </w:p>
    <w:p w14:paraId="7F3779F2" w14:textId="77777777" w:rsidR="008D3D58" w:rsidRPr="008D3D58" w:rsidRDefault="008D3D58" w:rsidP="008D3D58">
      <w:pPr>
        <w:pStyle w:val="ListParagraph"/>
        <w:jc w:val="both"/>
        <w:rPr>
          <w:rFonts w:ascii="Inter" w:hAnsi="Inter"/>
          <w:b/>
          <w:bCs/>
          <w:sz w:val="20"/>
          <w:szCs w:val="20"/>
        </w:rPr>
      </w:pPr>
    </w:p>
    <w:p w14:paraId="3AC7F3A1" w14:textId="078198FB" w:rsidR="008D3D58" w:rsidRDefault="008D3D58" w:rsidP="008D3D58">
      <w:pPr>
        <w:pStyle w:val="ListParagraph"/>
        <w:numPr>
          <w:ilvl w:val="0"/>
          <w:numId w:val="1"/>
        </w:numPr>
        <w:jc w:val="both"/>
        <w:rPr>
          <w:rFonts w:ascii="Inter" w:hAnsi="Inter"/>
          <w:b/>
          <w:bCs/>
          <w:sz w:val="20"/>
          <w:szCs w:val="20"/>
        </w:rPr>
      </w:pPr>
      <w:r w:rsidRPr="008D3D58">
        <w:rPr>
          <w:rFonts w:ascii="Inter" w:hAnsi="Inter"/>
          <w:b/>
          <w:bCs/>
          <w:sz w:val="20"/>
          <w:szCs w:val="20"/>
        </w:rPr>
        <w:t>Do agree with the adaptations proposed for Option 1? Please provide your reasoning.</w:t>
      </w:r>
    </w:p>
    <w:p w14:paraId="6D1A9A84" w14:textId="77777777" w:rsidR="008D3D58" w:rsidRDefault="008D3D58" w:rsidP="008D3D58">
      <w:pPr>
        <w:pStyle w:val="ListParagraph"/>
        <w:jc w:val="both"/>
        <w:rPr>
          <w:rFonts w:ascii="Inter" w:hAnsi="Inter"/>
          <w:b/>
          <w:bCs/>
          <w:sz w:val="20"/>
          <w:szCs w:val="20"/>
        </w:rPr>
      </w:pPr>
    </w:p>
    <w:p w14:paraId="026C59E4" w14:textId="3ACD47E4" w:rsidR="008D3D58" w:rsidRPr="008D3D58" w:rsidRDefault="008D3D58" w:rsidP="008D3D58">
      <w:pPr>
        <w:pStyle w:val="ListParagraph"/>
        <w:jc w:val="both"/>
        <w:rPr>
          <w:rFonts w:ascii="Inter" w:hAnsi="Inter"/>
          <w:sz w:val="20"/>
          <w:szCs w:val="20"/>
        </w:rPr>
      </w:pPr>
      <w:r w:rsidRPr="008D3D58">
        <w:rPr>
          <w:rFonts w:ascii="Inter" w:hAnsi="Inter"/>
          <w:sz w:val="20"/>
          <w:szCs w:val="20"/>
        </w:rPr>
        <w:t xml:space="preserve">Hitachi Energy agrees with the adaptations proposed for Option 1. We believe that the approach to area formation is sound given that it broadly balances the regions. </w:t>
      </w:r>
    </w:p>
    <w:p w14:paraId="325C76E5" w14:textId="77777777" w:rsidR="008D3D58" w:rsidRDefault="008D3D58" w:rsidP="008D3D58">
      <w:pPr>
        <w:pStyle w:val="ListParagraph"/>
        <w:jc w:val="both"/>
        <w:rPr>
          <w:rFonts w:ascii="Inter" w:hAnsi="Inter"/>
          <w:b/>
          <w:bCs/>
          <w:sz w:val="20"/>
          <w:szCs w:val="20"/>
        </w:rPr>
      </w:pPr>
    </w:p>
    <w:p w14:paraId="264571FC" w14:textId="0AF1F8B3" w:rsidR="008D3D58" w:rsidRDefault="008D3D58" w:rsidP="008D3D58">
      <w:pPr>
        <w:pStyle w:val="ListParagraph"/>
        <w:numPr>
          <w:ilvl w:val="0"/>
          <w:numId w:val="1"/>
        </w:numPr>
        <w:jc w:val="both"/>
        <w:rPr>
          <w:rFonts w:ascii="Inter" w:hAnsi="Inter"/>
          <w:b/>
          <w:bCs/>
          <w:sz w:val="20"/>
          <w:szCs w:val="20"/>
        </w:rPr>
      </w:pPr>
      <w:r w:rsidRPr="008D3D58">
        <w:rPr>
          <w:rFonts w:ascii="Inter" w:hAnsi="Inter"/>
          <w:b/>
          <w:bCs/>
          <w:sz w:val="20"/>
          <w:szCs w:val="20"/>
        </w:rPr>
        <w:t>Do you agree with our assessment that Option 1 is a better solution than Option 2? Please provide your reasoning.</w:t>
      </w:r>
    </w:p>
    <w:p w14:paraId="1ADDE7C1" w14:textId="77777777" w:rsidR="008D3D58" w:rsidRDefault="008D3D58" w:rsidP="008D3D58">
      <w:pPr>
        <w:pStyle w:val="ListParagraph"/>
        <w:jc w:val="both"/>
        <w:rPr>
          <w:rFonts w:ascii="Inter" w:hAnsi="Inter"/>
          <w:b/>
          <w:bCs/>
          <w:sz w:val="20"/>
          <w:szCs w:val="20"/>
        </w:rPr>
      </w:pPr>
    </w:p>
    <w:p w14:paraId="6BB8937E" w14:textId="25B44E22" w:rsidR="008D3D58" w:rsidRPr="008D3D58" w:rsidRDefault="008D3D58" w:rsidP="008D3D58">
      <w:pPr>
        <w:pStyle w:val="ListParagraph"/>
        <w:jc w:val="both"/>
        <w:rPr>
          <w:rFonts w:ascii="Inter" w:hAnsi="Inter"/>
          <w:sz w:val="20"/>
          <w:szCs w:val="20"/>
        </w:rPr>
      </w:pPr>
      <w:r w:rsidRPr="008D3D58">
        <w:rPr>
          <w:rFonts w:ascii="Inter" w:hAnsi="Inter"/>
          <w:sz w:val="20"/>
          <w:szCs w:val="20"/>
        </w:rPr>
        <w:t xml:space="preserve">No comment. </w:t>
      </w:r>
    </w:p>
    <w:p w14:paraId="38DD0175" w14:textId="77777777" w:rsidR="008D3D58" w:rsidRDefault="008D3D58" w:rsidP="008D3D58">
      <w:pPr>
        <w:pStyle w:val="ListParagraph"/>
        <w:jc w:val="both"/>
        <w:rPr>
          <w:rFonts w:ascii="Inter" w:hAnsi="Inter"/>
          <w:b/>
          <w:bCs/>
          <w:sz w:val="20"/>
          <w:szCs w:val="20"/>
        </w:rPr>
      </w:pPr>
    </w:p>
    <w:p w14:paraId="03CD7459" w14:textId="5D31522B" w:rsidR="008D3D58" w:rsidRDefault="008D3D58" w:rsidP="008D3D58">
      <w:pPr>
        <w:pStyle w:val="ListParagraph"/>
        <w:numPr>
          <w:ilvl w:val="0"/>
          <w:numId w:val="1"/>
        </w:numPr>
        <w:jc w:val="both"/>
        <w:rPr>
          <w:rFonts w:ascii="Inter" w:hAnsi="Inter"/>
          <w:b/>
          <w:bCs/>
          <w:sz w:val="20"/>
          <w:szCs w:val="20"/>
        </w:rPr>
      </w:pPr>
      <w:r w:rsidRPr="008D3D58">
        <w:rPr>
          <w:rFonts w:ascii="Inter" w:hAnsi="Inter"/>
          <w:b/>
          <w:bCs/>
          <w:sz w:val="20"/>
          <w:szCs w:val="20"/>
        </w:rPr>
        <w:t>Do you agree a single region for Scotland is optimal? If you think a two-region solution is better, do you agree the split should occur at the SSEN and SPEN DNO boundary? If not, please provide your reasoning and alternative option(s).</w:t>
      </w:r>
    </w:p>
    <w:p w14:paraId="14B67CD0" w14:textId="77777777" w:rsidR="008D3D58" w:rsidRDefault="008D3D58" w:rsidP="008D3D58">
      <w:pPr>
        <w:pStyle w:val="ListParagraph"/>
        <w:jc w:val="both"/>
        <w:rPr>
          <w:rFonts w:ascii="Inter" w:hAnsi="Inter"/>
          <w:b/>
          <w:bCs/>
          <w:sz w:val="20"/>
          <w:szCs w:val="20"/>
        </w:rPr>
      </w:pPr>
    </w:p>
    <w:p w14:paraId="00AED07F" w14:textId="2EEA57FF" w:rsidR="008D3D58" w:rsidRPr="008D3D58" w:rsidRDefault="008D3D58" w:rsidP="008D3D58">
      <w:pPr>
        <w:pStyle w:val="ListParagraph"/>
        <w:jc w:val="both"/>
        <w:rPr>
          <w:rFonts w:ascii="Inter" w:hAnsi="Inter"/>
          <w:sz w:val="20"/>
          <w:szCs w:val="20"/>
        </w:rPr>
      </w:pPr>
      <w:r w:rsidRPr="008D3D58">
        <w:rPr>
          <w:rFonts w:ascii="Inter" w:hAnsi="Inter"/>
          <w:sz w:val="20"/>
          <w:szCs w:val="20"/>
        </w:rPr>
        <w:t xml:space="preserve">No comment. </w:t>
      </w:r>
    </w:p>
    <w:p w14:paraId="501D51D2" w14:textId="77777777" w:rsidR="008D3D58" w:rsidRDefault="008D3D58" w:rsidP="008D3D58">
      <w:pPr>
        <w:pStyle w:val="ListParagraph"/>
        <w:rPr>
          <w:rFonts w:ascii="Inter" w:hAnsi="Inter"/>
          <w:b/>
          <w:bCs/>
          <w:sz w:val="20"/>
          <w:szCs w:val="20"/>
        </w:rPr>
      </w:pPr>
    </w:p>
    <w:p w14:paraId="2120BF52" w14:textId="0058783F" w:rsidR="008D3D58" w:rsidRDefault="00A055AB" w:rsidP="008D3D58">
      <w:pPr>
        <w:pStyle w:val="ListParagraph"/>
        <w:rPr>
          <w:rFonts w:ascii="Inter" w:hAnsi="Inter"/>
          <w:b/>
          <w:bCs/>
          <w:sz w:val="20"/>
          <w:szCs w:val="20"/>
        </w:rPr>
      </w:pPr>
      <w:r>
        <w:rPr>
          <w:rFonts w:ascii="Inter" w:hAnsi="Inter"/>
          <w:b/>
          <w:bCs/>
          <w:sz w:val="20"/>
          <w:szCs w:val="20"/>
        </w:rPr>
        <w:pict w14:anchorId="5D09B8FD">
          <v:rect id="_x0000_i1025" style="width:0;height:1.5pt" o:hralign="center" o:hrstd="t" o:hr="t" fillcolor="#a0a0a0" stroked="f"/>
        </w:pict>
      </w:r>
    </w:p>
    <w:p w14:paraId="0CB57DCC" w14:textId="29A7B03C" w:rsidR="008D3D58" w:rsidRPr="008D3D58" w:rsidRDefault="008D3D58" w:rsidP="008D3D58">
      <w:pPr>
        <w:pStyle w:val="ListParagraph"/>
        <w:rPr>
          <w:rFonts w:ascii="Inter" w:hAnsi="Inter"/>
          <w:b/>
          <w:bCs/>
          <w:sz w:val="20"/>
          <w:szCs w:val="20"/>
        </w:rPr>
      </w:pPr>
    </w:p>
    <w:sectPr w:rsidR="008D3D58" w:rsidRPr="008D3D58" w:rsidSect="006E2AB5">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0CA51" w14:textId="77777777" w:rsidR="000E3583" w:rsidRDefault="000E3583" w:rsidP="000B1137">
      <w:pPr>
        <w:spacing w:after="0" w:line="240" w:lineRule="auto"/>
      </w:pPr>
      <w:r>
        <w:separator/>
      </w:r>
    </w:p>
  </w:endnote>
  <w:endnote w:type="continuationSeparator" w:id="0">
    <w:p w14:paraId="75E359CE" w14:textId="77777777" w:rsidR="000E3583" w:rsidRDefault="000E3583" w:rsidP="000B1137">
      <w:pPr>
        <w:spacing w:after="0" w:line="240" w:lineRule="auto"/>
      </w:pPr>
      <w:r>
        <w:continuationSeparator/>
      </w:r>
    </w:p>
  </w:endnote>
  <w:endnote w:type="continuationNotice" w:id="1">
    <w:p w14:paraId="4C14B7F7" w14:textId="77777777" w:rsidR="000E3583" w:rsidRDefault="000E3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ter">
    <w:altName w:val="Calibri"/>
    <w:charset w:val="00"/>
    <w:family w:val="auto"/>
    <w:pitch w:val="variable"/>
    <w:sig w:usb0="E00002FF" w:usb1="1200A1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DF33B" w14:textId="4ECDC14F" w:rsidR="003C2AB5" w:rsidRDefault="00A055AB">
    <w:pPr>
      <w:pStyle w:val="Footer"/>
    </w:pPr>
    <w:r>
      <w:rPr>
        <w:noProof/>
      </w:rPr>
      <mc:AlternateContent>
        <mc:Choice Requires="wps">
          <w:drawing>
            <wp:anchor distT="0" distB="0" distL="0" distR="0" simplePos="0" relativeHeight="251660288" behindDoc="0" locked="0" layoutInCell="1" allowOverlap="1" wp14:anchorId="467DE42B" wp14:editId="29338382">
              <wp:simplePos x="635" y="635"/>
              <wp:positionH relativeFrom="page">
                <wp:align>center</wp:align>
              </wp:positionH>
              <wp:positionV relativeFrom="page">
                <wp:align>bottom</wp:align>
              </wp:positionV>
              <wp:extent cx="1133475" cy="342900"/>
              <wp:effectExtent l="0" t="0" r="9525" b="0"/>
              <wp:wrapNone/>
              <wp:docPr id="1865448139"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42900"/>
                      </a:xfrm>
                      <a:prstGeom prst="rect">
                        <a:avLst/>
                      </a:prstGeom>
                      <a:noFill/>
                      <a:ln>
                        <a:noFill/>
                      </a:ln>
                    </wps:spPr>
                    <wps:txbx>
                      <w:txbxContent>
                        <w:p w14:paraId="43FAAC88" w14:textId="02B9B3CD" w:rsidR="00A055AB" w:rsidRPr="00A055AB" w:rsidRDefault="00A055AB" w:rsidP="00A055AB">
                          <w:pPr>
                            <w:spacing w:after="0"/>
                            <w:rPr>
                              <w:rFonts w:ascii="Calibri" w:eastAsia="Calibri" w:hAnsi="Calibri" w:cs="Calibri"/>
                              <w:noProof/>
                              <w:color w:val="000000"/>
                              <w:sz w:val="20"/>
                              <w:szCs w:val="20"/>
                            </w:rPr>
                          </w:pPr>
                          <w:r w:rsidRPr="00A055A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7DE42B" id="_x0000_t202" coordsize="21600,21600" o:spt="202" path="m,l,21600r21600,l21600,xe">
              <v:stroke joinstyle="miter"/>
              <v:path gradientshapeok="t" o:connecttype="rect"/>
            </v:shapetype>
            <v:shape id="Text Box 2" o:spid="_x0000_s1026" type="#_x0000_t202" alt="OFFICIAL-InternalOnly" style="position:absolute;margin-left:0;margin-top:0;width:89.2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" filled="f" stroked="f">
              <v:fill o:detectmouseclick="t"/>
              <v:textbox style="mso-fit-shape-to-text:t" inset="0,0,0,15pt">
                <w:txbxContent>
                  <w:p w14:paraId="43FAAC88" w14:textId="02B9B3CD" w:rsidR="00A055AB" w:rsidRPr="00A055AB" w:rsidRDefault="00A055AB" w:rsidP="00A055AB">
                    <w:pPr>
                      <w:spacing w:after="0"/>
                      <w:rPr>
                        <w:rFonts w:ascii="Calibri" w:eastAsia="Calibri" w:hAnsi="Calibri" w:cs="Calibri"/>
                        <w:noProof/>
                        <w:color w:val="000000"/>
                        <w:sz w:val="20"/>
                        <w:szCs w:val="20"/>
                      </w:rPr>
                    </w:pPr>
                    <w:r w:rsidRPr="00A055AB">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FEA30" w14:textId="602DB581" w:rsidR="008D3D58" w:rsidRPr="008D3D58" w:rsidRDefault="00A055AB">
    <w:pPr>
      <w:pStyle w:val="Footer"/>
      <w:jc w:val="center"/>
      <w:rPr>
        <w:rFonts w:ascii="Inter" w:hAnsi="Inter"/>
        <w:b/>
        <w:bCs/>
        <w:sz w:val="20"/>
        <w:szCs w:val="20"/>
      </w:rPr>
    </w:pPr>
    <w:r>
      <w:rPr>
        <w:noProof/>
      </w:rPr>
      <mc:AlternateContent>
        <mc:Choice Requires="wps">
          <w:drawing>
            <wp:anchor distT="0" distB="0" distL="0" distR="0" simplePos="0" relativeHeight="251661312" behindDoc="0" locked="0" layoutInCell="1" allowOverlap="1" wp14:anchorId="54990774" wp14:editId="45F2E7FD">
              <wp:simplePos x="635" y="635"/>
              <wp:positionH relativeFrom="page">
                <wp:align>center</wp:align>
              </wp:positionH>
              <wp:positionV relativeFrom="page">
                <wp:align>bottom</wp:align>
              </wp:positionV>
              <wp:extent cx="1133475" cy="342900"/>
              <wp:effectExtent l="0" t="0" r="9525" b="0"/>
              <wp:wrapNone/>
              <wp:docPr id="2018639538"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42900"/>
                      </a:xfrm>
                      <a:prstGeom prst="rect">
                        <a:avLst/>
                      </a:prstGeom>
                      <a:noFill/>
                      <a:ln>
                        <a:noFill/>
                      </a:ln>
                    </wps:spPr>
                    <wps:txbx>
                      <w:txbxContent>
                        <w:p w14:paraId="0F49DA65" w14:textId="1F4C1CA0" w:rsidR="00A055AB" w:rsidRPr="00A055AB" w:rsidRDefault="00A055AB" w:rsidP="00A055AB">
                          <w:pPr>
                            <w:spacing w:after="0"/>
                            <w:rPr>
                              <w:rFonts w:ascii="Calibri" w:eastAsia="Calibri" w:hAnsi="Calibri" w:cs="Calibri"/>
                              <w:noProof/>
                              <w:color w:val="000000"/>
                              <w:sz w:val="20"/>
                              <w:szCs w:val="20"/>
                            </w:rPr>
                          </w:pPr>
                          <w:r w:rsidRPr="00A055A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990774"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9.25pt;height:27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" filled="f" stroked="f">
              <v:fill o:detectmouseclick="t"/>
              <v:textbox style="mso-fit-shape-to-text:t" inset="0,0,0,15pt">
                <w:txbxContent>
                  <w:p w14:paraId="0F49DA65" w14:textId="1F4C1CA0" w:rsidR="00A055AB" w:rsidRPr="00A055AB" w:rsidRDefault="00A055AB" w:rsidP="00A055AB">
                    <w:pPr>
                      <w:spacing w:after="0"/>
                      <w:rPr>
                        <w:rFonts w:ascii="Calibri" w:eastAsia="Calibri" w:hAnsi="Calibri" w:cs="Calibri"/>
                        <w:noProof/>
                        <w:color w:val="000000"/>
                        <w:sz w:val="20"/>
                        <w:szCs w:val="20"/>
                      </w:rPr>
                    </w:pPr>
                    <w:r w:rsidRPr="00A055AB">
                      <w:rPr>
                        <w:rFonts w:ascii="Calibri" w:eastAsia="Calibri" w:hAnsi="Calibri" w:cs="Calibri"/>
                        <w:noProof/>
                        <w:color w:val="000000"/>
                        <w:sz w:val="20"/>
                        <w:szCs w:val="20"/>
                      </w:rPr>
                      <w:t>OFFICIAL-InternalOnly</w:t>
                    </w:r>
                  </w:p>
                </w:txbxContent>
              </v:textbox>
              <w10:wrap anchorx="page" anchory="page"/>
            </v:shape>
          </w:pict>
        </mc:Fallback>
      </mc:AlternateContent>
    </w:r>
  </w:p>
  <w:sdt>
    <w:sdtPr>
      <w:id w:val="317847967"/>
      <w:docPartObj>
        <w:docPartGallery w:val="Page Numbers (Bottom of Page)"/>
        <w:docPartUnique/>
      </w:docPartObj>
    </w:sdtPr>
    <w:sdtEndPr>
      <w:rPr>
        <w:rFonts w:ascii="Inter" w:hAnsi="Inter"/>
        <w:b/>
        <w:bCs/>
        <w:noProof/>
        <w:sz w:val="20"/>
        <w:szCs w:val="20"/>
      </w:rPr>
    </w:sdtEndPr>
    <w:sdtContent>
      <w:p w14:paraId="3AAFEA30" w14:textId="602DB581" w:rsidR="008D3D58" w:rsidRPr="008D3D58" w:rsidRDefault="008D3D58">
        <w:pPr>
          <w:pStyle w:val="Footer"/>
          <w:jc w:val="center"/>
          <w:rPr>
            <w:rFonts w:ascii="Inter" w:hAnsi="Inter"/>
            <w:b/>
            <w:bCs/>
            <w:sz w:val="20"/>
            <w:szCs w:val="20"/>
          </w:rPr>
        </w:pPr>
        <w:r w:rsidRPr="008D3D58">
          <w:rPr>
            <w:rFonts w:ascii="Inter" w:hAnsi="Inter"/>
            <w:b/>
            <w:bCs/>
            <w:sz w:val="20"/>
            <w:szCs w:val="20"/>
          </w:rPr>
          <w:fldChar w:fldCharType="begin"/>
        </w:r>
        <w:r w:rsidRPr="008D3D58">
          <w:rPr>
            <w:rFonts w:ascii="Inter" w:hAnsi="Inter"/>
            <w:b/>
            <w:bCs/>
            <w:sz w:val="20"/>
            <w:szCs w:val="20"/>
          </w:rPr>
          <w:instrText xml:space="preserve"> PAGE   \* MERGEFORMAT </w:instrText>
        </w:r>
        <w:r w:rsidRPr="008D3D58">
          <w:rPr>
            <w:rFonts w:ascii="Inter" w:hAnsi="Inter"/>
            <w:b/>
            <w:bCs/>
            <w:sz w:val="20"/>
            <w:szCs w:val="20"/>
          </w:rPr>
          <w:fldChar w:fldCharType="separate"/>
        </w:r>
        <w:r w:rsidRPr="008D3D58">
          <w:rPr>
            <w:rFonts w:ascii="Inter" w:hAnsi="Inter"/>
            <w:b/>
            <w:bCs/>
            <w:noProof/>
            <w:sz w:val="20"/>
            <w:szCs w:val="20"/>
          </w:rPr>
          <w:t>2</w:t>
        </w:r>
        <w:r w:rsidRPr="008D3D58">
          <w:rPr>
            <w:rFonts w:ascii="Inter" w:hAnsi="Inter"/>
            <w:b/>
            <w:bCs/>
            <w:noProof/>
            <w:sz w:val="20"/>
            <w:szCs w:val="20"/>
          </w:rPr>
          <w:fldChar w:fldCharType="end"/>
        </w:r>
      </w:p>
    </w:sdtContent>
  </w:sdt>
  <w:p w14:paraId="1D4758FB" w14:textId="77777777" w:rsidR="008D3D58" w:rsidRDefault="008D3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A09EE" w14:textId="48AEBBB9" w:rsidR="003C2AB5" w:rsidRDefault="00A055AB">
    <w:pPr>
      <w:pStyle w:val="Footer"/>
    </w:pPr>
    <w:r>
      <w:rPr>
        <w:noProof/>
      </w:rPr>
      <mc:AlternateContent>
        <mc:Choice Requires="wps">
          <w:drawing>
            <wp:anchor distT="0" distB="0" distL="0" distR="0" simplePos="0" relativeHeight="251659264" behindDoc="0" locked="0" layoutInCell="1" allowOverlap="1" wp14:anchorId="72647B4D" wp14:editId="101DA48A">
              <wp:simplePos x="635" y="635"/>
              <wp:positionH relativeFrom="page">
                <wp:align>center</wp:align>
              </wp:positionH>
              <wp:positionV relativeFrom="page">
                <wp:align>bottom</wp:align>
              </wp:positionV>
              <wp:extent cx="1133475" cy="342900"/>
              <wp:effectExtent l="0" t="0" r="9525" b="0"/>
              <wp:wrapNone/>
              <wp:docPr id="1343142189"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42900"/>
                      </a:xfrm>
                      <a:prstGeom prst="rect">
                        <a:avLst/>
                      </a:prstGeom>
                      <a:noFill/>
                      <a:ln>
                        <a:noFill/>
                      </a:ln>
                    </wps:spPr>
                    <wps:txbx>
                      <w:txbxContent>
                        <w:p w14:paraId="2ECCF396" w14:textId="07A9974A" w:rsidR="00A055AB" w:rsidRPr="00A055AB" w:rsidRDefault="00A055AB" w:rsidP="00A055AB">
                          <w:pPr>
                            <w:spacing w:after="0"/>
                            <w:rPr>
                              <w:rFonts w:ascii="Calibri" w:eastAsia="Calibri" w:hAnsi="Calibri" w:cs="Calibri"/>
                              <w:noProof/>
                              <w:color w:val="000000"/>
                              <w:sz w:val="20"/>
                              <w:szCs w:val="20"/>
                            </w:rPr>
                          </w:pPr>
                          <w:r w:rsidRPr="00A055A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647B4D" id="_x0000_t202" coordsize="21600,21600" o:spt="202" path="m,l,21600r21600,l21600,xe">
              <v:stroke joinstyle="miter"/>
              <v:path gradientshapeok="t" o:connecttype="rect"/>
            </v:shapetype>
            <v:shape id="Text Box 1" o:spid="_x0000_s1028" type="#_x0000_t202" alt="OFFICIAL-InternalOnly" style="position:absolute;margin-left:0;margin-top:0;width:89.2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" filled="f" stroked="f">
              <v:fill o:detectmouseclick="t"/>
              <v:textbox style="mso-fit-shape-to-text:t" inset="0,0,0,15pt">
                <w:txbxContent>
                  <w:p w14:paraId="2ECCF396" w14:textId="07A9974A" w:rsidR="00A055AB" w:rsidRPr="00A055AB" w:rsidRDefault="00A055AB" w:rsidP="00A055AB">
                    <w:pPr>
                      <w:spacing w:after="0"/>
                      <w:rPr>
                        <w:rFonts w:ascii="Calibri" w:eastAsia="Calibri" w:hAnsi="Calibri" w:cs="Calibri"/>
                        <w:noProof/>
                        <w:color w:val="000000"/>
                        <w:sz w:val="20"/>
                        <w:szCs w:val="20"/>
                      </w:rPr>
                    </w:pPr>
                    <w:r w:rsidRPr="00A055AB">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62710" w14:textId="77777777" w:rsidR="000E3583" w:rsidRDefault="000E3583" w:rsidP="000B1137">
      <w:pPr>
        <w:spacing w:after="0" w:line="240" w:lineRule="auto"/>
      </w:pPr>
      <w:r>
        <w:separator/>
      </w:r>
    </w:p>
  </w:footnote>
  <w:footnote w:type="continuationSeparator" w:id="0">
    <w:p w14:paraId="6CAAD5A0" w14:textId="77777777" w:rsidR="000E3583" w:rsidRDefault="000E3583" w:rsidP="000B1137">
      <w:pPr>
        <w:spacing w:after="0" w:line="240" w:lineRule="auto"/>
      </w:pPr>
      <w:r>
        <w:continuationSeparator/>
      </w:r>
    </w:p>
  </w:footnote>
  <w:footnote w:type="continuationNotice" w:id="1">
    <w:p w14:paraId="4F0C8E06" w14:textId="77777777" w:rsidR="000E3583" w:rsidRDefault="000E35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2741F" w14:textId="77777777" w:rsidR="003C2AB5" w:rsidRDefault="003C2A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F3BE0" w14:textId="7E74E044" w:rsidR="000B1137" w:rsidRDefault="000B1137">
    <w:pPr>
      <w:pStyle w:val="Header"/>
    </w:pPr>
    <w:r>
      <w:rPr>
        <w:noProof/>
      </w:rPr>
      <w:drawing>
        <wp:anchor distT="0" distB="0" distL="114300" distR="114300" simplePos="0" relativeHeight="251658240" behindDoc="1" locked="0" layoutInCell="1" allowOverlap="1" wp14:anchorId="0F450102" wp14:editId="7D9B3913">
          <wp:simplePos x="0" y="0"/>
          <wp:positionH relativeFrom="margin">
            <wp:align>right</wp:align>
          </wp:positionH>
          <wp:positionV relativeFrom="paragraph">
            <wp:posOffset>0</wp:posOffset>
          </wp:positionV>
          <wp:extent cx="2466975" cy="427355"/>
          <wp:effectExtent l="0" t="0" r="9525" b="0"/>
          <wp:wrapSquare wrapText="bothSides"/>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6975" cy="427355"/>
                  </a:xfrm>
                  <a:prstGeom prst="rect">
                    <a:avLst/>
                  </a:prstGeom>
                  <a:noFill/>
                </pic:spPr>
              </pic:pic>
            </a:graphicData>
          </a:graphic>
          <wp14:sizeRelH relativeFrom="margin">
            <wp14:pctWidth>0</wp14:pctWidth>
          </wp14:sizeRelH>
          <wp14:sizeRelV relativeFrom="margin">
            <wp14:pctHeight>0</wp14:pctHeight>
          </wp14:sizeRelV>
        </wp:anchor>
      </w:drawing>
    </w:r>
  </w:p>
  <w:p w14:paraId="11EB629F" w14:textId="77777777" w:rsidR="000B1137" w:rsidRDefault="000B1137">
    <w:pPr>
      <w:pStyle w:val="Header"/>
    </w:pPr>
  </w:p>
  <w:p w14:paraId="7A46185A" w14:textId="77777777" w:rsidR="00464709" w:rsidRDefault="004647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DD0EA" w14:textId="77777777" w:rsidR="003C2AB5" w:rsidRDefault="003C2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554B3D"/>
    <w:multiLevelType w:val="hybridMultilevel"/>
    <w:tmpl w:val="2A160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474F30"/>
    <w:multiLevelType w:val="hybridMultilevel"/>
    <w:tmpl w:val="5C48C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0231829">
    <w:abstractNumId w:val="1"/>
  </w:num>
  <w:num w:numId="2" w16cid:durableId="1044909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37"/>
    <w:rsid w:val="000819B6"/>
    <w:rsid w:val="000B1137"/>
    <w:rsid w:val="000E3583"/>
    <w:rsid w:val="001177E1"/>
    <w:rsid w:val="001C50F9"/>
    <w:rsid w:val="00275259"/>
    <w:rsid w:val="00276A98"/>
    <w:rsid w:val="00302ADC"/>
    <w:rsid w:val="00311FED"/>
    <w:rsid w:val="003A087E"/>
    <w:rsid w:val="003C2AB5"/>
    <w:rsid w:val="003C73EA"/>
    <w:rsid w:val="004472B4"/>
    <w:rsid w:val="00456A00"/>
    <w:rsid w:val="00464709"/>
    <w:rsid w:val="0050149A"/>
    <w:rsid w:val="00574F25"/>
    <w:rsid w:val="005A1DD6"/>
    <w:rsid w:val="00621154"/>
    <w:rsid w:val="0064612A"/>
    <w:rsid w:val="006E2AB5"/>
    <w:rsid w:val="006E44A6"/>
    <w:rsid w:val="007074B5"/>
    <w:rsid w:val="0076179E"/>
    <w:rsid w:val="00765826"/>
    <w:rsid w:val="007B7694"/>
    <w:rsid w:val="007C73C3"/>
    <w:rsid w:val="007D1ABB"/>
    <w:rsid w:val="008C2205"/>
    <w:rsid w:val="008D3D58"/>
    <w:rsid w:val="008F162C"/>
    <w:rsid w:val="00904698"/>
    <w:rsid w:val="009054E6"/>
    <w:rsid w:val="00977CE9"/>
    <w:rsid w:val="009C1974"/>
    <w:rsid w:val="00A055AB"/>
    <w:rsid w:val="00B92294"/>
    <w:rsid w:val="00BB68E9"/>
    <w:rsid w:val="00BC0E24"/>
    <w:rsid w:val="00C32A99"/>
    <w:rsid w:val="00C56EB9"/>
    <w:rsid w:val="00D07461"/>
    <w:rsid w:val="00D8020C"/>
    <w:rsid w:val="00DB1837"/>
    <w:rsid w:val="00E46482"/>
    <w:rsid w:val="00E5422F"/>
    <w:rsid w:val="00EA33EB"/>
    <w:rsid w:val="00ED364F"/>
    <w:rsid w:val="00F40276"/>
    <w:rsid w:val="00F7472C"/>
    <w:rsid w:val="00FA05DE"/>
    <w:rsid w:val="00FF17B6"/>
    <w:rsid w:val="14D01B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7D47A44"/>
  <w15:chartTrackingRefBased/>
  <w15:docId w15:val="{3239744F-D8E8-42BD-8B8C-B0FEF9AF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137"/>
    <w:rPr>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137"/>
    <w:pPr>
      <w:tabs>
        <w:tab w:val="center" w:pos="4680"/>
        <w:tab w:val="right" w:pos="9360"/>
      </w:tabs>
      <w:spacing w:after="0" w:line="240" w:lineRule="auto"/>
    </w:pPr>
    <w:rPr>
      <w:kern w:val="2"/>
      <w14:ligatures w14:val="standardContextual"/>
    </w:rPr>
  </w:style>
  <w:style w:type="character" w:customStyle="1" w:styleId="HeaderChar">
    <w:name w:val="Header Char"/>
    <w:basedOn w:val="DefaultParagraphFont"/>
    <w:link w:val="Header"/>
    <w:uiPriority w:val="99"/>
    <w:rsid w:val="000B1137"/>
    <w:rPr>
      <w:lang w:val="en-GB"/>
    </w:rPr>
  </w:style>
  <w:style w:type="paragraph" w:styleId="Footer">
    <w:name w:val="footer"/>
    <w:basedOn w:val="Normal"/>
    <w:link w:val="FooterChar"/>
    <w:uiPriority w:val="99"/>
    <w:unhideWhenUsed/>
    <w:rsid w:val="000B1137"/>
    <w:pPr>
      <w:tabs>
        <w:tab w:val="center" w:pos="4680"/>
        <w:tab w:val="right" w:pos="9360"/>
      </w:tabs>
      <w:spacing w:after="0" w:line="240" w:lineRule="auto"/>
    </w:pPr>
    <w:rPr>
      <w:kern w:val="2"/>
      <w14:ligatures w14:val="standardContextual"/>
    </w:rPr>
  </w:style>
  <w:style w:type="character" w:customStyle="1" w:styleId="FooterChar">
    <w:name w:val="Footer Char"/>
    <w:basedOn w:val="DefaultParagraphFont"/>
    <w:link w:val="Footer"/>
    <w:uiPriority w:val="99"/>
    <w:rsid w:val="000B1137"/>
    <w:rPr>
      <w:lang w:val="en-GB"/>
    </w:rPr>
  </w:style>
  <w:style w:type="paragraph" w:customStyle="1" w:styleId="Default">
    <w:name w:val="Default"/>
    <w:rsid w:val="000B1137"/>
    <w:pPr>
      <w:autoSpaceDE w:val="0"/>
      <w:autoSpaceDN w:val="0"/>
      <w:adjustRightInd w:val="0"/>
      <w:spacing w:after="0" w:line="240" w:lineRule="auto"/>
    </w:pPr>
    <w:rPr>
      <w:rFonts w:ascii="Verdana" w:hAnsi="Verdana" w:cs="Verdana"/>
      <w:color w:val="000000"/>
      <w:kern w:val="0"/>
      <w:sz w:val="24"/>
      <w:szCs w:val="24"/>
      <w14:ligatures w14:val="none"/>
    </w:rPr>
  </w:style>
  <w:style w:type="paragraph" w:styleId="Revision">
    <w:name w:val="Revision"/>
    <w:hidden/>
    <w:uiPriority w:val="99"/>
    <w:semiHidden/>
    <w:rsid w:val="008C2205"/>
    <w:pPr>
      <w:spacing w:after="0" w:line="240" w:lineRule="auto"/>
    </w:pPr>
    <w:rPr>
      <w:kern w:val="0"/>
      <w:lang w:val="en-GB"/>
      <w14:ligatures w14:val="none"/>
    </w:rPr>
  </w:style>
  <w:style w:type="paragraph" w:styleId="ListParagraph">
    <w:name w:val="List Paragraph"/>
    <w:basedOn w:val="Normal"/>
    <w:uiPriority w:val="34"/>
    <w:qFormat/>
    <w:rsid w:val="007074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0A607-297E-41BF-88B7-77B4C1D8767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D5F423A-C47D-47B7-AE29-1F1196D60246}">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3.xml><?xml version="1.0" encoding="utf-8"?>
<ds:datastoreItem xmlns:ds="http://schemas.openxmlformats.org/officeDocument/2006/customXml" ds:itemID="{5D6CB478-E68D-4B1E-9C0D-5895963F8CF4}">
  <ds:schemaRefs>
    <ds:schemaRef ds:uri="http://schemas.microsoft.com/sharepoint/v3/contenttype/forms"/>
  </ds:schemaRefs>
</ds:datastoreItem>
</file>

<file path=customXml/itemProps4.xml><?xml version="1.0" encoding="utf-8"?>
<ds:datastoreItem xmlns:ds="http://schemas.openxmlformats.org/officeDocument/2006/customXml" ds:itemID="{EEDD6743-9E48-47C1-BB05-F8846C1BB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831e6d9-dc6c-4cd1-9ec6-1dc2b4133195}" enabled="0" method="" siteId="{7831e6d9-dc6c-4cd1-9ec6-1dc2b413319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1237</Words>
  <Characters>7052</Characters>
  <Application>Microsoft Office Word</Application>
  <DocSecurity>0</DocSecurity>
  <Lines>58</Lines>
  <Paragraphs>16</Paragraphs>
  <ScaleCrop>false</ScaleCrop>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Boyle</dc:creator>
  <cp:keywords/>
  <dc:description/>
  <cp:lastModifiedBy>Callum Watson</cp:lastModifiedBy>
  <cp:revision>3</cp:revision>
  <dcterms:created xsi:type="dcterms:W3CDTF">2024-10-01T13:41:00Z</dcterms:created>
  <dcterms:modified xsi:type="dcterms:W3CDTF">2024-10-01T13:41:00Z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10fe9d78-be08-4766-a3ed-f5127eb82d51</vt:lpwstr>
  </property>
  <property fmtid="{D5CDD505-2E9C-101B-9397-08002B2CF9AE}" pid="3" name="bjSaver">
    <vt:lpwstr>DYGbufUh1R1c0zdHXXLC7ryE+gY1y7gQ</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0x010100B897A04BE4877B48AEC8623F331C2D9E</vt:lpwstr>
  </property>
  <property fmtid="{D5CDD505-2E9C-101B-9397-08002B2CF9AE}" pid="7" name="ClassificationContentMarkingFooterShapeIds">
    <vt:lpwstr>500eb92d,6f307acb,7851feb2</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2024-10-01T13:41:04Z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c9cf87fb-171a-499c-808a-16fe167e6272</vt:lpwstr>
  </property>
  <property fmtid="{D5CDD505-2E9C-101B-9397-08002B2CF9AE}" pid="16" name="MSIP_Label_38144ccb-b10a-4c0f-b070-7a3b00ac7463_ContentBits">
    <vt:lpwstr>2</vt:lpwstr>
  </property>
  <property fmtid="{D5CDD505-2E9C-101B-9397-08002B2CF9AE}" pid="17" name="MediaServiceImageTags">
    <vt:lpwstr/>
  </property>
</Properties>
</file>