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9D8C2E" w14:textId="294FD7B7" w:rsidR="00B625FB" w:rsidRPr="00FC1656" w:rsidRDefault="00B625FB">
      <w:pPr>
        <w:rPr>
          <w:rFonts w:cs="Calibri"/>
          <w:b/>
          <w:bCs/>
          <w:sz w:val="22"/>
          <w:szCs w:val="22"/>
        </w:rPr>
      </w:pPr>
      <w:r w:rsidRPr="00FC1656">
        <w:rPr>
          <w:rFonts w:cs="Calibri"/>
          <w:b/>
          <w:bCs/>
          <w:sz w:val="22"/>
          <w:szCs w:val="22"/>
        </w:rPr>
        <w:t>RESP Consultation Responses</w:t>
      </w:r>
    </w:p>
    <w:p w14:paraId="4F2484D4" w14:textId="77777777" w:rsidR="00155D4D" w:rsidRPr="00FC1656" w:rsidRDefault="00155D4D" w:rsidP="00173208">
      <w:pPr>
        <w:jc w:val="both"/>
        <w:rPr>
          <w:rFonts w:cs="Calibri"/>
          <w:b/>
          <w:bCs/>
          <w:sz w:val="22"/>
          <w:szCs w:val="22"/>
        </w:rPr>
      </w:pPr>
      <w:r w:rsidRPr="00FC1656">
        <w:rPr>
          <w:rFonts w:cs="Calibri"/>
          <w:b/>
          <w:bCs/>
          <w:sz w:val="22"/>
          <w:szCs w:val="22"/>
        </w:rPr>
        <w:t>Q1. What are your views on the principles (in paragraph 2.8) to guide NESO’s approach to developing the RESP methodology? Please provide your reasoning.</w:t>
      </w:r>
    </w:p>
    <w:p w14:paraId="74C93886" w14:textId="18A39DD4" w:rsidR="00A9590A" w:rsidRPr="00FC1656" w:rsidRDefault="00A9590A" w:rsidP="00173208">
      <w:pPr>
        <w:jc w:val="both"/>
        <w:rPr>
          <w:rFonts w:cs="Calibri"/>
          <w:sz w:val="22"/>
          <w:szCs w:val="22"/>
        </w:rPr>
      </w:pPr>
      <w:r w:rsidRPr="00FC1656">
        <w:rPr>
          <w:rFonts w:cs="Calibri"/>
          <w:sz w:val="22"/>
          <w:szCs w:val="22"/>
        </w:rPr>
        <w:t>The Kent &amp; Medway Economic Partnership (KMEP) supports the principles guiding the NESO’s approach</w:t>
      </w:r>
      <w:r w:rsidR="00125AA8" w:rsidRPr="00FC1656">
        <w:rPr>
          <w:rFonts w:cs="Calibri"/>
          <w:sz w:val="22"/>
          <w:szCs w:val="22"/>
        </w:rPr>
        <w:t>, especially that a place-based</w:t>
      </w:r>
      <w:r w:rsidR="00842714" w:rsidRPr="00FC1656">
        <w:rPr>
          <w:rFonts w:cs="Calibri"/>
          <w:sz w:val="22"/>
          <w:szCs w:val="22"/>
        </w:rPr>
        <w:t>, whole-system, multi-vector</w:t>
      </w:r>
      <w:r w:rsidR="00125AA8" w:rsidRPr="00FC1656">
        <w:rPr>
          <w:rFonts w:cs="Calibri"/>
          <w:sz w:val="22"/>
          <w:szCs w:val="22"/>
        </w:rPr>
        <w:t xml:space="preserve"> approach is required.</w:t>
      </w:r>
    </w:p>
    <w:p w14:paraId="6CEDC080" w14:textId="7E239FC4" w:rsidR="00A9590A" w:rsidRPr="00FC1656" w:rsidRDefault="00A9590A" w:rsidP="00173208">
      <w:pPr>
        <w:jc w:val="both"/>
        <w:rPr>
          <w:rFonts w:cs="Calibri"/>
          <w:sz w:val="22"/>
          <w:szCs w:val="22"/>
        </w:rPr>
      </w:pPr>
      <w:r w:rsidRPr="00FC1656">
        <w:rPr>
          <w:rFonts w:cs="Calibri"/>
          <w:sz w:val="22"/>
          <w:szCs w:val="22"/>
        </w:rPr>
        <w:t>KMEP brings together businesses, local authorities (unitary, county and district authorities), universities, and further education colleges, to drive forward economic growth across Kent and Medway.</w:t>
      </w:r>
    </w:p>
    <w:p w14:paraId="1C6DE27C" w14:textId="2E6D3E3D" w:rsidR="00A9590A" w:rsidRPr="00FC1656" w:rsidRDefault="00A9590A" w:rsidP="00173208">
      <w:pPr>
        <w:jc w:val="both"/>
        <w:rPr>
          <w:rFonts w:cs="Calibri"/>
          <w:sz w:val="22"/>
          <w:szCs w:val="22"/>
        </w:rPr>
      </w:pPr>
      <w:r w:rsidRPr="00FC1656">
        <w:rPr>
          <w:rFonts w:cs="Calibri"/>
          <w:sz w:val="22"/>
          <w:szCs w:val="22"/>
        </w:rPr>
        <w:t>The supply of energy has frequently been cited by businesses as an inhibitor to growth – Businesses wish to submit planning applications, but</w:t>
      </w:r>
      <w:r w:rsidR="00125AA8" w:rsidRPr="00FC1656">
        <w:rPr>
          <w:rFonts w:cs="Calibri"/>
          <w:sz w:val="22"/>
          <w:szCs w:val="22"/>
        </w:rPr>
        <w:t>, having spoken to UKPN, they come to realise that they will not be able to get a grid connection within their preferred timescale</w:t>
      </w:r>
      <w:r w:rsidRPr="00FC1656">
        <w:rPr>
          <w:rFonts w:cs="Calibri"/>
          <w:sz w:val="22"/>
          <w:szCs w:val="22"/>
        </w:rPr>
        <w:t>. Another inhibitor to growth for businesses has been</w:t>
      </w:r>
      <w:r w:rsidR="00125AA8" w:rsidRPr="00FC1656">
        <w:rPr>
          <w:rFonts w:cs="Calibri"/>
          <w:sz w:val="22"/>
          <w:szCs w:val="22"/>
        </w:rPr>
        <w:t xml:space="preserve"> their lack of</w:t>
      </w:r>
      <w:r w:rsidRPr="00FC1656">
        <w:rPr>
          <w:rFonts w:cs="Calibri"/>
          <w:sz w:val="22"/>
          <w:szCs w:val="22"/>
        </w:rPr>
        <w:t xml:space="preserve"> confidence in the future </w:t>
      </w:r>
      <w:r w:rsidR="00125AA8" w:rsidRPr="00FC1656">
        <w:rPr>
          <w:rFonts w:cs="Calibri"/>
          <w:sz w:val="22"/>
          <w:szCs w:val="22"/>
        </w:rPr>
        <w:t>distribution of energy – this has been an acute issue for the transport sector specifically, as businesses weigh up the benefits of electric vehicles or their hydrogen-</w:t>
      </w:r>
      <w:r w:rsidR="00C66E89">
        <w:rPr>
          <w:rFonts w:cs="Calibri"/>
          <w:sz w:val="22"/>
          <w:szCs w:val="22"/>
        </w:rPr>
        <w:t>f</w:t>
      </w:r>
      <w:r w:rsidR="00125AA8" w:rsidRPr="00FC1656">
        <w:rPr>
          <w:rFonts w:cs="Calibri"/>
          <w:sz w:val="22"/>
          <w:szCs w:val="22"/>
        </w:rPr>
        <w:t>uel cell alternatives.</w:t>
      </w:r>
    </w:p>
    <w:p w14:paraId="547C9A6A" w14:textId="73A485D7" w:rsidR="00A9590A" w:rsidRPr="00FC1656" w:rsidRDefault="00125AA8" w:rsidP="00173208">
      <w:pPr>
        <w:jc w:val="both"/>
        <w:rPr>
          <w:rFonts w:cs="Calibri"/>
          <w:sz w:val="22"/>
          <w:szCs w:val="22"/>
        </w:rPr>
      </w:pPr>
      <w:r w:rsidRPr="00FC1656">
        <w:rPr>
          <w:rFonts w:cs="Calibri"/>
          <w:sz w:val="22"/>
          <w:szCs w:val="22"/>
        </w:rPr>
        <w:t xml:space="preserve">Universities around the KMEP table have also wished to engage in the regional energy discussion – with some having been commissioned to examine what future energy hubs can be set up. An inhibitor to their work has been gaining access to the data and networks of UKPN, and getting access to the network of the key stakeholders </w:t>
      </w:r>
      <w:r w:rsidR="00842714" w:rsidRPr="00FC1656">
        <w:rPr>
          <w:rFonts w:cs="Calibri"/>
          <w:sz w:val="22"/>
          <w:szCs w:val="22"/>
        </w:rPr>
        <w:t>employed by</w:t>
      </w:r>
      <w:r w:rsidRPr="00FC1656">
        <w:rPr>
          <w:rFonts w:cs="Calibri"/>
          <w:sz w:val="22"/>
          <w:szCs w:val="22"/>
        </w:rPr>
        <w:t xml:space="preserve"> the national energy organisations.</w:t>
      </w:r>
    </w:p>
    <w:p w14:paraId="6643481D" w14:textId="16E1CF18" w:rsidR="00842714" w:rsidRPr="00FC1656" w:rsidRDefault="00125AA8" w:rsidP="00842714">
      <w:pPr>
        <w:jc w:val="both"/>
        <w:rPr>
          <w:rFonts w:cs="Calibri"/>
          <w:sz w:val="22"/>
          <w:szCs w:val="22"/>
        </w:rPr>
      </w:pPr>
      <w:r w:rsidRPr="00FC1656">
        <w:rPr>
          <w:rFonts w:cs="Calibri"/>
          <w:sz w:val="22"/>
          <w:szCs w:val="22"/>
        </w:rPr>
        <w:t>Local authorities on a county, district and unitary level, have greatly assisted local businesses</w:t>
      </w:r>
      <w:r w:rsidR="005B2949" w:rsidRPr="00FC1656">
        <w:rPr>
          <w:rFonts w:cs="Calibri"/>
          <w:sz w:val="22"/>
          <w:szCs w:val="22"/>
        </w:rPr>
        <w:t xml:space="preserve"> and universities</w:t>
      </w:r>
      <w:r w:rsidRPr="00FC1656">
        <w:rPr>
          <w:rFonts w:cs="Calibri"/>
          <w:sz w:val="22"/>
          <w:szCs w:val="22"/>
        </w:rPr>
        <w:t xml:space="preserve"> with their energy queries</w:t>
      </w:r>
      <w:r w:rsidR="00842714" w:rsidRPr="00FC1656">
        <w:rPr>
          <w:rFonts w:cs="Calibri"/>
          <w:sz w:val="22"/>
          <w:szCs w:val="22"/>
        </w:rPr>
        <w:t xml:space="preserve">, </w:t>
      </w:r>
      <w:r w:rsidRPr="00FC1656">
        <w:rPr>
          <w:rFonts w:cs="Calibri"/>
          <w:sz w:val="22"/>
          <w:szCs w:val="22"/>
        </w:rPr>
        <w:t xml:space="preserve">and have supported KMEP with expert knowledge in the energy field.  </w:t>
      </w:r>
      <w:r w:rsidR="00842714" w:rsidRPr="00FC1656">
        <w:rPr>
          <w:rFonts w:cs="Calibri"/>
          <w:sz w:val="22"/>
          <w:szCs w:val="22"/>
        </w:rPr>
        <w:t xml:space="preserve">They </w:t>
      </w:r>
      <w:r w:rsidRPr="00FC1656">
        <w:rPr>
          <w:rFonts w:cs="Calibri"/>
          <w:sz w:val="22"/>
          <w:szCs w:val="22"/>
        </w:rPr>
        <w:t xml:space="preserve">are central to the energy </w:t>
      </w:r>
      <w:r w:rsidR="00842714" w:rsidRPr="00FC1656">
        <w:rPr>
          <w:rFonts w:cs="Calibri"/>
          <w:sz w:val="22"/>
          <w:szCs w:val="22"/>
        </w:rPr>
        <w:t>agenda</w:t>
      </w:r>
      <w:r w:rsidRPr="00FC1656">
        <w:rPr>
          <w:rFonts w:cs="Calibri"/>
          <w:sz w:val="22"/>
          <w:szCs w:val="22"/>
        </w:rPr>
        <w:t>, and have significant expertise in providing regional strategic services.</w:t>
      </w:r>
      <w:r w:rsidR="00842714" w:rsidRPr="00FC1656">
        <w:rPr>
          <w:rFonts w:cs="Calibri"/>
          <w:sz w:val="22"/>
          <w:szCs w:val="22"/>
        </w:rPr>
        <w:t xml:space="preserve"> However, it is clear that the current level of engagement from the network companies with our local authority partners has been less than KMEP would desire.</w:t>
      </w:r>
    </w:p>
    <w:p w14:paraId="6DD2E23D" w14:textId="6727C98F" w:rsidR="00EE2A37" w:rsidRPr="00FC1656" w:rsidRDefault="00842714" w:rsidP="00EE2A37">
      <w:pPr>
        <w:jc w:val="both"/>
        <w:rPr>
          <w:rFonts w:cs="Calibri"/>
          <w:sz w:val="22"/>
          <w:szCs w:val="22"/>
        </w:rPr>
      </w:pPr>
      <w:r w:rsidRPr="00FC1656">
        <w:rPr>
          <w:rFonts w:cs="Calibri"/>
          <w:sz w:val="22"/>
          <w:szCs w:val="22"/>
        </w:rPr>
        <w:t xml:space="preserve">We know from current UKPN data </w:t>
      </w:r>
      <w:r w:rsidR="005B2949" w:rsidRPr="00FC1656">
        <w:rPr>
          <w:rFonts w:cs="Calibri"/>
          <w:sz w:val="22"/>
          <w:szCs w:val="22"/>
        </w:rPr>
        <w:t xml:space="preserve">that there are </w:t>
      </w:r>
      <w:r w:rsidRPr="00FC1656">
        <w:rPr>
          <w:rFonts w:cs="Calibri"/>
          <w:sz w:val="22"/>
          <w:szCs w:val="22"/>
        </w:rPr>
        <w:t>local areas within Kent and Medway</w:t>
      </w:r>
      <w:r w:rsidR="005B2949" w:rsidRPr="00FC1656">
        <w:rPr>
          <w:rFonts w:cs="Calibri"/>
          <w:sz w:val="22"/>
          <w:szCs w:val="22"/>
        </w:rPr>
        <w:t xml:space="preserve"> which</w:t>
      </w:r>
      <w:r w:rsidRPr="00FC1656">
        <w:rPr>
          <w:rFonts w:cs="Calibri"/>
          <w:sz w:val="22"/>
          <w:szCs w:val="22"/>
        </w:rPr>
        <w:t xml:space="preserve"> currently </w:t>
      </w:r>
      <w:r w:rsidR="005B2949" w:rsidRPr="00FC1656">
        <w:rPr>
          <w:rFonts w:cs="Calibri"/>
          <w:sz w:val="22"/>
          <w:szCs w:val="22"/>
        </w:rPr>
        <w:t>must</w:t>
      </w:r>
      <w:r w:rsidRPr="00FC1656">
        <w:rPr>
          <w:rFonts w:cs="Calibri"/>
          <w:sz w:val="22"/>
          <w:szCs w:val="22"/>
        </w:rPr>
        <w:t xml:space="preserve"> import in energy from other areas, as demand is outstripping supply. However, we are not sighted on what the situation will look like in future years. </w:t>
      </w:r>
      <w:r w:rsidR="00EE2A37" w:rsidRPr="00FC1656">
        <w:rPr>
          <w:rFonts w:cs="Calibri"/>
          <w:sz w:val="22"/>
          <w:szCs w:val="22"/>
        </w:rPr>
        <w:t xml:space="preserve">Will there be sufficient energy? We are not sure. </w:t>
      </w:r>
      <w:r w:rsidRPr="00FC1656">
        <w:rPr>
          <w:rFonts w:cs="Calibri"/>
          <w:sz w:val="22"/>
          <w:szCs w:val="22"/>
        </w:rPr>
        <w:t>We know that significant changes are on the horizon (such as the electrification of Roll-on Roll-Off ferries at the Port of Dover – the busiest Roll-On Roll-Off Port in the world)</w:t>
      </w:r>
      <w:r w:rsidR="00EE2A37" w:rsidRPr="00FC1656">
        <w:rPr>
          <w:rFonts w:cs="Calibri"/>
          <w:sz w:val="22"/>
          <w:szCs w:val="22"/>
        </w:rPr>
        <w:t>, and we are concerned that the infrastructure needs to be invested in now, in order for these plans to be fulfilled in a few years’ time. A Regional Energy Strategic Plan is therefore essential and timely.</w:t>
      </w:r>
    </w:p>
    <w:p w14:paraId="427CBEB8" w14:textId="1E9361D5" w:rsidR="00472454" w:rsidRPr="00FC1656" w:rsidRDefault="00842714" w:rsidP="00EE2A37">
      <w:pPr>
        <w:jc w:val="both"/>
        <w:rPr>
          <w:rFonts w:cs="Calibri"/>
          <w:sz w:val="22"/>
          <w:szCs w:val="22"/>
        </w:rPr>
      </w:pPr>
      <w:r w:rsidRPr="00FC1656">
        <w:rPr>
          <w:rFonts w:cs="Calibri"/>
          <w:sz w:val="22"/>
          <w:szCs w:val="22"/>
        </w:rPr>
        <w:t>Adopting the place-based, whole-system, multi-vector approach – which allows much greater coordination and collaboration between local governments, central government, network companies, and place-based partnerships (such as KMEP) – would be a significantly advantageous step forward in our opinion.</w:t>
      </w:r>
      <w:r w:rsidR="00EE2A37" w:rsidRPr="00FC1656">
        <w:rPr>
          <w:rFonts w:cs="Calibri"/>
          <w:sz w:val="22"/>
          <w:szCs w:val="22"/>
        </w:rPr>
        <w:t xml:space="preserve"> </w:t>
      </w:r>
      <w:r w:rsidR="005A56A6" w:rsidRPr="00FC1656">
        <w:rPr>
          <w:rFonts w:cs="Calibri"/>
          <w:sz w:val="22"/>
          <w:szCs w:val="22"/>
        </w:rPr>
        <w:t>Ofgem</w:t>
      </w:r>
      <w:r w:rsidRPr="00FC1656">
        <w:rPr>
          <w:rFonts w:cs="Calibri"/>
          <w:sz w:val="22"/>
          <w:szCs w:val="22"/>
        </w:rPr>
        <w:t xml:space="preserve">’s approach that </w:t>
      </w:r>
      <w:r w:rsidR="005A56A6" w:rsidRPr="00FC1656">
        <w:rPr>
          <w:rFonts w:cs="Calibri"/>
          <w:sz w:val="22"/>
          <w:szCs w:val="22"/>
        </w:rPr>
        <w:t xml:space="preserve">local authorities </w:t>
      </w:r>
      <w:r w:rsidR="00C91030" w:rsidRPr="00FC1656">
        <w:rPr>
          <w:rFonts w:cs="Calibri"/>
          <w:sz w:val="22"/>
          <w:szCs w:val="22"/>
        </w:rPr>
        <w:t>must play in regional energy planning</w:t>
      </w:r>
      <w:r w:rsidRPr="00FC1656">
        <w:rPr>
          <w:rFonts w:cs="Calibri"/>
          <w:sz w:val="22"/>
          <w:szCs w:val="22"/>
        </w:rPr>
        <w:t xml:space="preserve"> is much welcomed.</w:t>
      </w:r>
    </w:p>
    <w:p w14:paraId="4E077825" w14:textId="77777777" w:rsidR="00155D4D" w:rsidRPr="00FC1656" w:rsidRDefault="00155D4D" w:rsidP="00C30A67">
      <w:pPr>
        <w:jc w:val="both"/>
        <w:rPr>
          <w:rFonts w:cs="Calibri"/>
          <w:b/>
          <w:bCs/>
          <w:sz w:val="22"/>
          <w:szCs w:val="22"/>
        </w:rPr>
      </w:pPr>
      <w:r w:rsidRPr="00FC1656">
        <w:rPr>
          <w:rFonts w:cs="Calibri"/>
          <w:b/>
          <w:bCs/>
          <w:sz w:val="22"/>
          <w:szCs w:val="22"/>
        </w:rPr>
        <w:t xml:space="preserve">Q2. Do you agree that the RESP should include a long-term regional vision, alongside a series of short-term and long-term directive net zero pathways? Please provide your reasoning. </w:t>
      </w:r>
    </w:p>
    <w:p w14:paraId="40F193D0" w14:textId="0EC06B81" w:rsidR="00EE2A37" w:rsidRPr="00FC1656" w:rsidRDefault="00EE2A37" w:rsidP="00EE2A37">
      <w:pPr>
        <w:jc w:val="both"/>
        <w:rPr>
          <w:rFonts w:cs="Calibri"/>
          <w:sz w:val="22"/>
          <w:szCs w:val="22"/>
        </w:rPr>
      </w:pPr>
      <w:r w:rsidRPr="00FC1656">
        <w:rPr>
          <w:rFonts w:cs="Calibri"/>
          <w:sz w:val="22"/>
          <w:szCs w:val="22"/>
        </w:rPr>
        <w:t>KMEP agrees that a long-term regional vision is adopted, which is agreed upon collectively by key stakeholders across the region (such as the local authorities). Given the fast-paced nature of technological change, particularly in the energy sector, it feels appropriate that there are short-term pathways, and that these pathways are reviewed, at least every 5 years.</w:t>
      </w:r>
    </w:p>
    <w:p w14:paraId="0F9912F0" w14:textId="77777777" w:rsidR="00155D4D" w:rsidRPr="00FC1656" w:rsidRDefault="00155D4D" w:rsidP="00F017F2">
      <w:pPr>
        <w:jc w:val="both"/>
        <w:rPr>
          <w:rFonts w:cs="Calibri"/>
          <w:b/>
          <w:bCs/>
          <w:sz w:val="22"/>
          <w:szCs w:val="22"/>
        </w:rPr>
      </w:pPr>
      <w:r w:rsidRPr="00FC1656">
        <w:rPr>
          <w:rFonts w:cs="Calibri"/>
          <w:b/>
          <w:bCs/>
          <w:sz w:val="22"/>
          <w:szCs w:val="22"/>
        </w:rPr>
        <w:t>Q3. Do you agree there should be an annual data refresh with a full RESP update every three years? Please provide your reasoning.</w:t>
      </w:r>
    </w:p>
    <w:p w14:paraId="565682D4" w14:textId="77777777" w:rsidR="00EE2A37" w:rsidRPr="00FC1656" w:rsidRDefault="00EE2A37" w:rsidP="00F017F2">
      <w:pPr>
        <w:jc w:val="both"/>
        <w:rPr>
          <w:rFonts w:cs="Calibri"/>
          <w:sz w:val="22"/>
          <w:szCs w:val="22"/>
        </w:rPr>
      </w:pPr>
      <w:r w:rsidRPr="00FC1656">
        <w:rPr>
          <w:rFonts w:cs="Calibri"/>
          <w:sz w:val="22"/>
          <w:szCs w:val="22"/>
        </w:rPr>
        <w:t>KMEP agrees that there should be</w:t>
      </w:r>
      <w:r w:rsidR="00B16826" w:rsidRPr="00FC1656">
        <w:rPr>
          <w:rFonts w:cs="Calibri"/>
          <w:sz w:val="22"/>
          <w:szCs w:val="22"/>
        </w:rPr>
        <w:t xml:space="preserve"> an annual data refresh</w:t>
      </w:r>
      <w:r w:rsidR="00D53EF2" w:rsidRPr="00FC1656">
        <w:rPr>
          <w:rFonts w:cs="Calibri"/>
          <w:sz w:val="22"/>
          <w:szCs w:val="22"/>
        </w:rPr>
        <w:t xml:space="preserve">. </w:t>
      </w:r>
      <w:r w:rsidRPr="00FC1656">
        <w:rPr>
          <w:rFonts w:cs="Calibri"/>
          <w:sz w:val="22"/>
          <w:szCs w:val="22"/>
        </w:rPr>
        <w:t>Reasons for this include:</w:t>
      </w:r>
    </w:p>
    <w:p w14:paraId="4428A006" w14:textId="7747C322" w:rsidR="00EE2A37" w:rsidRPr="00FC1656" w:rsidRDefault="00EE2A37" w:rsidP="00EE2A37">
      <w:pPr>
        <w:pStyle w:val="ListParagraph"/>
        <w:numPr>
          <w:ilvl w:val="0"/>
          <w:numId w:val="2"/>
        </w:numPr>
        <w:jc w:val="both"/>
        <w:rPr>
          <w:rFonts w:cs="Calibri"/>
          <w:sz w:val="22"/>
          <w:szCs w:val="22"/>
        </w:rPr>
      </w:pPr>
      <w:r w:rsidRPr="00FC1656">
        <w:rPr>
          <w:rFonts w:cs="Calibri"/>
          <w:i/>
          <w:iCs/>
          <w:sz w:val="22"/>
          <w:szCs w:val="22"/>
        </w:rPr>
        <w:t>The rapid change in energy usage.</w:t>
      </w:r>
      <w:r w:rsidRPr="00FC1656">
        <w:rPr>
          <w:rFonts w:cs="Calibri"/>
          <w:sz w:val="22"/>
          <w:szCs w:val="22"/>
        </w:rPr>
        <w:t xml:space="preserve"> </w:t>
      </w:r>
      <w:r w:rsidR="00F30D1C" w:rsidRPr="00FC1656">
        <w:rPr>
          <w:rFonts w:cs="Calibri"/>
          <w:sz w:val="22"/>
          <w:szCs w:val="22"/>
        </w:rPr>
        <w:t>For example, w</w:t>
      </w:r>
      <w:r w:rsidRPr="00FC1656">
        <w:rPr>
          <w:rFonts w:cs="Calibri"/>
          <w:sz w:val="22"/>
          <w:szCs w:val="22"/>
        </w:rPr>
        <w:t xml:space="preserve">e have already seen </w:t>
      </w:r>
      <w:r w:rsidR="005B2949" w:rsidRPr="00FC1656">
        <w:rPr>
          <w:rFonts w:cs="Calibri"/>
          <w:sz w:val="22"/>
          <w:szCs w:val="22"/>
        </w:rPr>
        <w:t xml:space="preserve">one </w:t>
      </w:r>
      <w:r w:rsidRPr="00FC1656">
        <w:rPr>
          <w:rFonts w:cs="Calibri"/>
          <w:sz w:val="22"/>
          <w:szCs w:val="22"/>
        </w:rPr>
        <w:t xml:space="preserve">data centre established in Kent and Medway, and there are </w:t>
      </w:r>
      <w:r w:rsidR="005B2949" w:rsidRPr="00FC1656">
        <w:rPr>
          <w:rFonts w:cs="Calibri"/>
          <w:sz w:val="22"/>
          <w:szCs w:val="22"/>
        </w:rPr>
        <w:t xml:space="preserve">other </w:t>
      </w:r>
      <w:r w:rsidR="00F30D1C" w:rsidRPr="00FC1656">
        <w:rPr>
          <w:rFonts w:cs="Calibri"/>
          <w:sz w:val="22"/>
          <w:szCs w:val="22"/>
        </w:rPr>
        <w:t>proposals for more data centres to be built, which would dramatically increase the call for electricity in the region.</w:t>
      </w:r>
    </w:p>
    <w:p w14:paraId="1B5FB926" w14:textId="77777777" w:rsidR="00F30D1C" w:rsidRPr="00FC1656" w:rsidRDefault="00F30D1C" w:rsidP="00F30D1C">
      <w:pPr>
        <w:pStyle w:val="ListParagraph"/>
        <w:jc w:val="both"/>
        <w:rPr>
          <w:rFonts w:cs="Calibri"/>
          <w:sz w:val="22"/>
          <w:szCs w:val="22"/>
        </w:rPr>
      </w:pPr>
    </w:p>
    <w:p w14:paraId="479D4543" w14:textId="6061AE10" w:rsidR="00F30D1C" w:rsidRPr="00FC1656" w:rsidRDefault="00F30D1C" w:rsidP="00F30D1C">
      <w:pPr>
        <w:pStyle w:val="ListParagraph"/>
        <w:numPr>
          <w:ilvl w:val="0"/>
          <w:numId w:val="2"/>
        </w:numPr>
        <w:jc w:val="both"/>
        <w:rPr>
          <w:rFonts w:cstheme="minorHAnsi"/>
          <w:sz w:val="22"/>
          <w:szCs w:val="22"/>
        </w:rPr>
      </w:pPr>
      <w:r w:rsidRPr="00FC1656">
        <w:rPr>
          <w:rFonts w:cs="Calibri"/>
          <w:i/>
          <w:iCs/>
          <w:sz w:val="22"/>
          <w:szCs w:val="22"/>
        </w:rPr>
        <w:t>Population growth.</w:t>
      </w:r>
      <w:r w:rsidRPr="00FC1656">
        <w:rPr>
          <w:rFonts w:cs="Calibri"/>
          <w:sz w:val="22"/>
          <w:szCs w:val="22"/>
        </w:rPr>
        <w:t xml:space="preserve"> There are numerous garden villages and towns being built or currently going through planning</w:t>
      </w:r>
      <w:r w:rsidR="005B2949" w:rsidRPr="00FC1656">
        <w:rPr>
          <w:rFonts w:cs="Calibri"/>
          <w:sz w:val="22"/>
          <w:szCs w:val="22"/>
        </w:rPr>
        <w:t xml:space="preserve"> – these include</w:t>
      </w:r>
      <w:r w:rsidRPr="00FC1656">
        <w:rPr>
          <w:rFonts w:cs="Calibri"/>
          <w:sz w:val="22"/>
          <w:szCs w:val="22"/>
        </w:rPr>
        <w:t xml:space="preserve">: 5,750 homes at </w:t>
      </w:r>
      <w:proofErr w:type="spellStart"/>
      <w:r w:rsidRPr="00FC1656">
        <w:rPr>
          <w:rFonts w:cstheme="minorHAnsi"/>
          <w:sz w:val="22"/>
          <w:szCs w:val="22"/>
        </w:rPr>
        <w:t>Chilmington</w:t>
      </w:r>
      <w:proofErr w:type="spellEnd"/>
      <w:r w:rsidRPr="00FC1656">
        <w:rPr>
          <w:rFonts w:cstheme="minorHAnsi"/>
          <w:sz w:val="22"/>
          <w:szCs w:val="22"/>
        </w:rPr>
        <w:t xml:space="preserve"> Green (Ashford); 2,500 homes at Duchy of Cornwall’s South East Faversham estate (Swale); 15,000 homes at Ebbsfleet Garden City, 5,000 homes at Heathlands (Maidstone); 2,000 homes at </w:t>
      </w:r>
      <w:proofErr w:type="spellStart"/>
      <w:r w:rsidRPr="00FC1656">
        <w:rPr>
          <w:rFonts w:cstheme="minorHAnsi"/>
          <w:sz w:val="22"/>
          <w:szCs w:val="22"/>
        </w:rPr>
        <w:t>Lidsing</w:t>
      </w:r>
      <w:proofErr w:type="spellEnd"/>
      <w:r w:rsidRPr="00FC1656">
        <w:rPr>
          <w:rFonts w:cstheme="minorHAnsi"/>
          <w:sz w:val="22"/>
          <w:szCs w:val="22"/>
        </w:rPr>
        <w:t xml:space="preserve"> (Maidstone); 1,300 homes at Invicta Barracks (Maidstone); 8,400 homes at </w:t>
      </w:r>
      <w:proofErr w:type="spellStart"/>
      <w:r w:rsidRPr="00FC1656">
        <w:rPr>
          <w:rFonts w:cstheme="minorHAnsi"/>
          <w:sz w:val="22"/>
          <w:szCs w:val="22"/>
        </w:rPr>
        <w:t>Highsted</w:t>
      </w:r>
      <w:proofErr w:type="spellEnd"/>
      <w:r w:rsidRPr="00FC1656">
        <w:rPr>
          <w:rFonts w:cstheme="minorHAnsi"/>
          <w:sz w:val="22"/>
          <w:szCs w:val="22"/>
        </w:rPr>
        <w:t xml:space="preserve"> Park (Swale); 8.500 homes at </w:t>
      </w:r>
      <w:proofErr w:type="spellStart"/>
      <w:r w:rsidRPr="00FC1656">
        <w:rPr>
          <w:rFonts w:cstheme="minorHAnsi"/>
          <w:sz w:val="22"/>
          <w:szCs w:val="22"/>
        </w:rPr>
        <w:t>Otterpool</w:t>
      </w:r>
      <w:proofErr w:type="spellEnd"/>
      <w:r w:rsidRPr="00FC1656">
        <w:rPr>
          <w:rFonts w:cstheme="minorHAnsi"/>
          <w:sz w:val="22"/>
          <w:szCs w:val="22"/>
        </w:rPr>
        <w:t>; 4,000 homes at Mountfield Park (Canterbury); 1,600 homes at Winterbourne Fields (Swale); and 2,500 homes at Bobbing (Swale).</w:t>
      </w:r>
      <w:r w:rsidR="005B2949" w:rsidRPr="00FC1656">
        <w:rPr>
          <w:rFonts w:cstheme="minorHAnsi"/>
          <w:sz w:val="22"/>
          <w:szCs w:val="22"/>
        </w:rPr>
        <w:t xml:space="preserve"> Further housing developments are expected to meet the Government’s house building targets. </w:t>
      </w:r>
    </w:p>
    <w:p w14:paraId="64172F66" w14:textId="77777777" w:rsidR="00F30D1C" w:rsidRPr="00FC1656" w:rsidRDefault="00F30D1C" w:rsidP="00F30D1C">
      <w:pPr>
        <w:pStyle w:val="ListParagraph"/>
        <w:rPr>
          <w:rFonts w:cstheme="minorHAnsi"/>
          <w:sz w:val="22"/>
          <w:szCs w:val="22"/>
        </w:rPr>
      </w:pPr>
    </w:p>
    <w:p w14:paraId="4D30CC37" w14:textId="12B14105" w:rsidR="00F30D1C" w:rsidRPr="00FC1656" w:rsidRDefault="00F30D1C" w:rsidP="00F30D1C">
      <w:pPr>
        <w:pStyle w:val="ListParagraph"/>
        <w:numPr>
          <w:ilvl w:val="0"/>
          <w:numId w:val="2"/>
        </w:numPr>
        <w:jc w:val="both"/>
        <w:rPr>
          <w:rFonts w:cstheme="minorHAnsi"/>
          <w:sz w:val="22"/>
          <w:szCs w:val="22"/>
        </w:rPr>
      </w:pPr>
      <w:r w:rsidRPr="00FC1656">
        <w:rPr>
          <w:rFonts w:cstheme="minorHAnsi"/>
          <w:i/>
          <w:iCs/>
          <w:sz w:val="22"/>
          <w:szCs w:val="22"/>
        </w:rPr>
        <w:t xml:space="preserve">The need </w:t>
      </w:r>
      <w:r w:rsidR="005B2949" w:rsidRPr="00FC1656">
        <w:rPr>
          <w:rFonts w:cstheme="minorHAnsi"/>
          <w:i/>
          <w:iCs/>
          <w:sz w:val="22"/>
          <w:szCs w:val="22"/>
        </w:rPr>
        <w:t>to ensure that businesses can have confidence that energy will be available</w:t>
      </w:r>
      <w:r w:rsidR="005B2949" w:rsidRPr="00FC1656">
        <w:rPr>
          <w:rFonts w:cstheme="minorHAnsi"/>
          <w:sz w:val="22"/>
          <w:szCs w:val="22"/>
        </w:rPr>
        <w:t>. Businesses need to be confident before they’ll invest in growth plans – whether that be their plans to expand existing facilities, relocate to an area, or innovate and change the way they work by adopting new technology. Insufficient energy supply has resulted in growth plans ceasing in the past.</w:t>
      </w:r>
      <w:r w:rsidR="00CC5039" w:rsidRPr="00FC1656">
        <w:rPr>
          <w:rFonts w:cstheme="minorHAnsi"/>
          <w:sz w:val="22"/>
          <w:szCs w:val="22"/>
        </w:rPr>
        <w:t xml:space="preserve"> Having data available to view will provide businesses with more certain</w:t>
      </w:r>
      <w:r w:rsidR="00C66E89">
        <w:rPr>
          <w:rFonts w:cstheme="minorHAnsi"/>
          <w:sz w:val="22"/>
          <w:szCs w:val="22"/>
        </w:rPr>
        <w:t>t</w:t>
      </w:r>
      <w:r w:rsidR="00CC5039" w:rsidRPr="00FC1656">
        <w:rPr>
          <w:rFonts w:cstheme="minorHAnsi"/>
          <w:sz w:val="22"/>
          <w:szCs w:val="22"/>
        </w:rPr>
        <w:t>y, and could help them invest for the future.</w:t>
      </w:r>
      <w:r w:rsidR="005B2949" w:rsidRPr="00FC1656">
        <w:rPr>
          <w:rFonts w:cstheme="minorHAnsi"/>
          <w:sz w:val="22"/>
          <w:szCs w:val="22"/>
        </w:rPr>
        <w:t xml:space="preserve"> </w:t>
      </w:r>
    </w:p>
    <w:p w14:paraId="7776F9E5" w14:textId="77777777" w:rsidR="00F30D1C" w:rsidRPr="00FC1656" w:rsidRDefault="00F30D1C" w:rsidP="00F30D1C">
      <w:pPr>
        <w:spacing w:after="0" w:line="240" w:lineRule="auto"/>
        <w:jc w:val="both"/>
        <w:rPr>
          <w:rFonts w:cstheme="minorHAnsi"/>
          <w:sz w:val="22"/>
          <w:szCs w:val="22"/>
        </w:rPr>
      </w:pPr>
    </w:p>
    <w:p w14:paraId="2492DFEA" w14:textId="77777777" w:rsidR="00CC5039" w:rsidRPr="00FC1656" w:rsidRDefault="00CC5039" w:rsidP="00CC5039">
      <w:pPr>
        <w:jc w:val="both"/>
        <w:rPr>
          <w:rFonts w:cs="Calibri"/>
          <w:sz w:val="22"/>
          <w:szCs w:val="22"/>
        </w:rPr>
      </w:pPr>
      <w:r w:rsidRPr="00FC1656">
        <w:rPr>
          <w:rFonts w:cs="Calibri"/>
          <w:sz w:val="22"/>
          <w:szCs w:val="22"/>
        </w:rPr>
        <w:t>We know from Kent County Council that l</w:t>
      </w:r>
      <w:r w:rsidR="00BF1660" w:rsidRPr="00FC1656">
        <w:rPr>
          <w:rFonts w:cs="Calibri"/>
          <w:sz w:val="22"/>
          <w:szCs w:val="22"/>
        </w:rPr>
        <w:t>ocal governments currently face significant challenges</w:t>
      </w:r>
      <w:r w:rsidR="008B6186" w:rsidRPr="00FC1656">
        <w:rPr>
          <w:rFonts w:cs="Calibri"/>
          <w:sz w:val="22"/>
          <w:szCs w:val="22"/>
        </w:rPr>
        <w:t xml:space="preserve"> in terms of energy planning</w:t>
      </w:r>
      <w:r w:rsidR="000B7F0B" w:rsidRPr="00FC1656">
        <w:rPr>
          <w:rFonts w:cs="Calibri"/>
          <w:sz w:val="22"/>
          <w:szCs w:val="22"/>
        </w:rPr>
        <w:t xml:space="preserve">, </w:t>
      </w:r>
      <w:r w:rsidR="00F477F9" w:rsidRPr="00FC1656">
        <w:rPr>
          <w:rFonts w:cs="Calibri"/>
          <w:sz w:val="22"/>
          <w:szCs w:val="22"/>
        </w:rPr>
        <w:t>one of which being</w:t>
      </w:r>
      <w:r w:rsidR="00205DD5" w:rsidRPr="00FC1656">
        <w:rPr>
          <w:rFonts w:cs="Calibri"/>
          <w:sz w:val="22"/>
          <w:szCs w:val="22"/>
        </w:rPr>
        <w:t xml:space="preserve"> the lack of </w:t>
      </w:r>
      <w:r w:rsidR="00683791" w:rsidRPr="00FC1656">
        <w:rPr>
          <w:rFonts w:cs="Calibri"/>
          <w:sz w:val="22"/>
          <w:szCs w:val="22"/>
        </w:rPr>
        <w:t>formalised collaboration</w:t>
      </w:r>
      <w:r w:rsidR="004E1F69" w:rsidRPr="00FC1656">
        <w:rPr>
          <w:rFonts w:cs="Calibri"/>
          <w:sz w:val="22"/>
          <w:szCs w:val="22"/>
        </w:rPr>
        <w:t>, data sharing,</w:t>
      </w:r>
      <w:r w:rsidR="00083031" w:rsidRPr="00FC1656">
        <w:rPr>
          <w:rFonts w:cs="Calibri"/>
          <w:sz w:val="22"/>
          <w:szCs w:val="22"/>
        </w:rPr>
        <w:t xml:space="preserve"> and joint work with network operators. </w:t>
      </w:r>
    </w:p>
    <w:p w14:paraId="1A1E0ADE" w14:textId="56FB4878" w:rsidR="00CC5039" w:rsidRPr="00FC1656" w:rsidRDefault="00CC5039" w:rsidP="00CC5039">
      <w:pPr>
        <w:jc w:val="both"/>
        <w:rPr>
          <w:rFonts w:cs="Calibri"/>
          <w:sz w:val="22"/>
          <w:szCs w:val="22"/>
        </w:rPr>
      </w:pPr>
      <w:r w:rsidRPr="00FC1656">
        <w:rPr>
          <w:rFonts w:cs="Calibri"/>
          <w:sz w:val="22"/>
          <w:szCs w:val="22"/>
        </w:rPr>
        <w:t>We would echo Kent County Council’s recommendation that all data collected is shared transparently amongst the organisations involved in developing the RESP.</w:t>
      </w:r>
    </w:p>
    <w:p w14:paraId="76E466BC" w14:textId="77777777" w:rsidR="00155D4D" w:rsidRPr="00FC1656" w:rsidRDefault="00155D4D" w:rsidP="005F7948">
      <w:pPr>
        <w:jc w:val="both"/>
        <w:rPr>
          <w:rFonts w:cs="Calibri"/>
          <w:b/>
          <w:bCs/>
          <w:sz w:val="22"/>
          <w:szCs w:val="22"/>
        </w:rPr>
      </w:pPr>
      <w:r w:rsidRPr="00FC1656">
        <w:rPr>
          <w:rFonts w:cs="Calibri"/>
          <w:b/>
          <w:bCs/>
          <w:sz w:val="22"/>
          <w:szCs w:val="22"/>
        </w:rPr>
        <w:t>Q4. Do you agree the RESP should inform the identification of system need in the three areas proposed? Please provide your reasoning, referring to each area in turn.</w:t>
      </w:r>
    </w:p>
    <w:p w14:paraId="67741176" w14:textId="52289EF4" w:rsidR="00D64039" w:rsidRPr="00FC1656" w:rsidRDefault="00130FE0" w:rsidP="005F7948">
      <w:pPr>
        <w:jc w:val="both"/>
        <w:rPr>
          <w:rFonts w:cs="Calibri"/>
          <w:sz w:val="22"/>
          <w:szCs w:val="22"/>
        </w:rPr>
      </w:pPr>
      <w:r w:rsidRPr="00FC1656">
        <w:rPr>
          <w:rFonts w:cs="Calibri"/>
          <w:sz w:val="22"/>
          <w:szCs w:val="22"/>
        </w:rPr>
        <w:t>K</w:t>
      </w:r>
      <w:r w:rsidR="00CC5039" w:rsidRPr="00FC1656">
        <w:rPr>
          <w:rFonts w:cs="Calibri"/>
          <w:sz w:val="22"/>
          <w:szCs w:val="22"/>
        </w:rPr>
        <w:t>MEP</w:t>
      </w:r>
      <w:r w:rsidRPr="00FC1656">
        <w:rPr>
          <w:rFonts w:cs="Calibri"/>
          <w:sz w:val="22"/>
          <w:szCs w:val="22"/>
        </w:rPr>
        <w:t xml:space="preserve"> agrees that</w:t>
      </w:r>
      <w:r w:rsidR="00AC0CBF" w:rsidRPr="00FC1656">
        <w:rPr>
          <w:rFonts w:cs="Calibri"/>
          <w:sz w:val="22"/>
          <w:szCs w:val="22"/>
        </w:rPr>
        <w:t xml:space="preserve"> it is important to:</w:t>
      </w:r>
    </w:p>
    <w:p w14:paraId="0456E062" w14:textId="7B66E5E8" w:rsidR="00130FE0" w:rsidRPr="00FC1656" w:rsidRDefault="00130FE0" w:rsidP="00D64039">
      <w:pPr>
        <w:pStyle w:val="ListParagraph"/>
        <w:numPr>
          <w:ilvl w:val="0"/>
          <w:numId w:val="4"/>
        </w:numPr>
        <w:jc w:val="both"/>
        <w:rPr>
          <w:rFonts w:cs="Calibri"/>
          <w:sz w:val="22"/>
          <w:szCs w:val="22"/>
        </w:rPr>
      </w:pPr>
      <w:r w:rsidRPr="00FC1656">
        <w:rPr>
          <w:rFonts w:cs="Calibri"/>
          <w:sz w:val="22"/>
          <w:szCs w:val="22"/>
        </w:rPr>
        <w:t xml:space="preserve">establish a set of standardised and consistent assumptions </w:t>
      </w:r>
      <w:r w:rsidR="00773715" w:rsidRPr="00FC1656">
        <w:rPr>
          <w:rFonts w:cs="Calibri"/>
          <w:sz w:val="22"/>
          <w:szCs w:val="22"/>
        </w:rPr>
        <w:t>that can be used nationally</w:t>
      </w:r>
      <w:r w:rsidR="009F132A" w:rsidRPr="00FC1656">
        <w:rPr>
          <w:rFonts w:cs="Calibri"/>
          <w:sz w:val="22"/>
          <w:szCs w:val="22"/>
        </w:rPr>
        <w:t>, and that the central hub is the best entity to develop these.</w:t>
      </w:r>
    </w:p>
    <w:p w14:paraId="694C6235" w14:textId="0BC1EDB2" w:rsidR="0085101A" w:rsidRPr="00FC1656" w:rsidRDefault="00AC0CBF" w:rsidP="00197258">
      <w:pPr>
        <w:pStyle w:val="ListParagraph"/>
        <w:numPr>
          <w:ilvl w:val="0"/>
          <w:numId w:val="4"/>
        </w:numPr>
        <w:jc w:val="both"/>
        <w:rPr>
          <w:rFonts w:cs="Calibri"/>
          <w:sz w:val="22"/>
          <w:szCs w:val="22"/>
        </w:rPr>
      </w:pPr>
      <w:r w:rsidRPr="00FC1656">
        <w:rPr>
          <w:rFonts w:cs="Calibri"/>
          <w:sz w:val="22"/>
          <w:szCs w:val="22"/>
        </w:rPr>
        <w:t>Set out the spatial</w:t>
      </w:r>
      <w:r w:rsidR="00197258" w:rsidRPr="00FC1656">
        <w:rPr>
          <w:rFonts w:cs="Calibri"/>
          <w:sz w:val="22"/>
          <w:szCs w:val="22"/>
        </w:rPr>
        <w:t xml:space="preserve"> view of overall system need in supporting all relevant actors in undertaking coordinated planning. A key </w:t>
      </w:r>
      <w:r w:rsidR="00A9154B" w:rsidRPr="00FC1656">
        <w:rPr>
          <w:rFonts w:cs="Calibri"/>
          <w:sz w:val="22"/>
          <w:szCs w:val="22"/>
        </w:rPr>
        <w:t xml:space="preserve">priority for the strategic board should be to ensure that there is optimal data sharing and that the tools developed, do not share a relatively static picture of the current situation, but up-to-date data whenever possible. We’d welcome the network operators and others working closely with the local authorities to ensure a good flow of data sharing, </w:t>
      </w:r>
      <w:r w:rsidR="0085101A" w:rsidRPr="00FC1656">
        <w:rPr>
          <w:rFonts w:cs="Calibri"/>
          <w:sz w:val="22"/>
          <w:szCs w:val="22"/>
        </w:rPr>
        <w:t xml:space="preserve">whereby both parties can input information to ensure the correct </w:t>
      </w:r>
      <w:r w:rsidR="009A7DDB" w:rsidRPr="00FC1656">
        <w:rPr>
          <w:rFonts w:cs="Calibri"/>
          <w:sz w:val="22"/>
          <w:szCs w:val="22"/>
        </w:rPr>
        <w:t>information is displayed.</w:t>
      </w:r>
    </w:p>
    <w:p w14:paraId="53B24734" w14:textId="76975B4A" w:rsidR="00C9768C" w:rsidRPr="00FC1656" w:rsidRDefault="00D42B82" w:rsidP="00197258">
      <w:pPr>
        <w:pStyle w:val="ListParagraph"/>
        <w:numPr>
          <w:ilvl w:val="0"/>
          <w:numId w:val="4"/>
        </w:numPr>
        <w:jc w:val="both"/>
        <w:rPr>
          <w:rFonts w:cs="Calibri"/>
          <w:sz w:val="22"/>
          <w:szCs w:val="22"/>
        </w:rPr>
      </w:pPr>
      <w:r w:rsidRPr="00FC1656">
        <w:rPr>
          <w:rFonts w:cs="Calibri"/>
          <w:sz w:val="22"/>
          <w:szCs w:val="22"/>
        </w:rPr>
        <w:t>Identifying strategic investments should be a key role for the regional energy strategic plans, informed by the strategic board.</w:t>
      </w:r>
    </w:p>
    <w:p w14:paraId="65CA6C39" w14:textId="77777777" w:rsidR="00083244" w:rsidRPr="00FC1656" w:rsidRDefault="00155D4D" w:rsidP="000A6977">
      <w:pPr>
        <w:jc w:val="both"/>
        <w:rPr>
          <w:rFonts w:cs="Calibri"/>
          <w:b/>
          <w:bCs/>
          <w:sz w:val="22"/>
          <w:szCs w:val="22"/>
        </w:rPr>
      </w:pPr>
      <w:r w:rsidRPr="00FC1656">
        <w:rPr>
          <w:rFonts w:cs="Calibri"/>
          <w:b/>
          <w:bCs/>
          <w:sz w:val="22"/>
          <w:szCs w:val="22"/>
        </w:rPr>
        <w:t xml:space="preserve">Q5. Do you agree technical coordination should support the resolution of inconsistencies between the RESPs and network company plans? Please provide your reasoning. </w:t>
      </w:r>
    </w:p>
    <w:p w14:paraId="117DE01E" w14:textId="3F3D27B4" w:rsidR="00083244" w:rsidRPr="00FC1656" w:rsidRDefault="00CC5039" w:rsidP="00BA54A2">
      <w:pPr>
        <w:jc w:val="both"/>
        <w:rPr>
          <w:rFonts w:cs="Calibri"/>
          <w:sz w:val="22"/>
          <w:szCs w:val="22"/>
        </w:rPr>
      </w:pPr>
      <w:r w:rsidRPr="00FC1656">
        <w:rPr>
          <w:rFonts w:cs="Calibri"/>
          <w:sz w:val="22"/>
          <w:szCs w:val="22"/>
        </w:rPr>
        <w:t>KMEP</w:t>
      </w:r>
      <w:r w:rsidR="006B3035" w:rsidRPr="00FC1656">
        <w:rPr>
          <w:rFonts w:cs="Calibri"/>
          <w:sz w:val="22"/>
          <w:szCs w:val="22"/>
        </w:rPr>
        <w:t xml:space="preserve"> </w:t>
      </w:r>
      <w:r w:rsidR="000E1621" w:rsidRPr="00FC1656">
        <w:rPr>
          <w:rFonts w:cs="Calibri"/>
          <w:sz w:val="22"/>
          <w:szCs w:val="22"/>
        </w:rPr>
        <w:t xml:space="preserve">broadly supports </w:t>
      </w:r>
      <w:r w:rsidR="00B85C1A" w:rsidRPr="00FC1656">
        <w:rPr>
          <w:rFonts w:cs="Calibri"/>
          <w:sz w:val="22"/>
          <w:szCs w:val="22"/>
        </w:rPr>
        <w:t>the role for National Energy System Operator with regard to technical co-ordination. However, KMEP echoes t</w:t>
      </w:r>
      <w:r w:rsidR="00DC11FB" w:rsidRPr="00FC1656">
        <w:rPr>
          <w:rFonts w:cs="Calibri"/>
          <w:sz w:val="22"/>
          <w:szCs w:val="22"/>
        </w:rPr>
        <w:t>he comments of KCC that</w:t>
      </w:r>
      <w:r w:rsidR="00BA54A2" w:rsidRPr="00FC1656">
        <w:rPr>
          <w:rFonts w:cs="Calibri"/>
          <w:sz w:val="22"/>
          <w:szCs w:val="22"/>
        </w:rPr>
        <w:t xml:space="preserve"> </w:t>
      </w:r>
      <w:r w:rsidR="00D03FC9" w:rsidRPr="00FC1656">
        <w:rPr>
          <w:rFonts w:cs="Calibri"/>
          <w:sz w:val="22"/>
          <w:szCs w:val="22"/>
        </w:rPr>
        <w:t>there is currently a lack of formalised processes for transparently considering whole system benefits</w:t>
      </w:r>
      <w:r w:rsidR="00C00BE9" w:rsidRPr="00FC1656">
        <w:rPr>
          <w:rFonts w:cs="Calibri"/>
          <w:sz w:val="22"/>
          <w:szCs w:val="22"/>
        </w:rPr>
        <w:t xml:space="preserve"> and resolving trade-offs across different vectors and this constitutes a risk to </w:t>
      </w:r>
      <w:r w:rsidR="005573D9" w:rsidRPr="00FC1656">
        <w:rPr>
          <w:rFonts w:cs="Calibri"/>
          <w:sz w:val="22"/>
          <w:szCs w:val="22"/>
        </w:rPr>
        <w:t>effective strategic planning.</w:t>
      </w:r>
      <w:r w:rsidR="005920D5" w:rsidRPr="00FC1656">
        <w:rPr>
          <w:rFonts w:cs="Calibri"/>
          <w:sz w:val="22"/>
          <w:szCs w:val="22"/>
        </w:rPr>
        <w:t xml:space="preserve"> </w:t>
      </w:r>
      <w:r w:rsidR="00F5704B" w:rsidRPr="00FC1656">
        <w:rPr>
          <w:rFonts w:cs="Calibri"/>
          <w:sz w:val="22"/>
          <w:szCs w:val="22"/>
        </w:rPr>
        <w:t xml:space="preserve">Improving transparency is essential, and thus </w:t>
      </w:r>
      <w:r w:rsidR="00A15086" w:rsidRPr="00FC1656">
        <w:rPr>
          <w:rFonts w:cs="Calibri"/>
          <w:sz w:val="22"/>
          <w:szCs w:val="22"/>
        </w:rPr>
        <w:t>t</w:t>
      </w:r>
      <w:r w:rsidR="00902298" w:rsidRPr="00FC1656">
        <w:rPr>
          <w:rFonts w:cs="Calibri"/>
          <w:sz w:val="22"/>
          <w:szCs w:val="22"/>
        </w:rPr>
        <w:t>hose involve</w:t>
      </w:r>
      <w:r w:rsidR="00A15086" w:rsidRPr="00FC1656">
        <w:rPr>
          <w:rFonts w:cs="Calibri"/>
          <w:sz w:val="22"/>
          <w:szCs w:val="22"/>
        </w:rPr>
        <w:t>d</w:t>
      </w:r>
      <w:r w:rsidR="00902298" w:rsidRPr="00FC1656">
        <w:rPr>
          <w:rFonts w:cs="Calibri"/>
          <w:sz w:val="22"/>
          <w:szCs w:val="22"/>
        </w:rPr>
        <w:t xml:space="preserve"> in developing the RESPs, </w:t>
      </w:r>
      <w:r w:rsidR="00F5704B" w:rsidRPr="00FC1656">
        <w:rPr>
          <w:rFonts w:cs="Calibri"/>
          <w:sz w:val="22"/>
          <w:szCs w:val="22"/>
        </w:rPr>
        <w:t>county and unitary</w:t>
      </w:r>
      <w:r w:rsidR="006428CC" w:rsidRPr="00FC1656">
        <w:rPr>
          <w:rFonts w:cs="Calibri"/>
          <w:sz w:val="22"/>
          <w:szCs w:val="22"/>
        </w:rPr>
        <w:t xml:space="preserve"> authorities</w:t>
      </w:r>
      <w:r w:rsidR="00902298" w:rsidRPr="00FC1656">
        <w:rPr>
          <w:rFonts w:cs="Calibri"/>
          <w:sz w:val="22"/>
          <w:szCs w:val="22"/>
        </w:rPr>
        <w:t xml:space="preserve"> in particular, </w:t>
      </w:r>
      <w:r w:rsidR="00F5704B" w:rsidRPr="00FC1656">
        <w:rPr>
          <w:rFonts w:cs="Calibri"/>
          <w:sz w:val="22"/>
          <w:szCs w:val="22"/>
        </w:rPr>
        <w:t xml:space="preserve">should </w:t>
      </w:r>
      <w:r w:rsidR="00A15086" w:rsidRPr="00FC1656">
        <w:rPr>
          <w:rFonts w:cs="Calibri"/>
          <w:sz w:val="22"/>
          <w:szCs w:val="22"/>
        </w:rPr>
        <w:t>have a formal role in</w:t>
      </w:r>
      <w:r w:rsidR="00136087" w:rsidRPr="00FC1656">
        <w:rPr>
          <w:rFonts w:cs="Calibri"/>
          <w:sz w:val="22"/>
          <w:szCs w:val="22"/>
        </w:rPr>
        <w:t xml:space="preserve"> shaping decisions around the integration </w:t>
      </w:r>
      <w:r w:rsidR="00726865" w:rsidRPr="00FC1656">
        <w:rPr>
          <w:rFonts w:cs="Calibri"/>
          <w:sz w:val="22"/>
          <w:szCs w:val="22"/>
        </w:rPr>
        <w:t>of RESPs and network plans.</w:t>
      </w:r>
    </w:p>
    <w:p w14:paraId="42396ECF" w14:textId="21A6A7BE" w:rsidR="00155D4D" w:rsidRPr="00FC1656" w:rsidRDefault="00155D4D" w:rsidP="000A7254">
      <w:pPr>
        <w:jc w:val="both"/>
        <w:rPr>
          <w:rFonts w:cs="Calibri"/>
          <w:b/>
          <w:bCs/>
          <w:sz w:val="22"/>
          <w:szCs w:val="22"/>
        </w:rPr>
      </w:pPr>
      <w:r w:rsidRPr="00FC1656">
        <w:rPr>
          <w:rFonts w:cs="Calibri"/>
          <w:b/>
          <w:bCs/>
          <w:sz w:val="22"/>
          <w:szCs w:val="22"/>
        </w:rPr>
        <w:t>Q6. What are your views on the three building blocks which come together to form the RESP in line with our vision? Are there any key components missing?</w:t>
      </w:r>
    </w:p>
    <w:p w14:paraId="488BBC84" w14:textId="6A8CEEB3" w:rsidR="00977943" w:rsidRPr="00FC1656" w:rsidRDefault="00977943" w:rsidP="000A7254">
      <w:pPr>
        <w:jc w:val="both"/>
        <w:rPr>
          <w:rFonts w:cs="Calibri"/>
          <w:sz w:val="22"/>
          <w:szCs w:val="22"/>
        </w:rPr>
      </w:pPr>
      <w:r w:rsidRPr="00FC1656">
        <w:rPr>
          <w:rFonts w:cs="Calibri"/>
          <w:sz w:val="22"/>
          <w:szCs w:val="22"/>
        </w:rPr>
        <w:t>K</w:t>
      </w:r>
      <w:r w:rsidR="00D0084E" w:rsidRPr="00FC1656">
        <w:rPr>
          <w:rFonts w:cs="Calibri"/>
          <w:sz w:val="22"/>
          <w:szCs w:val="22"/>
        </w:rPr>
        <w:t>MEP</w:t>
      </w:r>
      <w:r w:rsidRPr="00FC1656">
        <w:rPr>
          <w:rFonts w:cs="Calibri"/>
          <w:sz w:val="22"/>
          <w:szCs w:val="22"/>
        </w:rPr>
        <w:t xml:space="preserve"> supports </w:t>
      </w:r>
      <w:r w:rsidR="00557903" w:rsidRPr="00FC1656">
        <w:rPr>
          <w:rFonts w:cs="Calibri"/>
          <w:sz w:val="22"/>
          <w:szCs w:val="22"/>
        </w:rPr>
        <w:t>the three building blocks – modelling supply and demand, identifying system need</w:t>
      </w:r>
      <w:r w:rsidR="00554F2B" w:rsidRPr="00FC1656">
        <w:rPr>
          <w:rFonts w:cs="Calibri"/>
          <w:sz w:val="22"/>
          <w:szCs w:val="22"/>
        </w:rPr>
        <w:t>, and technical coordination – that form the RESP.</w:t>
      </w:r>
    </w:p>
    <w:p w14:paraId="01A665A6" w14:textId="77777777" w:rsidR="00155D4D" w:rsidRPr="00FC1656" w:rsidRDefault="00155D4D" w:rsidP="00E22E3C">
      <w:pPr>
        <w:jc w:val="both"/>
        <w:rPr>
          <w:rFonts w:cs="Calibri"/>
          <w:b/>
          <w:bCs/>
          <w:sz w:val="22"/>
          <w:szCs w:val="22"/>
        </w:rPr>
      </w:pPr>
      <w:r w:rsidRPr="00FC1656">
        <w:rPr>
          <w:rFonts w:cs="Calibri"/>
          <w:b/>
          <w:bCs/>
          <w:sz w:val="22"/>
          <w:szCs w:val="22"/>
        </w:rPr>
        <w:t xml:space="preserve">Q7. Do you agree with the framework of standard data inputs for the RESP? Please provide your reasoning. </w:t>
      </w:r>
    </w:p>
    <w:p w14:paraId="687F606D" w14:textId="77E816E6" w:rsidR="00262D63" w:rsidRPr="00FC1656" w:rsidRDefault="00A060C5" w:rsidP="00E22E3C">
      <w:pPr>
        <w:jc w:val="both"/>
        <w:rPr>
          <w:rFonts w:cs="Calibri"/>
          <w:sz w:val="22"/>
          <w:szCs w:val="22"/>
        </w:rPr>
      </w:pPr>
      <w:r w:rsidRPr="00FC1656">
        <w:rPr>
          <w:rFonts w:cs="Calibri"/>
          <w:sz w:val="22"/>
          <w:szCs w:val="22"/>
        </w:rPr>
        <w:t>As mentioned before, d</w:t>
      </w:r>
      <w:r w:rsidR="002849D4" w:rsidRPr="00FC1656">
        <w:rPr>
          <w:rFonts w:cs="Calibri"/>
          <w:sz w:val="22"/>
          <w:szCs w:val="22"/>
        </w:rPr>
        <w:t xml:space="preserve">ata sharing between local governments and network companies </w:t>
      </w:r>
      <w:r w:rsidR="009376BC" w:rsidRPr="00FC1656">
        <w:rPr>
          <w:rFonts w:cs="Calibri"/>
          <w:sz w:val="22"/>
          <w:szCs w:val="22"/>
        </w:rPr>
        <w:t>is currently less than KMEP would desire, and this i</w:t>
      </w:r>
      <w:r w:rsidR="00C66E89">
        <w:rPr>
          <w:rFonts w:cs="Calibri"/>
          <w:sz w:val="22"/>
          <w:szCs w:val="22"/>
        </w:rPr>
        <w:t>s</w:t>
      </w:r>
      <w:r w:rsidR="009376BC" w:rsidRPr="00FC1656">
        <w:rPr>
          <w:rFonts w:cs="Calibri"/>
          <w:sz w:val="22"/>
          <w:szCs w:val="22"/>
        </w:rPr>
        <w:t xml:space="preserve"> impacting business growth and investment. </w:t>
      </w:r>
      <w:r w:rsidR="000623BE" w:rsidRPr="00FC1656">
        <w:rPr>
          <w:rFonts w:cs="Calibri"/>
          <w:sz w:val="22"/>
          <w:szCs w:val="22"/>
        </w:rPr>
        <w:t xml:space="preserve">The proposal for the National Energy System Operator to </w:t>
      </w:r>
      <w:r w:rsidR="009114B2" w:rsidRPr="00FC1656">
        <w:rPr>
          <w:rFonts w:cs="Calibri"/>
          <w:sz w:val="22"/>
          <w:szCs w:val="22"/>
        </w:rPr>
        <w:t>facilitate input and engagement from all local actors</w:t>
      </w:r>
      <w:r w:rsidR="00EC0B83" w:rsidRPr="00FC1656">
        <w:rPr>
          <w:rFonts w:cs="Calibri"/>
          <w:sz w:val="22"/>
          <w:szCs w:val="22"/>
        </w:rPr>
        <w:t xml:space="preserve"> relevant to energy system planning in a region </w:t>
      </w:r>
      <w:r w:rsidR="00DD4712" w:rsidRPr="00FC1656">
        <w:rPr>
          <w:rFonts w:cs="Calibri"/>
          <w:sz w:val="22"/>
          <w:szCs w:val="22"/>
        </w:rPr>
        <w:t>to ensure decisions can be made with the best available evidence</w:t>
      </w:r>
      <w:r w:rsidR="000623BE" w:rsidRPr="00FC1656">
        <w:rPr>
          <w:rFonts w:cs="Calibri"/>
          <w:sz w:val="22"/>
          <w:szCs w:val="22"/>
        </w:rPr>
        <w:t xml:space="preserve"> is very much welcomed.</w:t>
      </w:r>
    </w:p>
    <w:p w14:paraId="2EE3D78D" w14:textId="6AAC91B6" w:rsidR="008D1A0F" w:rsidRPr="00FC1656" w:rsidRDefault="00FC1656" w:rsidP="00FC1656">
      <w:pPr>
        <w:jc w:val="both"/>
        <w:rPr>
          <w:rFonts w:cs="Calibri"/>
          <w:sz w:val="22"/>
          <w:szCs w:val="22"/>
        </w:rPr>
      </w:pPr>
      <w:r w:rsidRPr="00FC1656">
        <w:rPr>
          <w:rFonts w:cs="Calibri"/>
          <w:sz w:val="22"/>
          <w:szCs w:val="22"/>
        </w:rPr>
        <w:t>KMEP would want to emphasis</w:t>
      </w:r>
      <w:r w:rsidR="00C66E89">
        <w:rPr>
          <w:rFonts w:cs="Calibri"/>
          <w:sz w:val="22"/>
          <w:szCs w:val="22"/>
        </w:rPr>
        <w:t>e</w:t>
      </w:r>
      <w:r w:rsidRPr="00FC1656">
        <w:rPr>
          <w:rFonts w:cs="Calibri"/>
          <w:sz w:val="22"/>
          <w:szCs w:val="22"/>
        </w:rPr>
        <w:t xml:space="preserve"> once again, the importance of two-way data sharing, with bottom-up inputs being fed into the Regional Energy Strategic Plans.  </w:t>
      </w:r>
    </w:p>
    <w:p w14:paraId="67963F02" w14:textId="527E1010" w:rsidR="00155D4D" w:rsidRPr="00FC1656" w:rsidRDefault="00155D4D" w:rsidP="00E22E3C">
      <w:pPr>
        <w:jc w:val="both"/>
        <w:rPr>
          <w:rFonts w:cs="Calibri"/>
          <w:b/>
          <w:bCs/>
          <w:sz w:val="22"/>
          <w:szCs w:val="22"/>
        </w:rPr>
      </w:pPr>
      <w:r w:rsidRPr="00FC1656">
        <w:rPr>
          <w:rFonts w:cs="Calibri"/>
          <w:b/>
          <w:bCs/>
          <w:sz w:val="22"/>
          <w:szCs w:val="22"/>
        </w:rPr>
        <w:t>Q8. Do you have any suggestions for criteria to assess the credibility of the inputs to the RESP</w:t>
      </w:r>
      <w:r w:rsidR="005751A1" w:rsidRPr="00FC1656">
        <w:rPr>
          <w:rFonts w:cs="Calibri"/>
          <w:b/>
          <w:bCs/>
          <w:sz w:val="22"/>
          <w:szCs w:val="22"/>
        </w:rPr>
        <w:t>?</w:t>
      </w:r>
    </w:p>
    <w:p w14:paraId="09FC284A" w14:textId="09E2BDDA" w:rsidR="00155D4D" w:rsidRPr="00FC1656" w:rsidRDefault="00CC5039" w:rsidP="00E22E3C">
      <w:pPr>
        <w:jc w:val="both"/>
        <w:rPr>
          <w:rFonts w:cs="Calibri"/>
          <w:sz w:val="22"/>
          <w:szCs w:val="22"/>
        </w:rPr>
      </w:pPr>
      <w:r w:rsidRPr="00FC1656">
        <w:rPr>
          <w:rFonts w:cs="Calibri"/>
          <w:sz w:val="22"/>
          <w:szCs w:val="22"/>
        </w:rPr>
        <w:t xml:space="preserve">No. </w:t>
      </w:r>
    </w:p>
    <w:p w14:paraId="53EB9AE3" w14:textId="77777777" w:rsidR="00B336B4" w:rsidRPr="00FC1656" w:rsidRDefault="00155D4D" w:rsidP="00E041F0">
      <w:pPr>
        <w:jc w:val="both"/>
        <w:rPr>
          <w:rFonts w:cs="Calibri"/>
          <w:b/>
          <w:bCs/>
          <w:sz w:val="22"/>
          <w:szCs w:val="22"/>
        </w:rPr>
      </w:pPr>
      <w:r w:rsidRPr="00FC1656">
        <w:rPr>
          <w:rFonts w:cs="Calibri"/>
          <w:b/>
          <w:bCs/>
          <w:sz w:val="22"/>
          <w:szCs w:val="22"/>
        </w:rPr>
        <w:t xml:space="preserve">Q9. Do you agree with the framework for local actor support? Please provide your reasoning. </w:t>
      </w:r>
    </w:p>
    <w:p w14:paraId="4CED1930" w14:textId="77777777" w:rsidR="00A80DC5" w:rsidRPr="00FC1656" w:rsidRDefault="00F73D16" w:rsidP="00E041F0">
      <w:pPr>
        <w:jc w:val="both"/>
        <w:rPr>
          <w:rFonts w:cs="Calibri"/>
          <w:sz w:val="22"/>
          <w:szCs w:val="22"/>
        </w:rPr>
      </w:pPr>
      <w:r w:rsidRPr="00FC1656">
        <w:rPr>
          <w:rFonts w:cs="Calibri"/>
          <w:sz w:val="22"/>
          <w:szCs w:val="22"/>
        </w:rPr>
        <w:t xml:space="preserve">KMEP </w:t>
      </w:r>
      <w:r w:rsidR="00A80DC5" w:rsidRPr="00FC1656">
        <w:rPr>
          <w:rFonts w:cs="Calibri"/>
          <w:sz w:val="22"/>
          <w:szCs w:val="22"/>
        </w:rPr>
        <w:t>agrees with the proposed framework for local actor support.</w:t>
      </w:r>
    </w:p>
    <w:p w14:paraId="01ED5340" w14:textId="42E749F3" w:rsidR="00E659C8" w:rsidRPr="00FC1656" w:rsidRDefault="00293AF3" w:rsidP="00E041F0">
      <w:pPr>
        <w:jc w:val="both"/>
        <w:rPr>
          <w:rFonts w:cs="Calibri"/>
          <w:sz w:val="22"/>
          <w:szCs w:val="22"/>
        </w:rPr>
      </w:pPr>
      <w:r w:rsidRPr="00FC1656">
        <w:rPr>
          <w:rFonts w:cs="Calibri"/>
          <w:sz w:val="22"/>
          <w:szCs w:val="22"/>
        </w:rPr>
        <w:t xml:space="preserve">Further detail on how the engagement between local actors </w:t>
      </w:r>
      <w:r w:rsidR="000B71EF" w:rsidRPr="00FC1656">
        <w:rPr>
          <w:rFonts w:cs="Calibri"/>
          <w:sz w:val="22"/>
          <w:szCs w:val="22"/>
        </w:rPr>
        <w:t>and network companies would operate in practice, under this new framework, would</w:t>
      </w:r>
      <w:r w:rsidR="003D2548" w:rsidRPr="00FC1656">
        <w:rPr>
          <w:rFonts w:cs="Calibri"/>
          <w:sz w:val="22"/>
          <w:szCs w:val="22"/>
        </w:rPr>
        <w:t xml:space="preserve"> be useful. A key issue is ensuring that there is a duty </w:t>
      </w:r>
      <w:r w:rsidR="001E1DA0" w:rsidRPr="00FC1656">
        <w:rPr>
          <w:rFonts w:cs="Calibri"/>
          <w:sz w:val="22"/>
          <w:szCs w:val="22"/>
        </w:rPr>
        <w:t>to ensure</w:t>
      </w:r>
      <w:r w:rsidR="003D2548" w:rsidRPr="00FC1656">
        <w:rPr>
          <w:rFonts w:cs="Calibri"/>
          <w:sz w:val="22"/>
          <w:szCs w:val="22"/>
        </w:rPr>
        <w:t xml:space="preserve"> two-way flow of communication</w:t>
      </w:r>
      <w:r w:rsidR="00FA7A35" w:rsidRPr="00FC1656">
        <w:rPr>
          <w:rFonts w:cs="Calibri"/>
          <w:sz w:val="22"/>
          <w:szCs w:val="22"/>
        </w:rPr>
        <w:t xml:space="preserve"> (including data-sharing)</w:t>
      </w:r>
      <w:r w:rsidR="003D2548" w:rsidRPr="00FC1656">
        <w:rPr>
          <w:rFonts w:cs="Calibri"/>
          <w:sz w:val="22"/>
          <w:szCs w:val="22"/>
        </w:rPr>
        <w:t xml:space="preserve"> </w:t>
      </w:r>
      <w:r w:rsidR="001E1DA0" w:rsidRPr="00FC1656">
        <w:rPr>
          <w:rFonts w:cs="Calibri"/>
          <w:sz w:val="22"/>
          <w:szCs w:val="22"/>
        </w:rPr>
        <w:t>between the relevant parties.</w:t>
      </w:r>
    </w:p>
    <w:p w14:paraId="4EA4CFAE" w14:textId="388E99D1" w:rsidR="005B0536" w:rsidRPr="00FC1656" w:rsidRDefault="00155D4D" w:rsidP="007F58D5">
      <w:pPr>
        <w:jc w:val="both"/>
        <w:rPr>
          <w:rFonts w:cs="Calibri"/>
          <w:b/>
          <w:bCs/>
          <w:sz w:val="22"/>
          <w:szCs w:val="22"/>
        </w:rPr>
      </w:pPr>
      <w:r w:rsidRPr="00FC1656">
        <w:rPr>
          <w:rFonts w:cs="Calibri"/>
          <w:b/>
          <w:bCs/>
          <w:sz w:val="22"/>
          <w:szCs w:val="22"/>
        </w:rPr>
        <w:t>Q10. Do you agree with the purpose of the Strategic Board? Please provide your reasoning</w:t>
      </w:r>
      <w:r w:rsidR="00A852C6" w:rsidRPr="00FC1656">
        <w:rPr>
          <w:rFonts w:cs="Calibri"/>
          <w:b/>
          <w:bCs/>
          <w:sz w:val="22"/>
          <w:szCs w:val="22"/>
        </w:rPr>
        <w:t>.</w:t>
      </w:r>
      <w:r w:rsidR="005B5E90" w:rsidRPr="00FC1656">
        <w:rPr>
          <w:rFonts w:cs="Calibri"/>
          <w:b/>
          <w:bCs/>
          <w:sz w:val="22"/>
          <w:szCs w:val="22"/>
        </w:rPr>
        <w:t xml:space="preserve"> </w:t>
      </w:r>
    </w:p>
    <w:p w14:paraId="1AD718B4" w14:textId="553B0D3B" w:rsidR="005B0536" w:rsidRPr="00FC1656" w:rsidRDefault="00144BAF" w:rsidP="00FA74B0">
      <w:pPr>
        <w:jc w:val="both"/>
        <w:rPr>
          <w:rFonts w:cs="Calibri"/>
          <w:sz w:val="22"/>
          <w:szCs w:val="22"/>
        </w:rPr>
      </w:pPr>
      <w:r w:rsidRPr="00FC1656">
        <w:rPr>
          <w:rFonts w:cs="Calibri"/>
          <w:sz w:val="22"/>
          <w:szCs w:val="22"/>
        </w:rPr>
        <w:t xml:space="preserve">KMEP broadly supports the purpose of the Strategic Board. </w:t>
      </w:r>
      <w:r w:rsidR="00503A91" w:rsidRPr="00FC1656">
        <w:rPr>
          <w:rFonts w:cs="Calibri"/>
          <w:sz w:val="22"/>
          <w:szCs w:val="22"/>
        </w:rPr>
        <w:t>We appreciate why it makes sense to have a strategic board for the</w:t>
      </w:r>
      <w:r w:rsidR="004A6ECE" w:rsidRPr="00FC1656">
        <w:rPr>
          <w:rFonts w:cs="Calibri"/>
          <w:sz w:val="22"/>
          <w:szCs w:val="22"/>
        </w:rPr>
        <w:t xml:space="preserve"> different</w:t>
      </w:r>
      <w:r w:rsidR="00503A91" w:rsidRPr="00FC1656">
        <w:rPr>
          <w:rFonts w:cs="Calibri"/>
          <w:sz w:val="22"/>
          <w:szCs w:val="22"/>
        </w:rPr>
        <w:t xml:space="preserve"> region</w:t>
      </w:r>
      <w:r w:rsidR="004A6ECE" w:rsidRPr="00FC1656">
        <w:rPr>
          <w:rFonts w:cs="Calibri"/>
          <w:sz w:val="22"/>
          <w:szCs w:val="22"/>
        </w:rPr>
        <w:t>s</w:t>
      </w:r>
      <w:r w:rsidR="00503A91" w:rsidRPr="00FC1656">
        <w:rPr>
          <w:rFonts w:cs="Calibri"/>
          <w:sz w:val="22"/>
          <w:szCs w:val="22"/>
        </w:rPr>
        <w:t>, that reports into the central hub</w:t>
      </w:r>
      <w:r w:rsidR="00A542CC" w:rsidRPr="00FC1656">
        <w:rPr>
          <w:rFonts w:cs="Calibri"/>
          <w:sz w:val="22"/>
          <w:szCs w:val="22"/>
        </w:rPr>
        <w:t xml:space="preserve"> to ensure some consistency at a national level – however, we would hope to see </w:t>
      </w:r>
      <w:r w:rsidR="00C91EEB" w:rsidRPr="00FC1656">
        <w:rPr>
          <w:rFonts w:cs="Calibri"/>
          <w:sz w:val="22"/>
          <w:szCs w:val="22"/>
        </w:rPr>
        <w:t xml:space="preserve">that central hub </w:t>
      </w:r>
      <w:r w:rsidR="009B2664" w:rsidRPr="00FC1656">
        <w:rPr>
          <w:rFonts w:cs="Calibri"/>
          <w:sz w:val="22"/>
          <w:szCs w:val="22"/>
        </w:rPr>
        <w:t xml:space="preserve">would </w:t>
      </w:r>
      <w:r w:rsidR="00C91EEB" w:rsidRPr="00FC1656">
        <w:rPr>
          <w:rFonts w:cs="Calibri"/>
          <w:sz w:val="22"/>
          <w:szCs w:val="22"/>
        </w:rPr>
        <w:t>listen</w:t>
      </w:r>
      <w:r w:rsidR="009B2664" w:rsidRPr="00FC1656">
        <w:rPr>
          <w:rFonts w:cs="Calibri"/>
          <w:sz w:val="22"/>
          <w:szCs w:val="22"/>
        </w:rPr>
        <w:t xml:space="preserve"> closely</w:t>
      </w:r>
      <w:r w:rsidR="00C91EEB" w:rsidRPr="00FC1656">
        <w:rPr>
          <w:rFonts w:cs="Calibri"/>
          <w:sz w:val="22"/>
          <w:szCs w:val="22"/>
        </w:rPr>
        <w:t xml:space="preserve"> </w:t>
      </w:r>
      <w:r w:rsidR="00A542CC" w:rsidRPr="00FC1656">
        <w:rPr>
          <w:rFonts w:cs="Calibri"/>
          <w:sz w:val="22"/>
          <w:szCs w:val="22"/>
        </w:rPr>
        <w:t>the regional strategic boards’ recommendations</w:t>
      </w:r>
      <w:r w:rsidR="00835819" w:rsidRPr="00FC1656">
        <w:rPr>
          <w:rFonts w:cs="Calibri"/>
          <w:sz w:val="22"/>
          <w:szCs w:val="22"/>
        </w:rPr>
        <w:t xml:space="preserve">, and that the regional strategic boards will have </w:t>
      </w:r>
      <w:r w:rsidR="00FA74B0" w:rsidRPr="00FC1656">
        <w:rPr>
          <w:rFonts w:cs="Calibri"/>
          <w:sz w:val="22"/>
          <w:szCs w:val="22"/>
        </w:rPr>
        <w:t xml:space="preserve">significant </w:t>
      </w:r>
      <w:r w:rsidR="00733119" w:rsidRPr="00FC1656">
        <w:rPr>
          <w:rFonts w:cs="Calibri"/>
          <w:sz w:val="22"/>
          <w:szCs w:val="22"/>
        </w:rPr>
        <w:t xml:space="preserve">influence in determining </w:t>
      </w:r>
      <w:r w:rsidR="00040B6D" w:rsidRPr="00FC1656">
        <w:rPr>
          <w:rFonts w:cs="Calibri"/>
          <w:sz w:val="22"/>
          <w:szCs w:val="22"/>
        </w:rPr>
        <w:t xml:space="preserve">the </w:t>
      </w:r>
      <w:r w:rsidR="00C04BF5" w:rsidRPr="00FC1656">
        <w:rPr>
          <w:rFonts w:cs="Calibri"/>
          <w:sz w:val="22"/>
          <w:szCs w:val="22"/>
        </w:rPr>
        <w:t xml:space="preserve">final </w:t>
      </w:r>
      <w:r w:rsidR="00040B6D" w:rsidRPr="00FC1656">
        <w:rPr>
          <w:rFonts w:cs="Calibri"/>
          <w:sz w:val="22"/>
          <w:szCs w:val="22"/>
        </w:rPr>
        <w:t xml:space="preserve">content of </w:t>
      </w:r>
      <w:r w:rsidR="00A40EAB" w:rsidRPr="00FC1656">
        <w:rPr>
          <w:rFonts w:cs="Calibri"/>
          <w:sz w:val="22"/>
          <w:szCs w:val="22"/>
        </w:rPr>
        <w:t>the RESP</w:t>
      </w:r>
      <w:r w:rsidR="00CC3DDE" w:rsidRPr="00FC1656">
        <w:rPr>
          <w:rFonts w:cs="Calibri"/>
          <w:sz w:val="22"/>
          <w:szCs w:val="22"/>
        </w:rPr>
        <w:t xml:space="preserve">. </w:t>
      </w:r>
    </w:p>
    <w:p w14:paraId="5ACAF285" w14:textId="77777777" w:rsidR="00A852C6" w:rsidRPr="00FC1656" w:rsidRDefault="00155D4D" w:rsidP="009804F5">
      <w:pPr>
        <w:jc w:val="both"/>
        <w:rPr>
          <w:rFonts w:cs="Calibri"/>
          <w:b/>
          <w:bCs/>
          <w:sz w:val="22"/>
          <w:szCs w:val="22"/>
        </w:rPr>
      </w:pPr>
      <w:r w:rsidRPr="00FC1656">
        <w:rPr>
          <w:rFonts w:cs="Calibri"/>
          <w:b/>
          <w:bCs/>
          <w:sz w:val="22"/>
          <w:szCs w:val="22"/>
        </w:rPr>
        <w:t xml:space="preserve">Q11. Do you agree that the Strategic Board should include representation from relevant democratic actors, network companies and wider cross-sector actors in each region? </w:t>
      </w:r>
    </w:p>
    <w:p w14:paraId="478CAE48" w14:textId="305C67D9" w:rsidR="002C1E03" w:rsidRPr="00FC1656" w:rsidRDefault="00634A40" w:rsidP="009804F5">
      <w:pPr>
        <w:jc w:val="both"/>
        <w:rPr>
          <w:rFonts w:cs="Calibri"/>
          <w:sz w:val="22"/>
          <w:szCs w:val="22"/>
        </w:rPr>
      </w:pPr>
      <w:r w:rsidRPr="00FC1656">
        <w:rPr>
          <w:rFonts w:cs="Calibri"/>
          <w:sz w:val="22"/>
          <w:szCs w:val="22"/>
        </w:rPr>
        <w:t xml:space="preserve">KMEP warmly welcomes the proposal to have county and </w:t>
      </w:r>
      <w:r w:rsidR="002C1E03" w:rsidRPr="00FC1656">
        <w:rPr>
          <w:rFonts w:cs="Calibri"/>
          <w:sz w:val="22"/>
          <w:szCs w:val="22"/>
        </w:rPr>
        <w:t>unitary</w:t>
      </w:r>
      <w:r w:rsidRPr="00FC1656">
        <w:rPr>
          <w:rFonts w:cs="Calibri"/>
          <w:sz w:val="22"/>
          <w:szCs w:val="22"/>
        </w:rPr>
        <w:t xml:space="preserve"> authorities on the Strat</w:t>
      </w:r>
      <w:r w:rsidR="002C1E03" w:rsidRPr="00FC1656">
        <w:rPr>
          <w:rFonts w:cs="Calibri"/>
          <w:sz w:val="22"/>
          <w:szCs w:val="22"/>
        </w:rPr>
        <w:t>egic Board, but is concerned by the lack of detail on how district authorities and other key sta</w:t>
      </w:r>
      <w:r w:rsidR="00AF47E4" w:rsidRPr="00FC1656">
        <w:rPr>
          <w:rFonts w:cs="Calibri"/>
          <w:sz w:val="22"/>
          <w:szCs w:val="22"/>
        </w:rPr>
        <w:t xml:space="preserve">keholders </w:t>
      </w:r>
      <w:r w:rsidR="00DE0817" w:rsidRPr="00FC1656">
        <w:rPr>
          <w:rFonts w:cs="Calibri"/>
          <w:sz w:val="22"/>
          <w:szCs w:val="22"/>
        </w:rPr>
        <w:t>(particularly from business and transportation) will be able to engage with the strategic board.</w:t>
      </w:r>
    </w:p>
    <w:p w14:paraId="661D9122" w14:textId="64DCCF73" w:rsidR="000452CD" w:rsidRPr="00FC1656" w:rsidRDefault="000452CD" w:rsidP="009804F5">
      <w:pPr>
        <w:jc w:val="both"/>
        <w:rPr>
          <w:rFonts w:cs="Calibri"/>
          <w:sz w:val="22"/>
          <w:szCs w:val="22"/>
        </w:rPr>
      </w:pPr>
      <w:r w:rsidRPr="00FC1656">
        <w:rPr>
          <w:rFonts w:cs="Calibri"/>
          <w:sz w:val="22"/>
          <w:szCs w:val="22"/>
        </w:rPr>
        <w:t>District authorities often have close contact with companies wishing to enter the renewable energy market (through the establishment of new solar farms, as an example)</w:t>
      </w:r>
      <w:r w:rsidR="00FF4069" w:rsidRPr="00FC1656">
        <w:rPr>
          <w:rFonts w:cs="Calibri"/>
          <w:sz w:val="22"/>
          <w:szCs w:val="22"/>
        </w:rPr>
        <w:t xml:space="preserve">. Their role should not be underestimated. Furthermore, local partnerships (such as KMEP) </w:t>
      </w:r>
      <w:r w:rsidR="00B113EE" w:rsidRPr="00FC1656">
        <w:rPr>
          <w:rFonts w:cs="Calibri"/>
          <w:sz w:val="22"/>
          <w:szCs w:val="22"/>
        </w:rPr>
        <w:t>and business membership organisations (such as the Chamber of Commerce and FSB) can help to provide the voice of businesses, and identify some of the inhibitors to growth</w:t>
      </w:r>
      <w:r w:rsidR="007037EC" w:rsidRPr="00FC1656">
        <w:rPr>
          <w:rFonts w:cs="Calibri"/>
          <w:sz w:val="22"/>
          <w:szCs w:val="22"/>
        </w:rPr>
        <w:t xml:space="preserve"> on a local level, that the technical experts on the strategic board could then seek to resolve. Furthermore, there are other key partnerships (such as  Transport for the South East) that can be very helpful in setting out the future transport ambitions, and the energy needs that would correspond to those ambitions.</w:t>
      </w:r>
    </w:p>
    <w:p w14:paraId="18FEE669" w14:textId="40CC08E7" w:rsidR="007037EC" w:rsidRPr="00FC1656" w:rsidRDefault="007037EC" w:rsidP="009804F5">
      <w:pPr>
        <w:jc w:val="both"/>
        <w:rPr>
          <w:rFonts w:cs="Calibri"/>
          <w:sz w:val="22"/>
          <w:szCs w:val="22"/>
        </w:rPr>
      </w:pPr>
      <w:r w:rsidRPr="00FC1656">
        <w:rPr>
          <w:rFonts w:cs="Calibri"/>
          <w:sz w:val="22"/>
          <w:szCs w:val="22"/>
        </w:rPr>
        <w:t xml:space="preserve">It would be helpful if the composition of the Strategic Board was not </w:t>
      </w:r>
      <w:r w:rsidR="00A40385" w:rsidRPr="00FC1656">
        <w:rPr>
          <w:rFonts w:cs="Calibri"/>
          <w:sz w:val="22"/>
          <w:szCs w:val="22"/>
        </w:rPr>
        <w:t>prescribed</w:t>
      </w:r>
      <w:r w:rsidRPr="00FC1656">
        <w:rPr>
          <w:rFonts w:cs="Calibri"/>
          <w:sz w:val="22"/>
          <w:szCs w:val="22"/>
        </w:rPr>
        <w:t xml:space="preserve"> too much from a national perspect</w:t>
      </w:r>
      <w:r w:rsidR="00A40385" w:rsidRPr="00FC1656">
        <w:rPr>
          <w:rFonts w:cs="Calibri"/>
          <w:sz w:val="22"/>
          <w:szCs w:val="22"/>
        </w:rPr>
        <w:t>ive, to allow the local areas to decide for themselves which members would best represent their needs.</w:t>
      </w:r>
    </w:p>
    <w:p w14:paraId="7ACF13B0" w14:textId="77777777" w:rsidR="00155D4D" w:rsidRPr="00FC1656" w:rsidRDefault="00155D4D" w:rsidP="009804F5">
      <w:pPr>
        <w:jc w:val="both"/>
        <w:rPr>
          <w:rFonts w:cs="Calibri"/>
          <w:b/>
          <w:bCs/>
          <w:sz w:val="22"/>
          <w:szCs w:val="22"/>
        </w:rPr>
      </w:pPr>
      <w:r w:rsidRPr="00FC1656">
        <w:rPr>
          <w:rFonts w:cs="Calibri"/>
          <w:b/>
          <w:bCs/>
          <w:sz w:val="22"/>
          <w:szCs w:val="22"/>
        </w:rPr>
        <w:t>Q12. How should actors (democratic, network, cross-sector) be best represented on the board? Please provide your reasoning, referring to each in turn.</w:t>
      </w:r>
    </w:p>
    <w:p w14:paraId="213B6A4F" w14:textId="25668A07" w:rsidR="000F5CDE" w:rsidRPr="00FC1656" w:rsidRDefault="00471512" w:rsidP="00517877">
      <w:pPr>
        <w:jc w:val="both"/>
        <w:rPr>
          <w:rFonts w:cs="Calibri"/>
          <w:b/>
          <w:bCs/>
          <w:sz w:val="22"/>
          <w:szCs w:val="22"/>
        </w:rPr>
      </w:pPr>
      <w:r w:rsidRPr="00FC1656">
        <w:rPr>
          <w:rFonts w:cs="Calibri"/>
          <w:sz w:val="22"/>
          <w:szCs w:val="22"/>
        </w:rPr>
        <w:t>KMEP supports the proposal to have network companies, county and unitary authorities on the regional strategic boards</w:t>
      </w:r>
      <w:r w:rsidR="004E6759" w:rsidRPr="00FC1656">
        <w:rPr>
          <w:rFonts w:cs="Calibri"/>
          <w:sz w:val="22"/>
          <w:szCs w:val="22"/>
        </w:rPr>
        <w:t xml:space="preserve"> – bringing together the technical and democratic voice. However, we would ask that consideration is given to how district authorities, businesses and</w:t>
      </w:r>
      <w:r w:rsidR="00FA4CEE" w:rsidRPr="00FC1656">
        <w:rPr>
          <w:rFonts w:cs="Calibri"/>
          <w:sz w:val="22"/>
          <w:szCs w:val="22"/>
        </w:rPr>
        <w:t xml:space="preserve"> transport organisations, alongside environmental groups, could input into the strategic board. Potentially having a sub-group beneath the Strategic Board, incorporating these groups, may be advantageous.</w:t>
      </w:r>
    </w:p>
    <w:p w14:paraId="7688330E" w14:textId="77777777" w:rsidR="00155D4D" w:rsidRPr="00FC1656" w:rsidRDefault="00155D4D" w:rsidP="009804F5">
      <w:pPr>
        <w:jc w:val="both"/>
        <w:rPr>
          <w:rFonts w:cs="Calibri"/>
          <w:b/>
          <w:bCs/>
          <w:sz w:val="22"/>
          <w:szCs w:val="22"/>
        </w:rPr>
      </w:pPr>
      <w:r w:rsidRPr="00FC1656">
        <w:rPr>
          <w:rFonts w:cs="Calibri"/>
          <w:b/>
          <w:bCs/>
          <w:sz w:val="22"/>
          <w:szCs w:val="22"/>
        </w:rPr>
        <w:t xml:space="preserve">Q13. Do agree with the adaptations proposed for Option 1? Please provide your reasoning. </w:t>
      </w:r>
    </w:p>
    <w:p w14:paraId="440AAB0D" w14:textId="3C83641B" w:rsidR="0037565A" w:rsidRPr="00FC1656" w:rsidRDefault="005A2112" w:rsidP="00341073">
      <w:pPr>
        <w:jc w:val="both"/>
        <w:rPr>
          <w:rFonts w:cs="Calibri"/>
          <w:sz w:val="22"/>
          <w:szCs w:val="22"/>
        </w:rPr>
      </w:pPr>
      <w:r w:rsidRPr="00FC1656">
        <w:rPr>
          <w:rFonts w:cs="Calibri"/>
          <w:sz w:val="22"/>
          <w:szCs w:val="22"/>
        </w:rPr>
        <w:t>The</w:t>
      </w:r>
      <w:r w:rsidR="00931C68" w:rsidRPr="00FC1656">
        <w:rPr>
          <w:rFonts w:cs="Calibri"/>
          <w:sz w:val="22"/>
          <w:szCs w:val="22"/>
        </w:rPr>
        <w:t xml:space="preserve"> STB-only model</w:t>
      </w:r>
      <w:r w:rsidR="002B32C7" w:rsidRPr="00FC1656">
        <w:rPr>
          <w:rFonts w:cs="Calibri"/>
          <w:sz w:val="22"/>
          <w:szCs w:val="22"/>
        </w:rPr>
        <w:t xml:space="preserve"> </w:t>
      </w:r>
      <w:r w:rsidR="00CB0CD5" w:rsidRPr="00FC1656">
        <w:rPr>
          <w:rFonts w:cs="Calibri"/>
          <w:sz w:val="22"/>
          <w:szCs w:val="22"/>
        </w:rPr>
        <w:t>and the Blended STB-ITL1 model</w:t>
      </w:r>
      <w:r w:rsidR="00E47996" w:rsidRPr="00FC1656">
        <w:rPr>
          <w:rFonts w:cs="Calibri"/>
          <w:sz w:val="22"/>
          <w:szCs w:val="22"/>
        </w:rPr>
        <w:t xml:space="preserve"> for option 1 are identical for the South East region</w:t>
      </w:r>
      <w:r w:rsidR="00315A00" w:rsidRPr="00FC1656">
        <w:rPr>
          <w:rFonts w:cs="Calibri"/>
          <w:sz w:val="22"/>
          <w:szCs w:val="22"/>
        </w:rPr>
        <w:t>. KMEP has a slight preference for the Blended STB-ITL1 model</w:t>
      </w:r>
      <w:r w:rsidR="00026073" w:rsidRPr="00FC1656">
        <w:rPr>
          <w:rFonts w:cs="Calibri"/>
          <w:sz w:val="22"/>
          <w:szCs w:val="22"/>
        </w:rPr>
        <w:t xml:space="preserve"> as the region</w:t>
      </w:r>
      <w:r w:rsidR="00341073" w:rsidRPr="00FC1656">
        <w:rPr>
          <w:rFonts w:cs="Calibri"/>
          <w:sz w:val="22"/>
          <w:szCs w:val="22"/>
        </w:rPr>
        <w:t>s</w:t>
      </w:r>
      <w:r w:rsidR="00026073" w:rsidRPr="00FC1656">
        <w:rPr>
          <w:rFonts w:cs="Calibri"/>
          <w:sz w:val="22"/>
          <w:szCs w:val="22"/>
        </w:rPr>
        <w:t xml:space="preserve"> are</w:t>
      </w:r>
      <w:r w:rsidR="00341073" w:rsidRPr="00FC1656">
        <w:rPr>
          <w:rFonts w:cs="Calibri"/>
          <w:sz w:val="22"/>
          <w:szCs w:val="22"/>
        </w:rPr>
        <w:t xml:space="preserve"> more evenly balanced in terms of population size. </w:t>
      </w:r>
      <w:r w:rsidR="00026073" w:rsidRPr="00FC1656">
        <w:rPr>
          <w:rFonts w:cs="Calibri"/>
          <w:sz w:val="22"/>
          <w:szCs w:val="22"/>
        </w:rPr>
        <w:t xml:space="preserve"> </w:t>
      </w:r>
      <w:r w:rsidR="00CB4E55" w:rsidRPr="00FC1656">
        <w:rPr>
          <w:rFonts w:cs="Calibri"/>
          <w:sz w:val="22"/>
          <w:szCs w:val="22"/>
        </w:rPr>
        <w:t xml:space="preserve">Having been part of the largest Local Enterprise Partnership until earlier this year, we have discovered that an imbalance in </w:t>
      </w:r>
      <w:r w:rsidR="00204A21" w:rsidRPr="00FC1656">
        <w:rPr>
          <w:rFonts w:cs="Calibri"/>
          <w:sz w:val="22"/>
          <w:szCs w:val="22"/>
        </w:rPr>
        <w:t xml:space="preserve">the size of regional boards can be disadvantageous. </w:t>
      </w:r>
    </w:p>
    <w:p w14:paraId="621B8756" w14:textId="77777777" w:rsidR="00155D4D" w:rsidRPr="00FC1656" w:rsidRDefault="00155D4D" w:rsidP="0055053B">
      <w:pPr>
        <w:jc w:val="both"/>
        <w:rPr>
          <w:rFonts w:cs="Calibri"/>
          <w:b/>
          <w:bCs/>
          <w:sz w:val="22"/>
          <w:szCs w:val="22"/>
        </w:rPr>
      </w:pPr>
      <w:r w:rsidRPr="00FC1656">
        <w:rPr>
          <w:rFonts w:cs="Calibri"/>
          <w:b/>
          <w:bCs/>
          <w:sz w:val="22"/>
          <w:szCs w:val="22"/>
        </w:rPr>
        <w:t>Q14. Do you agree with our assessment that Option 1 is a better solution than Option 2? Please provide your reasoning.</w:t>
      </w:r>
    </w:p>
    <w:p w14:paraId="343EACF8" w14:textId="362B944A" w:rsidR="00204A21" w:rsidRPr="00FC1656" w:rsidRDefault="005C0386" w:rsidP="0055053B">
      <w:pPr>
        <w:jc w:val="both"/>
        <w:rPr>
          <w:rFonts w:cs="Calibri"/>
          <w:sz w:val="22"/>
          <w:szCs w:val="22"/>
        </w:rPr>
      </w:pPr>
      <w:r w:rsidRPr="00FC1656">
        <w:rPr>
          <w:rFonts w:cs="Calibri"/>
          <w:sz w:val="22"/>
          <w:szCs w:val="22"/>
        </w:rPr>
        <w:t>Option 1 is a better solution that Option 2</w:t>
      </w:r>
      <w:r w:rsidR="00204A21" w:rsidRPr="00FC1656">
        <w:rPr>
          <w:rFonts w:cs="Calibri"/>
          <w:sz w:val="22"/>
          <w:szCs w:val="22"/>
        </w:rPr>
        <w:t xml:space="preserve"> in KMEP’s opinion</w:t>
      </w:r>
      <w:r w:rsidRPr="00FC1656">
        <w:rPr>
          <w:rFonts w:cs="Calibri"/>
          <w:sz w:val="22"/>
          <w:szCs w:val="22"/>
        </w:rPr>
        <w:t>.</w:t>
      </w:r>
      <w:r w:rsidR="00D25294" w:rsidRPr="00FC1656">
        <w:rPr>
          <w:rFonts w:cs="Calibri"/>
          <w:sz w:val="22"/>
          <w:szCs w:val="22"/>
        </w:rPr>
        <w:t xml:space="preserve"> </w:t>
      </w:r>
    </w:p>
    <w:p w14:paraId="1DA5F508" w14:textId="0E681A9A" w:rsidR="00543F03" w:rsidRPr="00FC1656" w:rsidRDefault="00543F03" w:rsidP="0055053B">
      <w:pPr>
        <w:jc w:val="both"/>
        <w:rPr>
          <w:rFonts w:cs="Calibri"/>
          <w:sz w:val="22"/>
          <w:szCs w:val="22"/>
        </w:rPr>
      </w:pPr>
      <w:r w:rsidRPr="00FC1656">
        <w:rPr>
          <w:rFonts w:cs="Calibri"/>
          <w:sz w:val="22"/>
          <w:szCs w:val="22"/>
        </w:rPr>
        <w:t xml:space="preserve">Kent &amp; Medway has established links with the other South East councils through the SE7 grouping, and through Transport for the South East. </w:t>
      </w:r>
      <w:r w:rsidR="00F63273" w:rsidRPr="00FC1656">
        <w:rPr>
          <w:rFonts w:cs="Calibri"/>
          <w:sz w:val="22"/>
          <w:szCs w:val="22"/>
        </w:rPr>
        <w:t>KMEP has not had prior involvement with our Midlands counterparts</w:t>
      </w:r>
      <w:r w:rsidR="005B6344" w:rsidRPr="00FC1656">
        <w:rPr>
          <w:rFonts w:cs="Calibri"/>
          <w:sz w:val="22"/>
          <w:szCs w:val="22"/>
        </w:rPr>
        <w:t xml:space="preserve">. The </w:t>
      </w:r>
      <w:r w:rsidR="009D650D" w:rsidRPr="00FC1656">
        <w:rPr>
          <w:rFonts w:cs="Calibri"/>
          <w:sz w:val="22"/>
          <w:szCs w:val="22"/>
        </w:rPr>
        <w:t>geography of option 2 – proposing a L-shaped region</w:t>
      </w:r>
      <w:r w:rsidR="0053493B" w:rsidRPr="00FC1656">
        <w:rPr>
          <w:rFonts w:cs="Calibri"/>
          <w:sz w:val="22"/>
          <w:szCs w:val="22"/>
        </w:rPr>
        <w:t xml:space="preserve"> -</w:t>
      </w:r>
      <w:r w:rsidR="004B5D3F" w:rsidRPr="00FC1656">
        <w:rPr>
          <w:rFonts w:cs="Calibri"/>
          <w:sz w:val="22"/>
          <w:szCs w:val="22"/>
        </w:rPr>
        <w:t xml:space="preserve"> does not feel very congruent, as London effectively acts as a </w:t>
      </w:r>
      <w:r w:rsidR="00E06072" w:rsidRPr="00FC1656">
        <w:rPr>
          <w:rFonts w:cs="Calibri"/>
          <w:sz w:val="22"/>
          <w:szCs w:val="22"/>
        </w:rPr>
        <w:t>physical barrier</w:t>
      </w:r>
      <w:r w:rsidR="00F63273" w:rsidRPr="00FC1656">
        <w:rPr>
          <w:rFonts w:cs="Calibri"/>
          <w:sz w:val="22"/>
          <w:szCs w:val="22"/>
        </w:rPr>
        <w:t xml:space="preserve"> </w:t>
      </w:r>
      <w:r w:rsidR="004B5D3F" w:rsidRPr="00FC1656">
        <w:rPr>
          <w:rFonts w:cs="Calibri"/>
          <w:sz w:val="22"/>
          <w:szCs w:val="22"/>
        </w:rPr>
        <w:t xml:space="preserve">between two parts of the </w:t>
      </w:r>
      <w:r w:rsidR="00E06072" w:rsidRPr="00FC1656">
        <w:rPr>
          <w:rFonts w:cs="Calibri"/>
          <w:sz w:val="22"/>
          <w:szCs w:val="22"/>
        </w:rPr>
        <w:t>proposed option 2 region.</w:t>
      </w:r>
    </w:p>
    <w:p w14:paraId="5523D3C5" w14:textId="77777777" w:rsidR="00155D4D" w:rsidRPr="00FC1656" w:rsidRDefault="00155D4D" w:rsidP="0055053B">
      <w:pPr>
        <w:jc w:val="both"/>
        <w:rPr>
          <w:rFonts w:cs="Calibri"/>
          <w:b/>
          <w:bCs/>
          <w:sz w:val="22"/>
          <w:szCs w:val="22"/>
        </w:rPr>
      </w:pPr>
      <w:r w:rsidRPr="00FC1656">
        <w:rPr>
          <w:rFonts w:cs="Calibri"/>
          <w:b/>
          <w:bCs/>
          <w:sz w:val="22"/>
          <w:szCs w:val="22"/>
        </w:rPr>
        <w:t>15. Do you agree a single region for Scotland is optimal? If you think a two region solution is better, do you agree the split should occur at the SSEN and SPEN DNO boundary? If not, please provide your reasoning and alternative option(s).</w:t>
      </w:r>
    </w:p>
    <w:p w14:paraId="2646162E" w14:textId="5D8B8C9C" w:rsidR="00EA131D" w:rsidRPr="00F30D1C" w:rsidRDefault="00CC5039" w:rsidP="0055053B">
      <w:pPr>
        <w:jc w:val="both"/>
        <w:rPr>
          <w:rFonts w:cs="Calibri"/>
          <w:sz w:val="22"/>
          <w:szCs w:val="22"/>
        </w:rPr>
      </w:pPr>
      <w:r w:rsidRPr="00FC1656">
        <w:rPr>
          <w:rFonts w:cs="Calibri"/>
          <w:sz w:val="22"/>
          <w:szCs w:val="22"/>
        </w:rPr>
        <w:t>It is not appropriate for KMEP to comment – We are based in England</w:t>
      </w:r>
      <w:r w:rsidR="00D800E1" w:rsidRPr="00FC1656">
        <w:rPr>
          <w:rFonts w:cs="Calibri"/>
          <w:sz w:val="22"/>
          <w:szCs w:val="22"/>
        </w:rPr>
        <w:t>.</w:t>
      </w:r>
    </w:p>
    <w:p w14:paraId="5A800B20" w14:textId="77777777" w:rsidR="00155D4D" w:rsidRPr="00F30D1C" w:rsidRDefault="00155D4D" w:rsidP="00155D4D">
      <w:pPr>
        <w:rPr>
          <w:rFonts w:cs="Calibri"/>
          <w:sz w:val="22"/>
          <w:szCs w:val="22"/>
        </w:rPr>
      </w:pPr>
    </w:p>
    <w:p w14:paraId="79E13A42" w14:textId="77777777" w:rsidR="00155D4D" w:rsidRPr="00F30D1C" w:rsidRDefault="00155D4D">
      <w:pPr>
        <w:rPr>
          <w:sz w:val="22"/>
          <w:szCs w:val="22"/>
        </w:rPr>
      </w:pPr>
    </w:p>
    <w:sectPr w:rsidR="00155D4D" w:rsidRPr="00F30D1C">
      <w:footerReference w:type="even" r:id="rId10"/>
      <w:footerReference w:type="defaul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F280A1" w14:textId="77777777" w:rsidR="00927E07" w:rsidRDefault="00927E07" w:rsidP="00F30D1C">
      <w:pPr>
        <w:spacing w:after="0" w:line="240" w:lineRule="auto"/>
      </w:pPr>
      <w:r>
        <w:separator/>
      </w:r>
    </w:p>
  </w:endnote>
  <w:endnote w:type="continuationSeparator" w:id="0">
    <w:p w14:paraId="798A0C38" w14:textId="77777777" w:rsidR="00927E07" w:rsidRDefault="00927E07" w:rsidP="00F30D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82B77" w14:textId="6433CDA0" w:rsidR="006A6C1C" w:rsidRDefault="006A6C1C">
    <w:pPr>
      <w:pStyle w:val="Footer"/>
    </w:pPr>
    <w:r>
      <w:rPr>
        <w:noProof/>
      </w:rPr>
      <mc:AlternateContent>
        <mc:Choice Requires="wps">
          <w:drawing>
            <wp:anchor distT="0" distB="0" distL="0" distR="0" simplePos="0" relativeHeight="251659264" behindDoc="0" locked="0" layoutInCell="1" allowOverlap="1" wp14:anchorId="32645129" wp14:editId="09FD3C70">
              <wp:simplePos x="635" y="635"/>
              <wp:positionH relativeFrom="page">
                <wp:align>center</wp:align>
              </wp:positionH>
              <wp:positionV relativeFrom="page">
                <wp:align>bottom</wp:align>
              </wp:positionV>
              <wp:extent cx="1114425" cy="352425"/>
              <wp:effectExtent l="0" t="0" r="9525" b="0"/>
              <wp:wrapNone/>
              <wp:docPr id="842297921"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52425"/>
                      </a:xfrm>
                      <a:prstGeom prst="rect">
                        <a:avLst/>
                      </a:prstGeom>
                      <a:noFill/>
                      <a:ln>
                        <a:noFill/>
                      </a:ln>
                    </wps:spPr>
                    <wps:txbx>
                      <w:txbxContent>
                        <w:p w14:paraId="6A8A3FC7" w14:textId="54BDA203" w:rsidR="006A6C1C" w:rsidRPr="006A6C1C" w:rsidRDefault="006A6C1C" w:rsidP="006A6C1C">
                          <w:pPr>
                            <w:spacing w:after="0"/>
                            <w:rPr>
                              <w:rFonts w:ascii="Calibri" w:eastAsia="Calibri" w:hAnsi="Calibri" w:cs="Calibri"/>
                              <w:noProof/>
                              <w:color w:val="000000"/>
                              <w:sz w:val="20"/>
                              <w:szCs w:val="20"/>
                            </w:rPr>
                          </w:pPr>
                          <w:r w:rsidRPr="006A6C1C">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2645129" id="_x0000_t202" coordsize="21600,21600" o:spt="202" path="m,l,21600r21600,l21600,xe">
              <v:stroke joinstyle="miter"/>
              <v:path gradientshapeok="t" o:connecttype="rect"/>
            </v:shapetype>
            <v:shape id="Text Box 2" o:spid="_x0000_s1026" type="#_x0000_t202" alt="OFFICIAL-InternalOnly" style="position:absolute;margin-left:0;margin-top:0;width:87.75pt;height:27.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" filled="f" stroked="f">
              <v:fill o:detectmouseclick="t"/>
              <v:textbox style="mso-fit-shape-to-text:t" inset="0,0,0,15pt">
                <w:txbxContent>
                  <w:p w14:paraId="6A8A3FC7" w14:textId="54BDA203" w:rsidR="006A6C1C" w:rsidRPr="006A6C1C" w:rsidRDefault="006A6C1C" w:rsidP="006A6C1C">
                    <w:pPr>
                      <w:spacing w:after="0"/>
                      <w:rPr>
                        <w:rFonts w:ascii="Calibri" w:eastAsia="Calibri" w:hAnsi="Calibri" w:cs="Calibri"/>
                        <w:noProof/>
                        <w:color w:val="000000"/>
                        <w:sz w:val="20"/>
                        <w:szCs w:val="20"/>
                      </w:rPr>
                    </w:pPr>
                    <w:r w:rsidRPr="006A6C1C">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B78AE" w14:textId="65D88A5C" w:rsidR="006A6C1C" w:rsidRDefault="006A6C1C">
    <w:pPr>
      <w:pStyle w:val="Footer"/>
    </w:pPr>
    <w:r>
      <w:rPr>
        <w:noProof/>
      </w:rPr>
      <mc:AlternateContent>
        <mc:Choice Requires="wps">
          <w:drawing>
            <wp:anchor distT="0" distB="0" distL="0" distR="0" simplePos="0" relativeHeight="251660288" behindDoc="0" locked="0" layoutInCell="1" allowOverlap="1" wp14:anchorId="3F40D871" wp14:editId="79FCB014">
              <wp:simplePos x="635" y="635"/>
              <wp:positionH relativeFrom="page">
                <wp:align>center</wp:align>
              </wp:positionH>
              <wp:positionV relativeFrom="page">
                <wp:align>bottom</wp:align>
              </wp:positionV>
              <wp:extent cx="1114425" cy="352425"/>
              <wp:effectExtent l="0" t="0" r="9525" b="0"/>
              <wp:wrapNone/>
              <wp:docPr id="887085374"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52425"/>
                      </a:xfrm>
                      <a:prstGeom prst="rect">
                        <a:avLst/>
                      </a:prstGeom>
                      <a:noFill/>
                      <a:ln>
                        <a:noFill/>
                      </a:ln>
                    </wps:spPr>
                    <wps:txbx>
                      <w:txbxContent>
                        <w:p w14:paraId="3316A1D1" w14:textId="064AADDD" w:rsidR="006A6C1C" w:rsidRPr="006A6C1C" w:rsidRDefault="006A6C1C" w:rsidP="006A6C1C">
                          <w:pPr>
                            <w:spacing w:after="0"/>
                            <w:rPr>
                              <w:rFonts w:ascii="Calibri" w:eastAsia="Calibri" w:hAnsi="Calibri" w:cs="Calibri"/>
                              <w:noProof/>
                              <w:color w:val="000000"/>
                              <w:sz w:val="20"/>
                              <w:szCs w:val="20"/>
                            </w:rPr>
                          </w:pPr>
                          <w:r w:rsidRPr="006A6C1C">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F40D871" id="_x0000_t202" coordsize="21600,21600" o:spt="202" path="m,l,21600r21600,l21600,xe">
              <v:stroke joinstyle="miter"/>
              <v:path gradientshapeok="t" o:connecttype="rect"/>
            </v:shapetype>
            <v:shape id="Text Box 3" o:spid="_x0000_s1027" type="#_x0000_t202" alt="OFFICIAL-InternalOnly" style="position:absolute;margin-left:0;margin-top:0;width:87.75pt;height:27.7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" filled="f" stroked="f">
              <v:fill o:detectmouseclick="t"/>
              <v:textbox style="mso-fit-shape-to-text:t" inset="0,0,0,15pt">
                <w:txbxContent>
                  <w:p w14:paraId="3316A1D1" w14:textId="064AADDD" w:rsidR="006A6C1C" w:rsidRPr="006A6C1C" w:rsidRDefault="006A6C1C" w:rsidP="006A6C1C">
                    <w:pPr>
                      <w:spacing w:after="0"/>
                      <w:rPr>
                        <w:rFonts w:ascii="Calibri" w:eastAsia="Calibri" w:hAnsi="Calibri" w:cs="Calibri"/>
                        <w:noProof/>
                        <w:color w:val="000000"/>
                        <w:sz w:val="20"/>
                        <w:szCs w:val="20"/>
                      </w:rPr>
                    </w:pPr>
                    <w:r w:rsidRPr="006A6C1C">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1E9E1" w14:textId="393EF23E" w:rsidR="006A6C1C" w:rsidRDefault="006A6C1C">
    <w:pPr>
      <w:pStyle w:val="Footer"/>
    </w:pPr>
    <w:r>
      <w:rPr>
        <w:noProof/>
      </w:rPr>
      <mc:AlternateContent>
        <mc:Choice Requires="wps">
          <w:drawing>
            <wp:anchor distT="0" distB="0" distL="0" distR="0" simplePos="0" relativeHeight="251658240" behindDoc="0" locked="0" layoutInCell="1" allowOverlap="1" wp14:anchorId="3EE017BB" wp14:editId="577D1847">
              <wp:simplePos x="635" y="635"/>
              <wp:positionH relativeFrom="page">
                <wp:align>center</wp:align>
              </wp:positionH>
              <wp:positionV relativeFrom="page">
                <wp:align>bottom</wp:align>
              </wp:positionV>
              <wp:extent cx="1114425" cy="352425"/>
              <wp:effectExtent l="0" t="0" r="9525" b="0"/>
              <wp:wrapNone/>
              <wp:docPr id="1897985627"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52425"/>
                      </a:xfrm>
                      <a:prstGeom prst="rect">
                        <a:avLst/>
                      </a:prstGeom>
                      <a:noFill/>
                      <a:ln>
                        <a:noFill/>
                      </a:ln>
                    </wps:spPr>
                    <wps:txbx>
                      <w:txbxContent>
                        <w:p w14:paraId="6AB054C3" w14:textId="09B09CD4" w:rsidR="006A6C1C" w:rsidRPr="006A6C1C" w:rsidRDefault="006A6C1C" w:rsidP="006A6C1C">
                          <w:pPr>
                            <w:spacing w:after="0"/>
                            <w:rPr>
                              <w:rFonts w:ascii="Calibri" w:eastAsia="Calibri" w:hAnsi="Calibri" w:cs="Calibri"/>
                              <w:noProof/>
                              <w:color w:val="000000"/>
                              <w:sz w:val="20"/>
                              <w:szCs w:val="20"/>
                            </w:rPr>
                          </w:pPr>
                          <w:r w:rsidRPr="006A6C1C">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EE017BB" id="_x0000_t202" coordsize="21600,21600" o:spt="202" path="m,l,21600r21600,l21600,xe">
              <v:stroke joinstyle="miter"/>
              <v:path gradientshapeok="t" o:connecttype="rect"/>
            </v:shapetype>
            <v:shape id="Text Box 1" o:spid="_x0000_s1028" type="#_x0000_t202" alt="OFFICIAL-InternalOnly" style="position:absolute;margin-left:0;margin-top:0;width:87.75pt;height:27.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" filled="f" stroked="f">
              <v:fill o:detectmouseclick="t"/>
              <v:textbox style="mso-fit-shape-to-text:t" inset="0,0,0,15pt">
                <w:txbxContent>
                  <w:p w14:paraId="6AB054C3" w14:textId="09B09CD4" w:rsidR="006A6C1C" w:rsidRPr="006A6C1C" w:rsidRDefault="006A6C1C" w:rsidP="006A6C1C">
                    <w:pPr>
                      <w:spacing w:after="0"/>
                      <w:rPr>
                        <w:rFonts w:ascii="Calibri" w:eastAsia="Calibri" w:hAnsi="Calibri" w:cs="Calibri"/>
                        <w:noProof/>
                        <w:color w:val="000000"/>
                        <w:sz w:val="20"/>
                        <w:szCs w:val="20"/>
                      </w:rPr>
                    </w:pPr>
                    <w:r w:rsidRPr="006A6C1C">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6FDDD9" w14:textId="77777777" w:rsidR="00927E07" w:rsidRDefault="00927E07" w:rsidP="00F30D1C">
      <w:pPr>
        <w:spacing w:after="0" w:line="240" w:lineRule="auto"/>
      </w:pPr>
      <w:r>
        <w:separator/>
      </w:r>
    </w:p>
  </w:footnote>
  <w:footnote w:type="continuationSeparator" w:id="0">
    <w:p w14:paraId="0F2F813C" w14:textId="77777777" w:rsidR="00927E07" w:rsidRDefault="00927E07" w:rsidP="00F30D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1640AF"/>
    <w:multiLevelType w:val="hybridMultilevel"/>
    <w:tmpl w:val="CD34E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A007799"/>
    <w:multiLevelType w:val="hybridMultilevel"/>
    <w:tmpl w:val="C64E3B1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4C05500"/>
    <w:multiLevelType w:val="hybridMultilevel"/>
    <w:tmpl w:val="4376786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 w15:restartNumberingAfterBreak="0">
    <w:nsid w:val="7C7C010D"/>
    <w:multiLevelType w:val="hybridMultilevel"/>
    <w:tmpl w:val="EA626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4301503">
    <w:abstractNumId w:val="1"/>
  </w:num>
  <w:num w:numId="2" w16cid:durableId="1817641499">
    <w:abstractNumId w:val="3"/>
  </w:num>
  <w:num w:numId="3" w16cid:durableId="862786758">
    <w:abstractNumId w:val="0"/>
  </w:num>
  <w:num w:numId="4" w16cid:durableId="16940723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5FB"/>
    <w:rsid w:val="00000ED5"/>
    <w:rsid w:val="0000686F"/>
    <w:rsid w:val="000117F3"/>
    <w:rsid w:val="00011C2C"/>
    <w:rsid w:val="00012AEA"/>
    <w:rsid w:val="00015BD5"/>
    <w:rsid w:val="00026073"/>
    <w:rsid w:val="00027960"/>
    <w:rsid w:val="000353D1"/>
    <w:rsid w:val="00035C75"/>
    <w:rsid w:val="0003653F"/>
    <w:rsid w:val="00040B6D"/>
    <w:rsid w:val="000452CD"/>
    <w:rsid w:val="000579FA"/>
    <w:rsid w:val="00060590"/>
    <w:rsid w:val="000616CD"/>
    <w:rsid w:val="000623BE"/>
    <w:rsid w:val="0007796E"/>
    <w:rsid w:val="00083031"/>
    <w:rsid w:val="00083244"/>
    <w:rsid w:val="000A2798"/>
    <w:rsid w:val="000A5E38"/>
    <w:rsid w:val="000A6977"/>
    <w:rsid w:val="000A7254"/>
    <w:rsid w:val="000A7C32"/>
    <w:rsid w:val="000B2EC3"/>
    <w:rsid w:val="000B71EF"/>
    <w:rsid w:val="000B7F0B"/>
    <w:rsid w:val="000C31D3"/>
    <w:rsid w:val="000C7C48"/>
    <w:rsid w:val="000E1621"/>
    <w:rsid w:val="000E17DC"/>
    <w:rsid w:val="000E524D"/>
    <w:rsid w:val="000E6B64"/>
    <w:rsid w:val="000E7290"/>
    <w:rsid w:val="000F5CDE"/>
    <w:rsid w:val="000F6452"/>
    <w:rsid w:val="00101BD1"/>
    <w:rsid w:val="00101C07"/>
    <w:rsid w:val="00112B4E"/>
    <w:rsid w:val="0011667E"/>
    <w:rsid w:val="001203B9"/>
    <w:rsid w:val="00124C95"/>
    <w:rsid w:val="001259FA"/>
    <w:rsid w:val="00125AA8"/>
    <w:rsid w:val="00130FE0"/>
    <w:rsid w:val="00133CE0"/>
    <w:rsid w:val="00136087"/>
    <w:rsid w:val="00140177"/>
    <w:rsid w:val="00144BAF"/>
    <w:rsid w:val="00155C40"/>
    <w:rsid w:val="00155D4D"/>
    <w:rsid w:val="00160164"/>
    <w:rsid w:val="0016020E"/>
    <w:rsid w:val="0016096E"/>
    <w:rsid w:val="00161492"/>
    <w:rsid w:val="001659CC"/>
    <w:rsid w:val="0017148F"/>
    <w:rsid w:val="00172DA7"/>
    <w:rsid w:val="00173208"/>
    <w:rsid w:val="0019126F"/>
    <w:rsid w:val="00195D88"/>
    <w:rsid w:val="00197258"/>
    <w:rsid w:val="00197BC0"/>
    <w:rsid w:val="001A7E73"/>
    <w:rsid w:val="001D5778"/>
    <w:rsid w:val="001E1DA0"/>
    <w:rsid w:val="00204A21"/>
    <w:rsid w:val="002059FC"/>
    <w:rsid w:val="00205DD5"/>
    <w:rsid w:val="00207F65"/>
    <w:rsid w:val="002120AD"/>
    <w:rsid w:val="002231C3"/>
    <w:rsid w:val="00223987"/>
    <w:rsid w:val="002407AD"/>
    <w:rsid w:val="00246A42"/>
    <w:rsid w:val="00260410"/>
    <w:rsid w:val="00262D63"/>
    <w:rsid w:val="00265355"/>
    <w:rsid w:val="002849D4"/>
    <w:rsid w:val="00293AF3"/>
    <w:rsid w:val="00293F8E"/>
    <w:rsid w:val="002960B0"/>
    <w:rsid w:val="00296C9F"/>
    <w:rsid w:val="002A0BB2"/>
    <w:rsid w:val="002A0C65"/>
    <w:rsid w:val="002B1DEE"/>
    <w:rsid w:val="002B32C7"/>
    <w:rsid w:val="002B635B"/>
    <w:rsid w:val="002B78DF"/>
    <w:rsid w:val="002C1E03"/>
    <w:rsid w:val="002D4C31"/>
    <w:rsid w:val="002D6A8D"/>
    <w:rsid w:val="002F2562"/>
    <w:rsid w:val="002F77BA"/>
    <w:rsid w:val="003059A2"/>
    <w:rsid w:val="003118A6"/>
    <w:rsid w:val="00315A00"/>
    <w:rsid w:val="00316BFF"/>
    <w:rsid w:val="00320EED"/>
    <w:rsid w:val="003214BB"/>
    <w:rsid w:val="003278DD"/>
    <w:rsid w:val="00330D98"/>
    <w:rsid w:val="003349D0"/>
    <w:rsid w:val="00341073"/>
    <w:rsid w:val="00341AD7"/>
    <w:rsid w:val="00371A7F"/>
    <w:rsid w:val="00374BAF"/>
    <w:rsid w:val="0037565A"/>
    <w:rsid w:val="00377333"/>
    <w:rsid w:val="00377522"/>
    <w:rsid w:val="00386598"/>
    <w:rsid w:val="00386747"/>
    <w:rsid w:val="003B2C49"/>
    <w:rsid w:val="003D119A"/>
    <w:rsid w:val="003D2548"/>
    <w:rsid w:val="003E5225"/>
    <w:rsid w:val="004016A1"/>
    <w:rsid w:val="004058E3"/>
    <w:rsid w:val="00412855"/>
    <w:rsid w:val="004201BB"/>
    <w:rsid w:val="0042585F"/>
    <w:rsid w:val="004321DE"/>
    <w:rsid w:val="00433434"/>
    <w:rsid w:val="00440B99"/>
    <w:rsid w:val="004506A0"/>
    <w:rsid w:val="004577AC"/>
    <w:rsid w:val="00460261"/>
    <w:rsid w:val="00471512"/>
    <w:rsid w:val="00472454"/>
    <w:rsid w:val="0048605A"/>
    <w:rsid w:val="00496939"/>
    <w:rsid w:val="004A5866"/>
    <w:rsid w:val="004A6ECE"/>
    <w:rsid w:val="004B13EE"/>
    <w:rsid w:val="004B3F2C"/>
    <w:rsid w:val="004B5D3F"/>
    <w:rsid w:val="004B7EF6"/>
    <w:rsid w:val="004C30D0"/>
    <w:rsid w:val="004C518B"/>
    <w:rsid w:val="004E1F69"/>
    <w:rsid w:val="004E31B5"/>
    <w:rsid w:val="004E6759"/>
    <w:rsid w:val="00503A91"/>
    <w:rsid w:val="0051132C"/>
    <w:rsid w:val="0051473F"/>
    <w:rsid w:val="00517877"/>
    <w:rsid w:val="00521C4F"/>
    <w:rsid w:val="005225CB"/>
    <w:rsid w:val="0052402B"/>
    <w:rsid w:val="005309F9"/>
    <w:rsid w:val="0053493B"/>
    <w:rsid w:val="005405BC"/>
    <w:rsid w:val="00542695"/>
    <w:rsid w:val="00543F03"/>
    <w:rsid w:val="0055053B"/>
    <w:rsid w:val="00550A18"/>
    <w:rsid w:val="00554B19"/>
    <w:rsid w:val="00554F2B"/>
    <w:rsid w:val="005573D9"/>
    <w:rsid w:val="00557903"/>
    <w:rsid w:val="00560670"/>
    <w:rsid w:val="005630A6"/>
    <w:rsid w:val="005654F9"/>
    <w:rsid w:val="00565B5F"/>
    <w:rsid w:val="005751A1"/>
    <w:rsid w:val="005920D5"/>
    <w:rsid w:val="00596808"/>
    <w:rsid w:val="005A1203"/>
    <w:rsid w:val="005A2112"/>
    <w:rsid w:val="005A32C0"/>
    <w:rsid w:val="005A33F0"/>
    <w:rsid w:val="005A3B6E"/>
    <w:rsid w:val="005A56A6"/>
    <w:rsid w:val="005A649D"/>
    <w:rsid w:val="005A6808"/>
    <w:rsid w:val="005B0536"/>
    <w:rsid w:val="005B2949"/>
    <w:rsid w:val="005B43D1"/>
    <w:rsid w:val="005B5E90"/>
    <w:rsid w:val="005B6344"/>
    <w:rsid w:val="005B7AB1"/>
    <w:rsid w:val="005C0386"/>
    <w:rsid w:val="005C57CE"/>
    <w:rsid w:val="005C6251"/>
    <w:rsid w:val="005D00A6"/>
    <w:rsid w:val="005E1E7B"/>
    <w:rsid w:val="005E2081"/>
    <w:rsid w:val="005F39AB"/>
    <w:rsid w:val="005F3CFC"/>
    <w:rsid w:val="005F6B04"/>
    <w:rsid w:val="005F7948"/>
    <w:rsid w:val="00600EE4"/>
    <w:rsid w:val="00611F02"/>
    <w:rsid w:val="0061248B"/>
    <w:rsid w:val="00615161"/>
    <w:rsid w:val="0063070E"/>
    <w:rsid w:val="006309DE"/>
    <w:rsid w:val="00634A40"/>
    <w:rsid w:val="006371C7"/>
    <w:rsid w:val="00637A83"/>
    <w:rsid w:val="006428CC"/>
    <w:rsid w:val="00646ADE"/>
    <w:rsid w:val="00655DA0"/>
    <w:rsid w:val="00680221"/>
    <w:rsid w:val="00683791"/>
    <w:rsid w:val="0068568B"/>
    <w:rsid w:val="00686FA9"/>
    <w:rsid w:val="00687C60"/>
    <w:rsid w:val="0069422A"/>
    <w:rsid w:val="00695417"/>
    <w:rsid w:val="00696282"/>
    <w:rsid w:val="006A2662"/>
    <w:rsid w:val="006A4C4E"/>
    <w:rsid w:val="006A62A5"/>
    <w:rsid w:val="006A6C1C"/>
    <w:rsid w:val="006B16F5"/>
    <w:rsid w:val="006B3035"/>
    <w:rsid w:val="006B390C"/>
    <w:rsid w:val="006D343B"/>
    <w:rsid w:val="006E0721"/>
    <w:rsid w:val="006E2703"/>
    <w:rsid w:val="006E374D"/>
    <w:rsid w:val="006F00E2"/>
    <w:rsid w:val="007020D9"/>
    <w:rsid w:val="007036DE"/>
    <w:rsid w:val="007037EC"/>
    <w:rsid w:val="00704253"/>
    <w:rsid w:val="007120EC"/>
    <w:rsid w:val="0071789F"/>
    <w:rsid w:val="00720FC5"/>
    <w:rsid w:val="007214A0"/>
    <w:rsid w:val="00726865"/>
    <w:rsid w:val="00733119"/>
    <w:rsid w:val="007407B9"/>
    <w:rsid w:val="00741F45"/>
    <w:rsid w:val="00742E04"/>
    <w:rsid w:val="007444CC"/>
    <w:rsid w:val="00750D7A"/>
    <w:rsid w:val="0077354F"/>
    <w:rsid w:val="00773715"/>
    <w:rsid w:val="00785178"/>
    <w:rsid w:val="00796B3B"/>
    <w:rsid w:val="007B04EF"/>
    <w:rsid w:val="007B0DAC"/>
    <w:rsid w:val="007B7791"/>
    <w:rsid w:val="007C7835"/>
    <w:rsid w:val="007C7F2F"/>
    <w:rsid w:val="007D732F"/>
    <w:rsid w:val="007E2195"/>
    <w:rsid w:val="007E4AB8"/>
    <w:rsid w:val="007E608A"/>
    <w:rsid w:val="007E61D2"/>
    <w:rsid w:val="007E6F95"/>
    <w:rsid w:val="007F58D5"/>
    <w:rsid w:val="0080412C"/>
    <w:rsid w:val="00805B38"/>
    <w:rsid w:val="00823A7C"/>
    <w:rsid w:val="008242F2"/>
    <w:rsid w:val="008357E4"/>
    <w:rsid w:val="00835819"/>
    <w:rsid w:val="008358DA"/>
    <w:rsid w:val="00836180"/>
    <w:rsid w:val="008378D7"/>
    <w:rsid w:val="00842714"/>
    <w:rsid w:val="0084500E"/>
    <w:rsid w:val="00847B79"/>
    <w:rsid w:val="0085101A"/>
    <w:rsid w:val="00855A3D"/>
    <w:rsid w:val="00874254"/>
    <w:rsid w:val="008743E0"/>
    <w:rsid w:val="00876BF6"/>
    <w:rsid w:val="0088017C"/>
    <w:rsid w:val="00881CA2"/>
    <w:rsid w:val="00882CCE"/>
    <w:rsid w:val="0088364F"/>
    <w:rsid w:val="00884D52"/>
    <w:rsid w:val="0088771D"/>
    <w:rsid w:val="00891C7F"/>
    <w:rsid w:val="00893B1C"/>
    <w:rsid w:val="00894C67"/>
    <w:rsid w:val="00896514"/>
    <w:rsid w:val="008A084F"/>
    <w:rsid w:val="008A336F"/>
    <w:rsid w:val="008B6186"/>
    <w:rsid w:val="008B682C"/>
    <w:rsid w:val="008C0D7A"/>
    <w:rsid w:val="008D19F0"/>
    <w:rsid w:val="008D1A0F"/>
    <w:rsid w:val="008E0794"/>
    <w:rsid w:val="008E7FEB"/>
    <w:rsid w:val="008F7C7F"/>
    <w:rsid w:val="00901E52"/>
    <w:rsid w:val="00902298"/>
    <w:rsid w:val="009114B2"/>
    <w:rsid w:val="0091170A"/>
    <w:rsid w:val="009208B3"/>
    <w:rsid w:val="00926040"/>
    <w:rsid w:val="00927E07"/>
    <w:rsid w:val="00931C68"/>
    <w:rsid w:val="009376BC"/>
    <w:rsid w:val="00957876"/>
    <w:rsid w:val="00964907"/>
    <w:rsid w:val="00965F5B"/>
    <w:rsid w:val="00977943"/>
    <w:rsid w:val="009804F5"/>
    <w:rsid w:val="00984419"/>
    <w:rsid w:val="00987F0C"/>
    <w:rsid w:val="009A1D0F"/>
    <w:rsid w:val="009A6DAB"/>
    <w:rsid w:val="009A783B"/>
    <w:rsid w:val="009A7DDB"/>
    <w:rsid w:val="009B2664"/>
    <w:rsid w:val="009C020A"/>
    <w:rsid w:val="009C1F7D"/>
    <w:rsid w:val="009D2172"/>
    <w:rsid w:val="009D4369"/>
    <w:rsid w:val="009D55F4"/>
    <w:rsid w:val="009D650D"/>
    <w:rsid w:val="009E38DF"/>
    <w:rsid w:val="009E7E54"/>
    <w:rsid w:val="009F132A"/>
    <w:rsid w:val="009F3A10"/>
    <w:rsid w:val="00A03FC3"/>
    <w:rsid w:val="00A060C5"/>
    <w:rsid w:val="00A15086"/>
    <w:rsid w:val="00A36411"/>
    <w:rsid w:val="00A36A08"/>
    <w:rsid w:val="00A40385"/>
    <w:rsid w:val="00A40A8F"/>
    <w:rsid w:val="00A40EAB"/>
    <w:rsid w:val="00A454AC"/>
    <w:rsid w:val="00A51131"/>
    <w:rsid w:val="00A542CC"/>
    <w:rsid w:val="00A7602B"/>
    <w:rsid w:val="00A80DC5"/>
    <w:rsid w:val="00A820FA"/>
    <w:rsid w:val="00A852C6"/>
    <w:rsid w:val="00A9124A"/>
    <w:rsid w:val="00A9154B"/>
    <w:rsid w:val="00A935AD"/>
    <w:rsid w:val="00A9590A"/>
    <w:rsid w:val="00A97DF8"/>
    <w:rsid w:val="00AA4B43"/>
    <w:rsid w:val="00AB6AA4"/>
    <w:rsid w:val="00AC0CBF"/>
    <w:rsid w:val="00AC36BD"/>
    <w:rsid w:val="00AC3F84"/>
    <w:rsid w:val="00AD2FCC"/>
    <w:rsid w:val="00AE086F"/>
    <w:rsid w:val="00AE35C8"/>
    <w:rsid w:val="00AF47E4"/>
    <w:rsid w:val="00B01AF3"/>
    <w:rsid w:val="00B061B2"/>
    <w:rsid w:val="00B113EE"/>
    <w:rsid w:val="00B11D33"/>
    <w:rsid w:val="00B13536"/>
    <w:rsid w:val="00B13FC7"/>
    <w:rsid w:val="00B16826"/>
    <w:rsid w:val="00B17F89"/>
    <w:rsid w:val="00B2271C"/>
    <w:rsid w:val="00B22FB4"/>
    <w:rsid w:val="00B31465"/>
    <w:rsid w:val="00B32CFB"/>
    <w:rsid w:val="00B336B4"/>
    <w:rsid w:val="00B50160"/>
    <w:rsid w:val="00B53362"/>
    <w:rsid w:val="00B54684"/>
    <w:rsid w:val="00B54A08"/>
    <w:rsid w:val="00B566FA"/>
    <w:rsid w:val="00B56FFF"/>
    <w:rsid w:val="00B625FB"/>
    <w:rsid w:val="00B700E7"/>
    <w:rsid w:val="00B72998"/>
    <w:rsid w:val="00B74340"/>
    <w:rsid w:val="00B8052A"/>
    <w:rsid w:val="00B823FE"/>
    <w:rsid w:val="00B85C1A"/>
    <w:rsid w:val="00B86F5D"/>
    <w:rsid w:val="00B906DF"/>
    <w:rsid w:val="00BA1766"/>
    <w:rsid w:val="00BA2889"/>
    <w:rsid w:val="00BA54A2"/>
    <w:rsid w:val="00BA5C86"/>
    <w:rsid w:val="00BB4E1A"/>
    <w:rsid w:val="00BB50BD"/>
    <w:rsid w:val="00BC0F8F"/>
    <w:rsid w:val="00BD13C7"/>
    <w:rsid w:val="00BD1C90"/>
    <w:rsid w:val="00BE3D9A"/>
    <w:rsid w:val="00BF1660"/>
    <w:rsid w:val="00BF28BF"/>
    <w:rsid w:val="00C00BE9"/>
    <w:rsid w:val="00C04BF5"/>
    <w:rsid w:val="00C10EAF"/>
    <w:rsid w:val="00C152F5"/>
    <w:rsid w:val="00C157B2"/>
    <w:rsid w:val="00C230C6"/>
    <w:rsid w:val="00C23359"/>
    <w:rsid w:val="00C24B53"/>
    <w:rsid w:val="00C30A67"/>
    <w:rsid w:val="00C44B6F"/>
    <w:rsid w:val="00C45E1E"/>
    <w:rsid w:val="00C47EDF"/>
    <w:rsid w:val="00C5117B"/>
    <w:rsid w:val="00C6153F"/>
    <w:rsid w:val="00C64330"/>
    <w:rsid w:val="00C66E89"/>
    <w:rsid w:val="00C672D7"/>
    <w:rsid w:val="00C6791B"/>
    <w:rsid w:val="00C7604B"/>
    <w:rsid w:val="00C87647"/>
    <w:rsid w:val="00C90D6B"/>
    <w:rsid w:val="00C91030"/>
    <w:rsid w:val="00C91EEB"/>
    <w:rsid w:val="00C92DDF"/>
    <w:rsid w:val="00C9768C"/>
    <w:rsid w:val="00CA111B"/>
    <w:rsid w:val="00CA3683"/>
    <w:rsid w:val="00CA639F"/>
    <w:rsid w:val="00CB0CD5"/>
    <w:rsid w:val="00CB4E55"/>
    <w:rsid w:val="00CB5968"/>
    <w:rsid w:val="00CC3DDE"/>
    <w:rsid w:val="00CC5039"/>
    <w:rsid w:val="00CE2FFB"/>
    <w:rsid w:val="00D0084E"/>
    <w:rsid w:val="00D0199F"/>
    <w:rsid w:val="00D03FC9"/>
    <w:rsid w:val="00D05314"/>
    <w:rsid w:val="00D25294"/>
    <w:rsid w:val="00D264E9"/>
    <w:rsid w:val="00D33706"/>
    <w:rsid w:val="00D42B82"/>
    <w:rsid w:val="00D53EF2"/>
    <w:rsid w:val="00D60055"/>
    <w:rsid w:val="00D60506"/>
    <w:rsid w:val="00D63B6B"/>
    <w:rsid w:val="00D63FC3"/>
    <w:rsid w:val="00D6400C"/>
    <w:rsid w:val="00D64039"/>
    <w:rsid w:val="00D66051"/>
    <w:rsid w:val="00D7214D"/>
    <w:rsid w:val="00D777C2"/>
    <w:rsid w:val="00D800E1"/>
    <w:rsid w:val="00D81C6A"/>
    <w:rsid w:val="00D84100"/>
    <w:rsid w:val="00D95AB5"/>
    <w:rsid w:val="00D96F10"/>
    <w:rsid w:val="00D9722D"/>
    <w:rsid w:val="00DA05DC"/>
    <w:rsid w:val="00DA4AA2"/>
    <w:rsid w:val="00DC11FB"/>
    <w:rsid w:val="00DD05C0"/>
    <w:rsid w:val="00DD4712"/>
    <w:rsid w:val="00DD6094"/>
    <w:rsid w:val="00DE0817"/>
    <w:rsid w:val="00DE5DA6"/>
    <w:rsid w:val="00DF6765"/>
    <w:rsid w:val="00DF7C2A"/>
    <w:rsid w:val="00E01CFA"/>
    <w:rsid w:val="00E041F0"/>
    <w:rsid w:val="00E06072"/>
    <w:rsid w:val="00E10BBF"/>
    <w:rsid w:val="00E14B9C"/>
    <w:rsid w:val="00E16110"/>
    <w:rsid w:val="00E20697"/>
    <w:rsid w:val="00E22E3C"/>
    <w:rsid w:val="00E2498E"/>
    <w:rsid w:val="00E26E69"/>
    <w:rsid w:val="00E47996"/>
    <w:rsid w:val="00E50603"/>
    <w:rsid w:val="00E56933"/>
    <w:rsid w:val="00E6143C"/>
    <w:rsid w:val="00E626DE"/>
    <w:rsid w:val="00E635FB"/>
    <w:rsid w:val="00E640DF"/>
    <w:rsid w:val="00E64BC0"/>
    <w:rsid w:val="00E659C8"/>
    <w:rsid w:val="00E71E7B"/>
    <w:rsid w:val="00E7313A"/>
    <w:rsid w:val="00EA131D"/>
    <w:rsid w:val="00EB37FC"/>
    <w:rsid w:val="00EB3BCB"/>
    <w:rsid w:val="00EB664E"/>
    <w:rsid w:val="00EC0B83"/>
    <w:rsid w:val="00ED3463"/>
    <w:rsid w:val="00ED3A96"/>
    <w:rsid w:val="00EE2A37"/>
    <w:rsid w:val="00EE4642"/>
    <w:rsid w:val="00EE66E4"/>
    <w:rsid w:val="00EE7395"/>
    <w:rsid w:val="00EF749A"/>
    <w:rsid w:val="00F017F2"/>
    <w:rsid w:val="00F10C18"/>
    <w:rsid w:val="00F1144D"/>
    <w:rsid w:val="00F13A35"/>
    <w:rsid w:val="00F1430D"/>
    <w:rsid w:val="00F161CD"/>
    <w:rsid w:val="00F30D1C"/>
    <w:rsid w:val="00F341E8"/>
    <w:rsid w:val="00F4121D"/>
    <w:rsid w:val="00F41AF4"/>
    <w:rsid w:val="00F46960"/>
    <w:rsid w:val="00F477F9"/>
    <w:rsid w:val="00F52CA5"/>
    <w:rsid w:val="00F53237"/>
    <w:rsid w:val="00F5704B"/>
    <w:rsid w:val="00F577A1"/>
    <w:rsid w:val="00F63273"/>
    <w:rsid w:val="00F72E5C"/>
    <w:rsid w:val="00F73D16"/>
    <w:rsid w:val="00F92D58"/>
    <w:rsid w:val="00FA4CEE"/>
    <w:rsid w:val="00FA4D2D"/>
    <w:rsid w:val="00FA528D"/>
    <w:rsid w:val="00FA74B0"/>
    <w:rsid w:val="00FA79B6"/>
    <w:rsid w:val="00FA7A35"/>
    <w:rsid w:val="00FB534C"/>
    <w:rsid w:val="00FB6DE2"/>
    <w:rsid w:val="00FC1656"/>
    <w:rsid w:val="00FC1ABF"/>
    <w:rsid w:val="00FE11E6"/>
    <w:rsid w:val="00FE442B"/>
    <w:rsid w:val="00FF3D1D"/>
    <w:rsid w:val="00FF4069"/>
    <w:rsid w:val="1CB9077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61BBE"/>
  <w15:chartTrackingRefBased/>
  <w15:docId w15:val="{FE6DFEDF-6B4F-4742-B607-E1EF1AEC3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25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625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625F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25F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25F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25F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25F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25F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25F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25F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625F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25F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25F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25F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25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25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25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25FB"/>
    <w:rPr>
      <w:rFonts w:eastAsiaTheme="majorEastAsia" w:cstheme="majorBidi"/>
      <w:color w:val="272727" w:themeColor="text1" w:themeTint="D8"/>
    </w:rPr>
  </w:style>
  <w:style w:type="paragraph" w:styleId="Title">
    <w:name w:val="Title"/>
    <w:basedOn w:val="Normal"/>
    <w:next w:val="Normal"/>
    <w:link w:val="TitleChar"/>
    <w:uiPriority w:val="10"/>
    <w:qFormat/>
    <w:rsid w:val="00B625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25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25F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25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25FB"/>
    <w:pPr>
      <w:spacing w:before="160"/>
      <w:jc w:val="center"/>
    </w:pPr>
    <w:rPr>
      <w:i/>
      <w:iCs/>
      <w:color w:val="404040" w:themeColor="text1" w:themeTint="BF"/>
    </w:rPr>
  </w:style>
  <w:style w:type="character" w:customStyle="1" w:styleId="QuoteChar">
    <w:name w:val="Quote Char"/>
    <w:basedOn w:val="DefaultParagraphFont"/>
    <w:link w:val="Quote"/>
    <w:uiPriority w:val="29"/>
    <w:rsid w:val="00B625FB"/>
    <w:rPr>
      <w:i/>
      <w:iCs/>
      <w:color w:val="404040" w:themeColor="text1" w:themeTint="BF"/>
    </w:rPr>
  </w:style>
  <w:style w:type="paragraph" w:styleId="ListParagraph">
    <w:name w:val="List Paragraph"/>
    <w:basedOn w:val="Normal"/>
    <w:link w:val="ListParagraphChar"/>
    <w:uiPriority w:val="34"/>
    <w:qFormat/>
    <w:rsid w:val="00B625FB"/>
    <w:pPr>
      <w:ind w:left="720"/>
      <w:contextualSpacing/>
    </w:pPr>
  </w:style>
  <w:style w:type="character" w:styleId="IntenseEmphasis">
    <w:name w:val="Intense Emphasis"/>
    <w:basedOn w:val="DefaultParagraphFont"/>
    <w:uiPriority w:val="21"/>
    <w:qFormat/>
    <w:rsid w:val="00B625FB"/>
    <w:rPr>
      <w:i/>
      <w:iCs/>
      <w:color w:val="0F4761" w:themeColor="accent1" w:themeShade="BF"/>
    </w:rPr>
  </w:style>
  <w:style w:type="paragraph" w:styleId="IntenseQuote">
    <w:name w:val="Intense Quote"/>
    <w:basedOn w:val="Normal"/>
    <w:next w:val="Normal"/>
    <w:link w:val="IntenseQuoteChar"/>
    <w:uiPriority w:val="30"/>
    <w:qFormat/>
    <w:rsid w:val="00B625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25FB"/>
    <w:rPr>
      <w:i/>
      <w:iCs/>
      <w:color w:val="0F4761" w:themeColor="accent1" w:themeShade="BF"/>
    </w:rPr>
  </w:style>
  <w:style w:type="character" w:styleId="IntenseReference">
    <w:name w:val="Intense Reference"/>
    <w:basedOn w:val="DefaultParagraphFont"/>
    <w:uiPriority w:val="32"/>
    <w:qFormat/>
    <w:rsid w:val="00B625FB"/>
    <w:rPr>
      <w:b/>
      <w:bCs/>
      <w:smallCaps/>
      <w:color w:val="0F4761" w:themeColor="accent1" w:themeShade="BF"/>
      <w:spacing w:val="5"/>
    </w:rPr>
  </w:style>
  <w:style w:type="character" w:styleId="Hyperlink">
    <w:name w:val="Hyperlink"/>
    <w:basedOn w:val="DefaultParagraphFont"/>
    <w:uiPriority w:val="99"/>
    <w:unhideWhenUsed/>
    <w:rsid w:val="00155D4D"/>
    <w:rPr>
      <w:color w:val="467886" w:themeColor="hyperlink"/>
      <w:u w:val="single"/>
    </w:rPr>
  </w:style>
  <w:style w:type="character" w:styleId="CommentReference">
    <w:name w:val="annotation reference"/>
    <w:basedOn w:val="DefaultParagraphFont"/>
    <w:uiPriority w:val="99"/>
    <w:semiHidden/>
    <w:unhideWhenUsed/>
    <w:rsid w:val="00884D52"/>
    <w:rPr>
      <w:sz w:val="16"/>
      <w:szCs w:val="16"/>
    </w:rPr>
  </w:style>
  <w:style w:type="paragraph" w:styleId="CommentText">
    <w:name w:val="annotation text"/>
    <w:basedOn w:val="Normal"/>
    <w:link w:val="CommentTextChar"/>
    <w:uiPriority w:val="99"/>
    <w:unhideWhenUsed/>
    <w:rsid w:val="00884D52"/>
    <w:pPr>
      <w:spacing w:line="240" w:lineRule="auto"/>
    </w:pPr>
    <w:rPr>
      <w:sz w:val="20"/>
      <w:szCs w:val="20"/>
    </w:rPr>
  </w:style>
  <w:style w:type="character" w:customStyle="1" w:styleId="CommentTextChar">
    <w:name w:val="Comment Text Char"/>
    <w:basedOn w:val="DefaultParagraphFont"/>
    <w:link w:val="CommentText"/>
    <w:uiPriority w:val="99"/>
    <w:rsid w:val="00884D52"/>
    <w:rPr>
      <w:sz w:val="20"/>
      <w:szCs w:val="20"/>
    </w:rPr>
  </w:style>
  <w:style w:type="paragraph" w:styleId="CommentSubject">
    <w:name w:val="annotation subject"/>
    <w:basedOn w:val="CommentText"/>
    <w:next w:val="CommentText"/>
    <w:link w:val="CommentSubjectChar"/>
    <w:uiPriority w:val="99"/>
    <w:semiHidden/>
    <w:unhideWhenUsed/>
    <w:rsid w:val="00884D52"/>
    <w:rPr>
      <w:b/>
      <w:bCs/>
    </w:rPr>
  </w:style>
  <w:style w:type="character" w:customStyle="1" w:styleId="CommentSubjectChar">
    <w:name w:val="Comment Subject Char"/>
    <w:basedOn w:val="CommentTextChar"/>
    <w:link w:val="CommentSubject"/>
    <w:uiPriority w:val="99"/>
    <w:semiHidden/>
    <w:rsid w:val="00884D52"/>
    <w:rPr>
      <w:b/>
      <w:bCs/>
      <w:sz w:val="20"/>
      <w:szCs w:val="20"/>
    </w:rPr>
  </w:style>
  <w:style w:type="character" w:customStyle="1" w:styleId="ListParagraphChar">
    <w:name w:val="List Paragraph Char"/>
    <w:basedOn w:val="DefaultParagraphFont"/>
    <w:link w:val="ListParagraph"/>
    <w:uiPriority w:val="34"/>
    <w:rsid w:val="00F30D1C"/>
  </w:style>
  <w:style w:type="paragraph" w:styleId="FootnoteText">
    <w:name w:val="footnote text"/>
    <w:basedOn w:val="Normal"/>
    <w:link w:val="FootnoteTextChar"/>
    <w:uiPriority w:val="99"/>
    <w:semiHidden/>
    <w:unhideWhenUsed/>
    <w:rsid w:val="00F30D1C"/>
    <w:pPr>
      <w:spacing w:after="0" w:line="240" w:lineRule="auto"/>
    </w:pPr>
    <w:rPr>
      <w:kern w:val="0"/>
      <w:sz w:val="20"/>
      <w:szCs w:val="20"/>
      <w14:ligatures w14:val="none"/>
    </w:rPr>
  </w:style>
  <w:style w:type="character" w:customStyle="1" w:styleId="FootnoteTextChar">
    <w:name w:val="Footnote Text Char"/>
    <w:basedOn w:val="DefaultParagraphFont"/>
    <w:link w:val="FootnoteText"/>
    <w:uiPriority w:val="99"/>
    <w:semiHidden/>
    <w:rsid w:val="00F30D1C"/>
    <w:rPr>
      <w:kern w:val="0"/>
      <w:sz w:val="20"/>
      <w:szCs w:val="20"/>
      <w14:ligatures w14:val="none"/>
    </w:rPr>
  </w:style>
  <w:style w:type="character" w:styleId="FootnoteReference">
    <w:name w:val="footnote reference"/>
    <w:basedOn w:val="DefaultParagraphFont"/>
    <w:uiPriority w:val="99"/>
    <w:semiHidden/>
    <w:unhideWhenUsed/>
    <w:rsid w:val="00F30D1C"/>
    <w:rPr>
      <w:vertAlign w:val="superscript"/>
    </w:rPr>
  </w:style>
  <w:style w:type="paragraph" w:styleId="Footer">
    <w:name w:val="footer"/>
    <w:basedOn w:val="Normal"/>
    <w:link w:val="FooterChar"/>
    <w:uiPriority w:val="99"/>
    <w:unhideWhenUsed/>
    <w:rsid w:val="006A6C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6C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b924acf664d3cc2c008bf9f1229026c0">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a511933326fa8c1d42f997b98fdfa5b9"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61880048-4fdc-4270-b558-fce9c25ee2e7}"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6cb9b8b-803b-4490-b567-e65a3085b720">
      <Terms xmlns="http://schemas.microsoft.com/office/infopath/2007/PartnerControls"/>
    </lcf76f155ced4ddcb4097134ff3c332f>
    <TaxCatchAll xmlns="038f6385-163d-4837-a2ce-e161dcb09188"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AE1463-409F-4CAA-84CF-96961AD86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cb9b8b-803b-4490-b567-e65a3085b720"/>
    <ds:schemaRef ds:uri="038f6385-163d-4837-a2ce-e161dcb09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6E1356-D99A-4FD2-9F8D-29F9FF00251B}">
  <ds:schemaRefs>
    <ds:schemaRef ds:uri="http://schemas.microsoft.com/office/2006/metadata/properties"/>
    <ds:schemaRef ds:uri="http://schemas.microsoft.com/office/infopath/2007/PartnerControls"/>
    <ds:schemaRef ds:uri="http://schemas.microsoft.com/sharepoint/v3"/>
    <ds:schemaRef ds:uri="b6cb9b8b-803b-4490-b567-e65a3085b720"/>
    <ds:schemaRef ds:uri="038f6385-163d-4837-a2ce-e161dcb09188"/>
  </ds:schemaRefs>
</ds:datastoreItem>
</file>

<file path=customXml/itemProps3.xml><?xml version="1.0" encoding="utf-8"?>
<ds:datastoreItem xmlns:ds="http://schemas.openxmlformats.org/officeDocument/2006/customXml" ds:itemID="{0B593F1C-D1DB-43C4-BCFF-DE2971E4F560}">
  <ds:schemaRefs>
    <ds:schemaRef ds:uri="http://schemas.microsoft.com/sharepoint/v3/contenttype/forms"/>
  </ds:schemaRefs>
</ds:datastoreItem>
</file>

<file path=docMetadata/LabelInfo.xml><?xml version="1.0" encoding="utf-8"?>
<clbl:labelList xmlns:clbl="http://schemas.microsoft.com/office/2020/mipLabelMetadata">
  <clbl:label id="{3253a20d-c735-4bfe-a8b7-3e6ab37f5f90}" enabled="0" method="" siteId="{3253a20d-c735-4bfe-a8b7-3e6ab37f5f90}"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1938</Words>
  <Characters>11050</Characters>
  <Application>Microsoft Office Word</Application>
  <DocSecurity>0</DocSecurity>
  <Lines>92</Lines>
  <Paragraphs>25</Paragraphs>
  <ScaleCrop>false</ScaleCrop>
  <Company/>
  <LinksUpToDate>false</LinksUpToDate>
  <CharactersWithSpaces>12963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Henderson - GT - ECE</dc:creator>
  <cp:keywords/>
  <dc:description/>
  <cp:lastModifiedBy>Megan Gill</cp:lastModifiedBy>
  <cp:revision>3</cp:revision>
  <dcterms:created xsi:type="dcterms:W3CDTF">2024-10-08T13:59:00Z</dcterms:created>
  <dcterms:modified xsi:type="dcterms:W3CDTF">2024-10-08T13:59:00Z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0x010100B897A04BE4877B48AEC8623F331C2D9E</vt:lpwstr>
  </property>
  <property fmtid="{D5CDD505-2E9C-101B-9397-08002B2CF9AE}" pid="3" name="ClassificationContentMarkingFooterShapeIds">
    <vt:lpwstr>7120f65b,32347241,34dfd93e</vt:lpwstr>
  </property>
  <property fmtid="{D5CDD505-2E9C-101B-9397-08002B2CF9AE}" pid="4" name="ClassificationContentMarkingFooterFontProps">
    <vt:lpwstr>#000000,10,Calibri</vt:lpwstr>
  </property>
  <property fmtid="{D5CDD505-2E9C-101B-9397-08002B2CF9AE}" pid="5" name="ClassificationContentMarkingFooterText">
    <vt:lpwstr>OFFICIAL-InternalOnly</vt:lpwstr>
  </property>
  <property fmtid="{D5CDD505-2E9C-101B-9397-08002B2CF9AE}" pid="6" name="MSIP_Label_38144ccb-b10a-4c0f-b070-7a3b00ac7463_Enabled">
    <vt:lpwstr>true</vt:lpwstr>
  </property>
  <property fmtid="{D5CDD505-2E9C-101B-9397-08002B2CF9AE}" pid="7" name="MSIP_Label_38144ccb-b10a-4c0f-b070-7a3b00ac7463_SetDate">
    <vt:lpwstr>2024-10-08T13:59:21Z</vt:lpwstr>
  </property>
  <property fmtid="{D5CDD505-2E9C-101B-9397-08002B2CF9AE}" pid="8" name="MSIP_Label_38144ccb-b10a-4c0f-b070-7a3b00ac7463_Method">
    <vt:lpwstr>Standard</vt:lpwstr>
  </property>
  <property fmtid="{D5CDD505-2E9C-101B-9397-08002B2CF9AE}" pid="9" name="MSIP_Label_38144ccb-b10a-4c0f-b070-7a3b00ac7463_Name">
    <vt:lpwstr>InternalOnly</vt:lpwstr>
  </property>
  <property fmtid="{D5CDD505-2E9C-101B-9397-08002B2CF9AE}" pid="10" name="MSIP_Label_38144ccb-b10a-4c0f-b070-7a3b00ac7463_SiteId">
    <vt:lpwstr>185562ad-39bc-4840-8e40-be6216340c52</vt:lpwstr>
  </property>
  <property fmtid="{D5CDD505-2E9C-101B-9397-08002B2CF9AE}" pid="11" name="MSIP_Label_38144ccb-b10a-4c0f-b070-7a3b00ac7463_ActionId">
    <vt:lpwstr>db78465b-b14b-4655-83da-f42a609770e8</vt:lpwstr>
  </property>
  <property fmtid="{D5CDD505-2E9C-101B-9397-08002B2CF9AE}" pid="12" name="MSIP_Label_38144ccb-b10a-4c0f-b070-7a3b00ac7463_ContentBits">
    <vt:lpwstr>2</vt:lpwstr>
  </property>
  <property fmtid="{D5CDD505-2E9C-101B-9397-08002B2CF9AE}" pid="13" name="MediaServiceImageTags">
    <vt:lpwstr/>
  </property>
</Properties>
</file>