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6C6A3B" w14:textId="11E87DBF" w:rsidR="008D619D" w:rsidRDefault="003B5ACB" w:rsidP="008D619D">
      <w:pPr>
        <w:jc w:val="center"/>
        <w:rPr>
          <w:b/>
          <w:bCs/>
          <w:u w:val="single"/>
        </w:rPr>
      </w:pPr>
      <w:r>
        <w:rPr>
          <w:b/>
          <w:bCs/>
          <w:u w:val="single"/>
        </w:rPr>
        <w:t>Consumer Consent Consultation</w:t>
      </w:r>
      <w:r w:rsidR="00B04366">
        <w:rPr>
          <w:b/>
          <w:bCs/>
          <w:u w:val="single"/>
        </w:rPr>
        <w:t xml:space="preserve"> Response – Energy Technology Group</w:t>
      </w:r>
    </w:p>
    <w:p w14:paraId="5D6EB695" w14:textId="6AD784CA" w:rsidR="00CD5805" w:rsidRDefault="00CD5805" w:rsidP="008D619D">
      <w:pPr>
        <w:rPr>
          <w:b/>
          <w:bCs/>
        </w:rPr>
      </w:pPr>
      <w:r>
        <w:rPr>
          <w:b/>
          <w:bCs/>
        </w:rPr>
        <w:t>Energy Tec</w:t>
      </w:r>
      <w:r w:rsidR="00322C68">
        <w:rPr>
          <w:b/>
          <w:bCs/>
        </w:rPr>
        <w:t>hnology Group</w:t>
      </w:r>
      <w:r w:rsidR="00DD7DC1">
        <w:rPr>
          <w:b/>
          <w:bCs/>
        </w:rPr>
        <w:t xml:space="preserve"> Introduction</w:t>
      </w:r>
    </w:p>
    <w:p w14:paraId="785726DC" w14:textId="42B66A50" w:rsidR="002A2D3F" w:rsidRPr="002A2D3F" w:rsidRDefault="00322C68" w:rsidP="002A2D3F">
      <w:pPr>
        <w:jc w:val="both"/>
      </w:pPr>
      <w:r>
        <w:t>The Energy Technology Group</w:t>
      </w:r>
      <w:r w:rsidR="002F0F64">
        <w:t xml:space="preserve"> (ETG)</w:t>
      </w:r>
      <w:r>
        <w:t xml:space="preserve"> consist of</w:t>
      </w:r>
      <w:r w:rsidR="003D79A3">
        <w:t xml:space="preserve"> </w:t>
      </w:r>
      <w:r w:rsidR="00BA679E">
        <w:t xml:space="preserve">Low Carbon </w:t>
      </w:r>
      <w:r w:rsidR="003D79A3">
        <w:t xml:space="preserve">Technology </w:t>
      </w:r>
      <w:r w:rsidR="003D71CA">
        <w:t xml:space="preserve">focussed businesses developing solutions for consumers </w:t>
      </w:r>
      <w:r w:rsidR="00A64B53">
        <w:t>across EV charging, Heat Pump</w:t>
      </w:r>
      <w:r w:rsidR="006540F8">
        <w:t>, Home Energy Management</w:t>
      </w:r>
      <w:r w:rsidR="006424B8">
        <w:t xml:space="preserve"> and Domestic Flexibility markets.</w:t>
      </w:r>
      <w:r w:rsidR="0030595A">
        <w:t xml:space="preserve"> </w:t>
      </w:r>
      <w:r w:rsidR="002A2D3F">
        <w:t>We exist t</w:t>
      </w:r>
      <w:r w:rsidR="002A2D3F" w:rsidRPr="002A2D3F">
        <w:rPr>
          <w:lang w:val="en-US"/>
        </w:rPr>
        <w:t xml:space="preserve">o </w:t>
      </w:r>
      <w:r w:rsidR="002A2D3F" w:rsidRPr="002A2D3F">
        <w:rPr>
          <w:b/>
          <w:bCs/>
          <w:lang w:val="en-US"/>
        </w:rPr>
        <w:t>promote the interests</w:t>
      </w:r>
      <w:r w:rsidR="002A2D3F" w:rsidRPr="002A2D3F">
        <w:rPr>
          <w:lang w:val="en-US"/>
        </w:rPr>
        <w:t xml:space="preserve"> of distributed LCT companies across industry and Government</w:t>
      </w:r>
      <w:r w:rsidR="002A2D3F">
        <w:rPr>
          <w:lang w:val="en-US"/>
        </w:rPr>
        <w:t xml:space="preserve"> through </w:t>
      </w:r>
      <w:r w:rsidR="002A2D3F" w:rsidRPr="002A2D3F">
        <w:rPr>
          <w:lang w:val="en-US"/>
        </w:rPr>
        <w:t xml:space="preserve">an informal </w:t>
      </w:r>
      <w:r w:rsidR="002A2D3F" w:rsidRPr="002A2D3F">
        <w:rPr>
          <w:b/>
          <w:bCs/>
          <w:lang w:val="en-US"/>
        </w:rPr>
        <w:t>forum</w:t>
      </w:r>
      <w:r w:rsidR="002A2D3F" w:rsidRPr="002A2D3F">
        <w:rPr>
          <w:lang w:val="en-US"/>
        </w:rPr>
        <w:t xml:space="preserve"> </w:t>
      </w:r>
      <w:r w:rsidR="002A2D3F">
        <w:rPr>
          <w:lang w:val="en-US"/>
        </w:rPr>
        <w:t>where</w:t>
      </w:r>
      <w:r w:rsidR="002A2D3F" w:rsidRPr="002A2D3F">
        <w:rPr>
          <w:lang w:val="en-US"/>
        </w:rPr>
        <w:t xml:space="preserve"> members address shared policy and regulatory challenges.</w:t>
      </w:r>
    </w:p>
    <w:p w14:paraId="111A6CA3" w14:textId="78E68D72" w:rsidR="00E53AAE" w:rsidRPr="00617260" w:rsidRDefault="00E53AAE" w:rsidP="00E53AAE">
      <w:pPr>
        <w:jc w:val="both"/>
      </w:pPr>
      <w:r>
        <w:t>As</w:t>
      </w:r>
      <w:r w:rsidRPr="00617260">
        <w:t xml:space="preserve"> </w:t>
      </w:r>
      <w:r w:rsidR="00B02137">
        <w:t>fast-growing</w:t>
      </w:r>
      <w:r w:rsidR="00206B38">
        <w:t xml:space="preserve"> innovators</w:t>
      </w:r>
      <w:r w:rsidRPr="00617260">
        <w:t xml:space="preserve"> in the </w:t>
      </w:r>
      <w:r w:rsidR="006A50B4">
        <w:t xml:space="preserve">energy </w:t>
      </w:r>
      <w:r w:rsidRPr="00617260">
        <w:t xml:space="preserve">sector, </w:t>
      </w:r>
      <w:r w:rsidR="006A50B4">
        <w:t xml:space="preserve">we are </w:t>
      </w:r>
      <w:r w:rsidRPr="00617260">
        <w:t xml:space="preserve">delivering the technology that unlocks the flexibility required by the system, aggregating this capability, engaging with </w:t>
      </w:r>
      <w:r w:rsidR="00DA37CA">
        <w:t>the end consumer</w:t>
      </w:r>
      <w:r w:rsidRPr="00617260">
        <w:t xml:space="preserve"> and shaping the system's needs around customers' preferences.</w:t>
      </w:r>
      <w:r w:rsidR="009B79E9" w:rsidRPr="009B79E9">
        <w:t xml:space="preserve"> As we are linked to those assets that customers value – E</w:t>
      </w:r>
      <w:r w:rsidR="009B79E9">
        <w:t>V</w:t>
      </w:r>
      <w:r w:rsidR="009B79E9" w:rsidRPr="009B79E9">
        <w:t xml:space="preserve">s, heat technologies, PV assets – we have a unique and different relationship and connection with customers and our technology is what delivers the “smartness” in the system. </w:t>
      </w:r>
      <w:r w:rsidR="004B710F">
        <w:t xml:space="preserve"> </w:t>
      </w:r>
      <w:r w:rsidR="004B710F" w:rsidRPr="008B3084">
        <w:t>In addition</w:t>
      </w:r>
      <w:r w:rsidR="008B3084" w:rsidRPr="008B3084">
        <w:t>,</w:t>
      </w:r>
      <w:r w:rsidR="004B710F" w:rsidRPr="008B3084">
        <w:t xml:space="preserve"> and as importantly we are the fixed asset with the connection to the customer for the </w:t>
      </w:r>
      <w:r w:rsidR="008B3084" w:rsidRPr="008B3084">
        <w:t>long-term</w:t>
      </w:r>
      <w:r w:rsidR="004B710F" w:rsidRPr="008B3084">
        <w:t xml:space="preserve"> whichever energy supplier they chose.</w:t>
      </w:r>
      <w:r w:rsidR="004B710F">
        <w:t xml:space="preserve"> </w:t>
      </w:r>
    </w:p>
    <w:p w14:paraId="460FFC21" w14:textId="18C5CDE6" w:rsidR="00E86F32" w:rsidRDefault="00E86F32" w:rsidP="00866778">
      <w:pPr>
        <w:jc w:val="both"/>
      </w:pPr>
      <w:r>
        <w:t xml:space="preserve">With </w:t>
      </w:r>
      <w:r w:rsidR="00582775">
        <w:t>millions</w:t>
      </w:r>
      <w:r>
        <w:t xml:space="preserve"> of engaged consumers using ETG products and services</w:t>
      </w:r>
      <w:r w:rsidR="00406ACF">
        <w:t xml:space="preserve"> in the UK and Europe</w:t>
      </w:r>
      <w:r w:rsidR="00C421DE">
        <w:t xml:space="preserve">, </w:t>
      </w:r>
      <w:r w:rsidR="00B02137">
        <w:t xml:space="preserve">our </w:t>
      </w:r>
      <w:r w:rsidR="00C421DE">
        <w:t xml:space="preserve">innovative businesses </w:t>
      </w:r>
      <w:r w:rsidR="003762E6">
        <w:t xml:space="preserve">are </w:t>
      </w:r>
      <w:r w:rsidR="00B02137">
        <w:t xml:space="preserve">delivering </w:t>
      </w:r>
      <w:r w:rsidR="00CE1810">
        <w:t xml:space="preserve">new business models </w:t>
      </w:r>
      <w:r w:rsidR="00E67F13">
        <w:t>and consumer centric</w:t>
      </w:r>
      <w:r w:rsidR="00206A14">
        <w:t>, digitalised</w:t>
      </w:r>
      <w:r w:rsidR="00E67F13">
        <w:t xml:space="preserve"> </w:t>
      </w:r>
      <w:r w:rsidR="00060EA6">
        <w:t xml:space="preserve">ESA and DSR solutions </w:t>
      </w:r>
      <w:r w:rsidR="00AD175C">
        <w:t xml:space="preserve">that </w:t>
      </w:r>
      <w:r w:rsidR="00935DBC">
        <w:t xml:space="preserve">are more impactful than </w:t>
      </w:r>
      <w:r w:rsidR="00060EA6">
        <w:t>the traditional supplier</w:t>
      </w:r>
      <w:r w:rsidR="00AD175C">
        <w:t>-centric views o</w:t>
      </w:r>
      <w:r w:rsidR="00935DBC">
        <w:t xml:space="preserve">f energy system </w:t>
      </w:r>
      <w:r w:rsidR="00AD175C">
        <w:t>customer relationships</w:t>
      </w:r>
      <w:r w:rsidR="00866778">
        <w:t>.</w:t>
      </w:r>
    </w:p>
    <w:p w14:paraId="71748F41" w14:textId="30F8D9B5" w:rsidR="008D619D" w:rsidRDefault="008D619D" w:rsidP="008D619D">
      <w:pPr>
        <w:rPr>
          <w:b/>
          <w:bCs/>
        </w:rPr>
      </w:pPr>
      <w:r>
        <w:rPr>
          <w:b/>
          <w:bCs/>
        </w:rPr>
        <w:t>Context</w:t>
      </w:r>
    </w:p>
    <w:p w14:paraId="4F99D113" w14:textId="0CD528F3" w:rsidR="00644892" w:rsidRDefault="00B65195" w:rsidP="00644892">
      <w:pPr>
        <w:jc w:val="both"/>
      </w:pPr>
      <w:r>
        <w:t xml:space="preserve">Overall, </w:t>
      </w:r>
      <w:r w:rsidR="00590F89">
        <w:t xml:space="preserve">ETG members support </w:t>
      </w:r>
      <w:r w:rsidR="007C6B76">
        <w:t>the</w:t>
      </w:r>
      <w:r w:rsidR="00F24D43">
        <w:t xml:space="preserve"> </w:t>
      </w:r>
      <w:r w:rsidR="00776A0A">
        <w:t>principles detailed in the Ofgem</w:t>
      </w:r>
      <w:r w:rsidR="008D619D">
        <w:t xml:space="preserve"> consultation</w:t>
      </w:r>
      <w:r w:rsidR="00CF6499">
        <w:t xml:space="preserve"> as </w:t>
      </w:r>
      <w:r w:rsidR="00FB55F3">
        <w:t>providing a</w:t>
      </w:r>
      <w:r w:rsidR="00253D5A">
        <w:t xml:space="preserve"> simple</w:t>
      </w:r>
      <w:r w:rsidR="00FB55F3">
        <w:t xml:space="preserve"> Customer Consent Solution for sharing energy data</w:t>
      </w:r>
      <w:r w:rsidR="00253D5A">
        <w:t xml:space="preserve"> will remove some of the barriers for </w:t>
      </w:r>
      <w:r w:rsidR="0068362D">
        <w:t>Energy Smart Appliance Manufacturers, Operators and Flexibility Service Providers</w:t>
      </w:r>
      <w:r w:rsidR="00DF2A5F">
        <w:t xml:space="preserve"> to develop their propositions and ensure consumers have choice in both Implicit and Explicit </w:t>
      </w:r>
      <w:r w:rsidR="00C81D39">
        <w:t>Flexibility Services in the future.</w:t>
      </w:r>
    </w:p>
    <w:p w14:paraId="0FFC3680" w14:textId="3B91781E" w:rsidR="00501813" w:rsidRDefault="00644892" w:rsidP="00644892">
      <w:pPr>
        <w:jc w:val="both"/>
      </w:pPr>
      <w:r>
        <w:t xml:space="preserve">In summary, </w:t>
      </w:r>
      <w:r w:rsidR="001E0727">
        <w:t xml:space="preserve">some of the key points for Ofgem to consider </w:t>
      </w:r>
      <w:r w:rsidR="00501813">
        <w:t>in ref</w:t>
      </w:r>
      <w:r w:rsidR="00717C50">
        <w:t>in</w:t>
      </w:r>
      <w:r w:rsidR="00501813">
        <w:t>ing their proposals include:-</w:t>
      </w:r>
    </w:p>
    <w:p w14:paraId="18E79B85" w14:textId="38C2A29E" w:rsidR="00501813" w:rsidRPr="00501813" w:rsidRDefault="00501813" w:rsidP="00501813">
      <w:pPr>
        <w:numPr>
          <w:ilvl w:val="0"/>
          <w:numId w:val="16"/>
        </w:numPr>
        <w:jc w:val="both"/>
        <w:rPr>
          <w:noProof/>
        </w:rPr>
      </w:pPr>
      <w:r>
        <w:rPr>
          <w:b/>
          <w:bCs/>
          <w:noProof/>
        </w:rPr>
        <w:t xml:space="preserve">The </w:t>
      </w:r>
      <w:r w:rsidRPr="00501813">
        <w:rPr>
          <w:b/>
          <w:bCs/>
          <w:noProof/>
        </w:rPr>
        <w:t>Customer Journey</w:t>
      </w:r>
      <w:r w:rsidRPr="008B3084">
        <w:rPr>
          <w:b/>
          <w:bCs/>
          <w:noProof/>
        </w:rPr>
        <w:t>:</w:t>
      </w:r>
      <w:r w:rsidRPr="008B3084">
        <w:rPr>
          <w:noProof/>
        </w:rPr>
        <w:t xml:space="preserve">  </w:t>
      </w:r>
      <w:r w:rsidR="004B710F" w:rsidRPr="008B3084">
        <w:rPr>
          <w:noProof/>
        </w:rPr>
        <w:t xml:space="preserve">We are keen to urge policy and regulation to be totally customer centric. </w:t>
      </w:r>
      <w:r w:rsidR="004E6DB8" w:rsidRPr="008B3084">
        <w:rPr>
          <w:noProof/>
        </w:rPr>
        <w:t>Consumers purch</w:t>
      </w:r>
      <w:r w:rsidR="004E6DB8">
        <w:rPr>
          <w:noProof/>
        </w:rPr>
        <w:t>asing an ESA, whether an EV Charging Point, a Heatpump or Solar PV and Battery</w:t>
      </w:r>
      <w:r w:rsidR="007901F7">
        <w:rPr>
          <w:noProof/>
        </w:rPr>
        <w:t xml:space="preserve"> will undertake a customer </w:t>
      </w:r>
      <w:r w:rsidR="007901F7" w:rsidRPr="008B3084">
        <w:rPr>
          <w:noProof/>
        </w:rPr>
        <w:t>journe</w:t>
      </w:r>
      <w:r w:rsidR="004B710F" w:rsidRPr="008B3084">
        <w:rPr>
          <w:noProof/>
        </w:rPr>
        <w:t>y</w:t>
      </w:r>
      <w:r w:rsidR="007901F7" w:rsidRPr="008B3084">
        <w:rPr>
          <w:noProof/>
        </w:rPr>
        <w:t xml:space="preserve"> th</w:t>
      </w:r>
      <w:r w:rsidR="007901F7">
        <w:rPr>
          <w:noProof/>
        </w:rPr>
        <w:t xml:space="preserve">at is very different to the traditional process of switching energy supplier. </w:t>
      </w:r>
      <w:r w:rsidR="00FA6E64">
        <w:rPr>
          <w:noProof/>
        </w:rPr>
        <w:t>ETG recommend these different jour</w:t>
      </w:r>
      <w:r w:rsidR="00603701">
        <w:rPr>
          <w:noProof/>
        </w:rPr>
        <w:t xml:space="preserve">neys are understood, and how </w:t>
      </w:r>
      <w:r w:rsidR="001253B2">
        <w:rPr>
          <w:noProof/>
        </w:rPr>
        <w:t xml:space="preserve">customers will provide consent for their ESA </w:t>
      </w:r>
      <w:r w:rsidR="00373437">
        <w:rPr>
          <w:noProof/>
        </w:rPr>
        <w:t xml:space="preserve">to be used in Flexibility Services and how this will differ </w:t>
      </w:r>
      <w:r w:rsidR="00644B19">
        <w:rPr>
          <w:noProof/>
        </w:rPr>
        <w:t>from providing consent to share their energy data</w:t>
      </w:r>
      <w:r w:rsidR="00940229">
        <w:rPr>
          <w:noProof/>
        </w:rPr>
        <w:t>.</w:t>
      </w:r>
      <w:r w:rsidRPr="00501813">
        <w:rPr>
          <w:noProof/>
        </w:rPr>
        <w:t xml:space="preserve"> </w:t>
      </w:r>
    </w:p>
    <w:p w14:paraId="0845ED93" w14:textId="38A310FA" w:rsidR="00501813" w:rsidRPr="00501813" w:rsidRDefault="00B55B6D" w:rsidP="00501813">
      <w:pPr>
        <w:numPr>
          <w:ilvl w:val="0"/>
          <w:numId w:val="17"/>
        </w:numPr>
        <w:jc w:val="both"/>
        <w:rPr>
          <w:noProof/>
        </w:rPr>
      </w:pPr>
      <w:r>
        <w:rPr>
          <w:b/>
          <w:bCs/>
          <w:noProof/>
        </w:rPr>
        <w:t>Energy Industry</w:t>
      </w:r>
      <w:r w:rsidR="00501813" w:rsidRPr="00501813">
        <w:rPr>
          <w:b/>
          <w:bCs/>
          <w:noProof/>
        </w:rPr>
        <w:t xml:space="preserve"> Focus:</w:t>
      </w:r>
      <w:r w:rsidR="00501813" w:rsidRPr="00501813">
        <w:rPr>
          <w:noProof/>
        </w:rPr>
        <w:t xml:space="preserve">  </w:t>
      </w:r>
      <w:r w:rsidR="004B710F" w:rsidRPr="008B3084">
        <w:rPr>
          <w:noProof/>
        </w:rPr>
        <w:t>Regulation needs to reflect the customer needs and desires and we are concerned about the choice of delivery partners.</w:t>
      </w:r>
      <w:r w:rsidR="005470B9">
        <w:rPr>
          <w:noProof/>
        </w:rPr>
        <w:t xml:space="preserve"> Electralink,</w:t>
      </w:r>
      <w:r w:rsidR="00501813" w:rsidRPr="00501813">
        <w:rPr>
          <w:noProof/>
        </w:rPr>
        <w:t xml:space="preserve"> RECCo</w:t>
      </w:r>
      <w:r w:rsidR="005470B9">
        <w:rPr>
          <w:noProof/>
        </w:rPr>
        <w:t xml:space="preserve"> and Smart DCC</w:t>
      </w:r>
      <w:r w:rsidR="00501813" w:rsidRPr="00501813">
        <w:rPr>
          <w:noProof/>
        </w:rPr>
        <w:t xml:space="preserve"> </w:t>
      </w:r>
      <w:r w:rsidR="00C7381C">
        <w:rPr>
          <w:noProof/>
        </w:rPr>
        <w:t>are not customer focussed entities</w:t>
      </w:r>
      <w:r w:rsidR="0060252C">
        <w:rPr>
          <w:noProof/>
        </w:rPr>
        <w:t>,</w:t>
      </w:r>
      <w:r w:rsidR="00C7381C">
        <w:rPr>
          <w:noProof/>
        </w:rPr>
        <w:t xml:space="preserve"> </w:t>
      </w:r>
      <w:r w:rsidR="00501813" w:rsidRPr="00501813">
        <w:rPr>
          <w:noProof/>
        </w:rPr>
        <w:t xml:space="preserve">will struggle </w:t>
      </w:r>
      <w:r w:rsidR="0060252C">
        <w:rPr>
          <w:noProof/>
        </w:rPr>
        <w:t>to develop</w:t>
      </w:r>
      <w:r w:rsidR="00501813" w:rsidRPr="00501813">
        <w:rPr>
          <w:noProof/>
        </w:rPr>
        <w:t xml:space="preserve"> </w:t>
      </w:r>
      <w:r w:rsidR="0060252C">
        <w:rPr>
          <w:noProof/>
        </w:rPr>
        <w:t>consumer f</w:t>
      </w:r>
      <w:r w:rsidR="00501813" w:rsidRPr="00501813">
        <w:rPr>
          <w:noProof/>
        </w:rPr>
        <w:t xml:space="preserve">ocused solutions and </w:t>
      </w:r>
      <w:r w:rsidR="00E60DAF">
        <w:rPr>
          <w:noProof/>
        </w:rPr>
        <w:t>risk</w:t>
      </w:r>
      <w:r w:rsidR="00567717">
        <w:rPr>
          <w:noProof/>
        </w:rPr>
        <w:t xml:space="preserve"> </w:t>
      </w:r>
      <w:r w:rsidR="00501813" w:rsidRPr="00501813">
        <w:rPr>
          <w:noProof/>
        </w:rPr>
        <w:t>design</w:t>
      </w:r>
      <w:r w:rsidR="00E60DAF">
        <w:rPr>
          <w:noProof/>
        </w:rPr>
        <w:t>ing</w:t>
      </w:r>
      <w:r w:rsidR="00501813" w:rsidRPr="00501813">
        <w:rPr>
          <w:noProof/>
        </w:rPr>
        <w:t xml:space="preserve"> a solution which works for the ‘industry’, but delivers a less than satisfactory UX for the end user.</w:t>
      </w:r>
    </w:p>
    <w:p w14:paraId="1025B1F7" w14:textId="2F4B9B5E" w:rsidR="00501813" w:rsidRPr="00501813" w:rsidRDefault="00501813" w:rsidP="00501813">
      <w:pPr>
        <w:numPr>
          <w:ilvl w:val="0"/>
          <w:numId w:val="17"/>
        </w:numPr>
        <w:jc w:val="both"/>
        <w:rPr>
          <w:noProof/>
        </w:rPr>
      </w:pPr>
      <w:r w:rsidRPr="00501813">
        <w:rPr>
          <w:b/>
          <w:bCs/>
          <w:noProof/>
        </w:rPr>
        <w:t>Architecture Alignment:</w:t>
      </w:r>
      <w:r w:rsidRPr="00501813">
        <w:rPr>
          <w:noProof/>
        </w:rPr>
        <w:t xml:space="preserve">  </w:t>
      </w:r>
      <w:r w:rsidR="00631411">
        <w:rPr>
          <w:noProof/>
        </w:rPr>
        <w:t>Ofgem need</w:t>
      </w:r>
      <w:r w:rsidR="004B710F">
        <w:rPr>
          <w:noProof/>
        </w:rPr>
        <w:t>s</w:t>
      </w:r>
      <w:r w:rsidR="00631411">
        <w:rPr>
          <w:noProof/>
        </w:rPr>
        <w:t xml:space="preserve"> to</w:t>
      </w:r>
      <w:r w:rsidRPr="00501813">
        <w:rPr>
          <w:noProof/>
        </w:rPr>
        <w:t xml:space="preserve"> consider alignment of architecture</w:t>
      </w:r>
      <w:r w:rsidR="00631411">
        <w:rPr>
          <w:noProof/>
        </w:rPr>
        <w:t xml:space="preserve"> across both Asset Registration and Customer Consent databases</w:t>
      </w:r>
      <w:r w:rsidRPr="00501813">
        <w:rPr>
          <w:noProof/>
        </w:rPr>
        <w:t xml:space="preserve"> between:-</w:t>
      </w:r>
    </w:p>
    <w:p w14:paraId="11290F00" w14:textId="18D22784" w:rsidR="00501813" w:rsidRPr="00501813" w:rsidRDefault="00501813" w:rsidP="00501813">
      <w:pPr>
        <w:numPr>
          <w:ilvl w:val="1"/>
          <w:numId w:val="17"/>
        </w:numPr>
        <w:jc w:val="both"/>
        <w:rPr>
          <w:noProof/>
        </w:rPr>
      </w:pPr>
      <w:r w:rsidRPr="00501813">
        <w:rPr>
          <w:noProof/>
        </w:rPr>
        <w:t>The asset database – at premise level</w:t>
      </w:r>
      <w:r w:rsidR="00334AF7">
        <w:rPr>
          <w:noProof/>
        </w:rPr>
        <w:t xml:space="preserve">, relatively static, but needs to consider </w:t>
      </w:r>
      <w:r w:rsidR="00BD1B12">
        <w:rPr>
          <w:noProof/>
        </w:rPr>
        <w:t>asset replacement / upgrades.</w:t>
      </w:r>
      <w:r w:rsidR="007051EC">
        <w:rPr>
          <w:noProof/>
        </w:rPr>
        <w:t xml:space="preserve"> This will capture consent for the asset to be used in Flexibility Markets</w:t>
      </w:r>
    </w:p>
    <w:p w14:paraId="6F31244D" w14:textId="3019405F" w:rsidR="00501813" w:rsidRPr="00ED07C7" w:rsidRDefault="00501813" w:rsidP="00501813">
      <w:pPr>
        <w:numPr>
          <w:ilvl w:val="1"/>
          <w:numId w:val="17"/>
        </w:numPr>
        <w:jc w:val="both"/>
        <w:rPr>
          <w:noProof/>
        </w:rPr>
      </w:pPr>
      <w:r w:rsidRPr="00501813">
        <w:rPr>
          <w:noProof/>
        </w:rPr>
        <w:t>The consent database – at customer level</w:t>
      </w:r>
      <w:r w:rsidR="00BD1B12">
        <w:rPr>
          <w:noProof/>
        </w:rPr>
        <w:t>, relatively static, but needs to account for house</w:t>
      </w:r>
      <w:r w:rsidR="0054205C">
        <w:rPr>
          <w:noProof/>
        </w:rPr>
        <w:t>moves / change of tenancies</w:t>
      </w:r>
      <w:r w:rsidR="004B710F" w:rsidRPr="00ED07C7">
        <w:rPr>
          <w:noProof/>
        </w:rPr>
        <w:t>/ change of customer preferences</w:t>
      </w:r>
      <w:r w:rsidR="0054205C" w:rsidRPr="00ED07C7">
        <w:rPr>
          <w:noProof/>
        </w:rPr>
        <w:t>.</w:t>
      </w:r>
      <w:r w:rsidR="00DB1863">
        <w:rPr>
          <w:noProof/>
        </w:rPr>
        <w:t xml:space="preserve"> This will capture the consent to share energy data amongst registered 3</w:t>
      </w:r>
      <w:r w:rsidR="00DB1863" w:rsidRPr="00DB1863">
        <w:rPr>
          <w:noProof/>
          <w:vertAlign w:val="superscript"/>
        </w:rPr>
        <w:t>rd</w:t>
      </w:r>
      <w:r w:rsidR="00DB1863">
        <w:rPr>
          <w:noProof/>
        </w:rPr>
        <w:t xml:space="preserve"> parties.</w:t>
      </w:r>
    </w:p>
    <w:p w14:paraId="05DFD5EA" w14:textId="368665D9" w:rsidR="00501813" w:rsidRDefault="00501813" w:rsidP="00501813">
      <w:pPr>
        <w:numPr>
          <w:ilvl w:val="0"/>
          <w:numId w:val="17"/>
        </w:numPr>
        <w:jc w:val="both"/>
        <w:rPr>
          <w:noProof/>
        </w:rPr>
      </w:pPr>
      <w:r w:rsidRPr="00501813">
        <w:rPr>
          <w:b/>
          <w:bCs/>
          <w:noProof/>
        </w:rPr>
        <w:t>Consultation Processes:</w:t>
      </w:r>
      <w:r w:rsidRPr="00501813">
        <w:rPr>
          <w:noProof/>
        </w:rPr>
        <w:t xml:space="preserve">  Ofgem / DESNZ </w:t>
      </w:r>
      <w:r w:rsidR="00B04DE8">
        <w:rPr>
          <w:noProof/>
        </w:rPr>
        <w:t xml:space="preserve">should consider </w:t>
      </w:r>
      <w:r w:rsidRPr="00501813">
        <w:rPr>
          <w:noProof/>
        </w:rPr>
        <w:t>align</w:t>
      </w:r>
      <w:r w:rsidR="00B04DE8">
        <w:rPr>
          <w:noProof/>
        </w:rPr>
        <w:t>ing</w:t>
      </w:r>
      <w:r w:rsidRPr="00501813">
        <w:rPr>
          <w:noProof/>
        </w:rPr>
        <w:t xml:space="preserve"> ‘working groups’ / further input, as </w:t>
      </w:r>
      <w:r w:rsidR="00B04DE8">
        <w:rPr>
          <w:noProof/>
        </w:rPr>
        <w:t>the ETG me</w:t>
      </w:r>
      <w:r w:rsidR="002A631A">
        <w:rPr>
          <w:noProof/>
        </w:rPr>
        <w:t>mbers</w:t>
      </w:r>
      <w:r w:rsidRPr="00501813">
        <w:rPr>
          <w:noProof/>
        </w:rPr>
        <w:t xml:space="preserve"> don’t have the resourc</w:t>
      </w:r>
      <w:r w:rsidR="002A631A">
        <w:rPr>
          <w:noProof/>
        </w:rPr>
        <w:t>es</w:t>
      </w:r>
      <w:r w:rsidRPr="00501813">
        <w:rPr>
          <w:noProof/>
        </w:rPr>
        <w:t xml:space="preserve"> large energy supplier</w:t>
      </w:r>
      <w:r w:rsidR="002A631A">
        <w:rPr>
          <w:noProof/>
        </w:rPr>
        <w:t>s</w:t>
      </w:r>
      <w:r w:rsidRPr="00501813">
        <w:rPr>
          <w:noProof/>
        </w:rPr>
        <w:t xml:space="preserve">, which </w:t>
      </w:r>
      <w:r w:rsidR="002A631A">
        <w:rPr>
          <w:noProof/>
        </w:rPr>
        <w:t>risks</w:t>
      </w:r>
      <w:r w:rsidRPr="00501813">
        <w:rPr>
          <w:noProof/>
        </w:rPr>
        <w:t xml:space="preserve"> bias </w:t>
      </w:r>
      <w:r w:rsidR="006316C0">
        <w:rPr>
          <w:noProof/>
        </w:rPr>
        <w:t xml:space="preserve">of </w:t>
      </w:r>
      <w:r w:rsidRPr="00501813">
        <w:rPr>
          <w:noProof/>
        </w:rPr>
        <w:t>future thinking and solution delivery.</w:t>
      </w:r>
    </w:p>
    <w:p w14:paraId="13758423" w14:textId="2CE2D60D" w:rsidR="002C0F68" w:rsidRPr="0015400F" w:rsidRDefault="002C0F68" w:rsidP="002C0F68">
      <w:pPr>
        <w:jc w:val="both"/>
        <w:rPr>
          <w:b/>
          <w:bCs/>
        </w:rPr>
      </w:pPr>
      <w:r w:rsidRPr="0015400F">
        <w:rPr>
          <w:b/>
          <w:bCs/>
        </w:rPr>
        <w:t>ETG Responses</w:t>
      </w:r>
    </w:p>
    <w:p w14:paraId="26C5CD6D" w14:textId="77777777" w:rsidR="007D31D8" w:rsidRDefault="007D31D8" w:rsidP="007D31D8">
      <w:pPr>
        <w:spacing w:after="0"/>
      </w:pPr>
      <w:r w:rsidRPr="000A378A">
        <w:t>Q1. Do you agree with the proposed Design Principles? Would you recommend any additional Design Principles</w:t>
      </w:r>
      <w:r>
        <w:t>?</w:t>
      </w:r>
    </w:p>
    <w:p w14:paraId="0D669A94" w14:textId="77777777" w:rsidR="007D31D8" w:rsidRDefault="007D31D8" w:rsidP="007D31D8">
      <w:pPr>
        <w:spacing w:after="0"/>
      </w:pPr>
    </w:p>
    <w:p w14:paraId="517BFE26" w14:textId="36E8B13C" w:rsidR="007D31D8" w:rsidRDefault="00547188" w:rsidP="007D31D8">
      <w:pPr>
        <w:spacing w:after="0"/>
        <w:jc w:val="both"/>
      </w:pPr>
      <w:r>
        <w:t xml:space="preserve">Yes, ETG </w:t>
      </w:r>
      <w:r w:rsidR="007D31D8">
        <w:t>agree that the capture of consumer consent must be as simple and as low friction as possible. Energy Suppliers have a distinct competitive advantage versus ESA manufacturers / operators, as they already possess metering and tariff data for that consumer. Ofgem therefore needs to ensure that any consent solution doesn’t provide additional friction for consumers wishing to enter their ESA assets into flexibility markets</w:t>
      </w:r>
      <w:r w:rsidR="00340975">
        <w:t xml:space="preserve"> via aggregators and </w:t>
      </w:r>
      <w:r w:rsidR="00BE47AC">
        <w:t>FSP’s which are not suppliers.</w:t>
      </w:r>
    </w:p>
    <w:p w14:paraId="1CD1E474" w14:textId="77777777" w:rsidR="007D31D8" w:rsidRPr="00F84F94" w:rsidRDefault="007D31D8" w:rsidP="007D31D8">
      <w:pPr>
        <w:spacing w:after="0"/>
        <w:jc w:val="both"/>
        <w:rPr>
          <w:color w:val="FF0000"/>
        </w:rPr>
      </w:pPr>
    </w:p>
    <w:p w14:paraId="3B35F827" w14:textId="77777777" w:rsidR="007D31D8" w:rsidRDefault="007D31D8" w:rsidP="007D31D8">
      <w:pPr>
        <w:spacing w:after="0"/>
        <w:jc w:val="both"/>
      </w:pPr>
      <w:r w:rsidRPr="007C442C">
        <w:t xml:space="preserve">If we are to build an open, competitive, innovative flexibility market, the Delivery Body must build an MVP which addresses </w:t>
      </w:r>
      <w:r>
        <w:t xml:space="preserve">the needs of all players in the market, not just that of the energy supplier, therefore enabling millions of ESA devices to access these markets, (which have been registered via Ofgem’s proposed </w:t>
      </w:r>
      <w:r w:rsidRPr="00DD5CFF">
        <w:t>Flexibility Market Asset Regis</w:t>
      </w:r>
      <w:r>
        <w:t>ter</w:t>
      </w:r>
      <w:r w:rsidRPr="00DD5CFF">
        <w:t>.</w:t>
      </w:r>
    </w:p>
    <w:p w14:paraId="207DCAFC" w14:textId="77777777" w:rsidR="007D31D8" w:rsidRDefault="007D31D8" w:rsidP="007D31D8">
      <w:pPr>
        <w:spacing w:after="0"/>
        <w:jc w:val="both"/>
      </w:pPr>
    </w:p>
    <w:p w14:paraId="4EB6D6A4" w14:textId="20A97FF4" w:rsidR="007D31D8" w:rsidRDefault="007D31D8" w:rsidP="00040209">
      <w:pPr>
        <w:spacing w:after="0"/>
        <w:jc w:val="both"/>
      </w:pPr>
      <w:r>
        <w:t xml:space="preserve">This Customer Consent solution must </w:t>
      </w:r>
      <w:r w:rsidR="002E4917">
        <w:t>therefore</w:t>
      </w:r>
      <w:r>
        <w:t xml:space="preserve"> be aligned with the </w:t>
      </w:r>
      <w:r w:rsidRPr="00DD5CFF">
        <w:t>Flexibility Market Asset Regis</w:t>
      </w:r>
      <w:r>
        <w:t>ter, ensuring that data is accurately</w:t>
      </w:r>
      <w:r w:rsidR="00040209">
        <w:t xml:space="preserve"> held</w:t>
      </w:r>
      <w:r>
        <w:t xml:space="preserve"> across both databases. </w:t>
      </w:r>
    </w:p>
    <w:p w14:paraId="57552FF3" w14:textId="77777777" w:rsidR="007D31D8" w:rsidRDefault="007D31D8" w:rsidP="007D31D8">
      <w:pPr>
        <w:spacing w:after="0"/>
        <w:jc w:val="both"/>
      </w:pPr>
    </w:p>
    <w:p w14:paraId="7A1D61AE" w14:textId="77777777" w:rsidR="007D31D8" w:rsidRDefault="007D31D8" w:rsidP="007D31D8">
      <w:pPr>
        <w:spacing w:after="0"/>
        <w:jc w:val="both"/>
      </w:pPr>
      <w:r>
        <w:t>Q2. Do you have a preference between the centralised, decentralised or hybrid models? Please elaborate.</w:t>
      </w:r>
    </w:p>
    <w:p w14:paraId="54393956" w14:textId="77777777" w:rsidR="007D31D8" w:rsidRDefault="007D31D8" w:rsidP="007D31D8">
      <w:pPr>
        <w:spacing w:after="0"/>
        <w:jc w:val="both"/>
      </w:pPr>
    </w:p>
    <w:p w14:paraId="081ABA06" w14:textId="5D6357D0" w:rsidR="007D31D8" w:rsidRDefault="007D31D8" w:rsidP="007D31D8">
      <w:pPr>
        <w:spacing w:after="0"/>
        <w:jc w:val="both"/>
      </w:pPr>
      <w:r>
        <w:t>The market for domestic flexibility as at a very early stage</w:t>
      </w:r>
      <w:r w:rsidR="005D561F">
        <w:t xml:space="preserve"> of maturity</w:t>
      </w:r>
      <w:r>
        <w:t xml:space="preserve"> with innovative providers developing new use cases, routes to market, service delivery and consumer propositions. To encourage the development of these new markets, an agile, flexible consent solution is required, which can adapt as the market develops.</w:t>
      </w:r>
    </w:p>
    <w:p w14:paraId="045F3F97" w14:textId="77777777" w:rsidR="007D31D8" w:rsidRDefault="007D31D8" w:rsidP="007D31D8">
      <w:pPr>
        <w:spacing w:after="0"/>
        <w:jc w:val="both"/>
      </w:pPr>
    </w:p>
    <w:p w14:paraId="55173B4D" w14:textId="1B89DCEF" w:rsidR="007D31D8" w:rsidRDefault="005D561F" w:rsidP="007D31D8">
      <w:pPr>
        <w:spacing w:after="0"/>
        <w:jc w:val="both"/>
      </w:pPr>
      <w:r>
        <w:t>ETG</w:t>
      </w:r>
      <w:r w:rsidR="007D31D8">
        <w:t xml:space="preserve"> believe that a centralised structure is less likely to respond to market needs in a timely fashion, likely to be driven by legacy thinking and expensive to implement. Therefore, a decentralised or hybrid approach is favoured. Given that Ofgem are proposing a common </w:t>
      </w:r>
      <w:r w:rsidR="007D31D8" w:rsidRPr="00612950">
        <w:t>Flexibility Market Asset Registration</w:t>
      </w:r>
      <w:r w:rsidR="007D31D8">
        <w:t xml:space="preserve"> database, it would seem prudent to ensure both approaches adopt a similar model.</w:t>
      </w:r>
    </w:p>
    <w:p w14:paraId="774AE2B2" w14:textId="77777777" w:rsidR="007D31D8" w:rsidRDefault="007D31D8" w:rsidP="007D31D8">
      <w:pPr>
        <w:spacing w:after="0"/>
        <w:jc w:val="both"/>
      </w:pPr>
    </w:p>
    <w:p w14:paraId="5BFE0464" w14:textId="77777777" w:rsidR="007D31D8" w:rsidRDefault="007D31D8" w:rsidP="007D31D8">
      <w:pPr>
        <w:spacing w:after="0"/>
        <w:jc w:val="both"/>
      </w:pPr>
      <w:r>
        <w:t>Clarity is therefore required, ensuring one version of the truth aligning across both asset registers and consumer consent to share their data with a consistent unique identifier across both databases.</w:t>
      </w:r>
    </w:p>
    <w:p w14:paraId="3AFB4885" w14:textId="77777777" w:rsidR="007D31D8" w:rsidRDefault="007D31D8" w:rsidP="007D31D8">
      <w:pPr>
        <w:spacing w:after="0"/>
        <w:jc w:val="both"/>
      </w:pPr>
    </w:p>
    <w:p w14:paraId="5519E823" w14:textId="77777777" w:rsidR="007D31D8" w:rsidRDefault="007D31D8" w:rsidP="007D31D8">
      <w:pPr>
        <w:spacing w:after="0"/>
        <w:jc w:val="both"/>
      </w:pPr>
      <w:r w:rsidRPr="002961EA">
        <w:t>Q3. Do you consider the security measures referenced in this section, including the access control measures, will meet the requirements of a consent solution holding consumer data? Which additional protections would you recommend?</w:t>
      </w:r>
    </w:p>
    <w:p w14:paraId="5DEB6E0A" w14:textId="77777777" w:rsidR="007D31D8" w:rsidRDefault="007D31D8" w:rsidP="007D31D8">
      <w:pPr>
        <w:spacing w:after="0"/>
        <w:jc w:val="both"/>
      </w:pPr>
    </w:p>
    <w:p w14:paraId="7D39E156" w14:textId="066BBFC1" w:rsidR="007D31D8" w:rsidRDefault="003F61F6" w:rsidP="007D31D8">
      <w:pPr>
        <w:spacing w:after="0"/>
        <w:jc w:val="both"/>
      </w:pPr>
      <w:r>
        <w:t>ETG</w:t>
      </w:r>
      <w:r w:rsidR="007D31D8">
        <w:t xml:space="preserve"> agree that all Flexibility Providers</w:t>
      </w:r>
      <w:r w:rsidR="007D31D8" w:rsidRPr="0065690E">
        <w:t xml:space="preserve"> </w:t>
      </w:r>
      <w:r w:rsidR="007D31D8">
        <w:t xml:space="preserve">alongside the Delivery Bodies for Customer Consent and Asset Registration </w:t>
      </w:r>
      <w:r w:rsidR="007D31D8" w:rsidRPr="0065690E">
        <w:t>have a clear commitment to data security and are able to evidence recent accreditation to a security standard such as ISO 27001.</w:t>
      </w:r>
      <w:r w:rsidR="007D31D8">
        <w:t xml:space="preserve"> This should then lead to a register of authorised providers.</w:t>
      </w:r>
    </w:p>
    <w:p w14:paraId="30868FA9" w14:textId="77777777" w:rsidR="007D31D8" w:rsidRDefault="007D31D8" w:rsidP="007D31D8">
      <w:pPr>
        <w:spacing w:after="0"/>
        <w:jc w:val="both"/>
      </w:pPr>
    </w:p>
    <w:p w14:paraId="28DBF623" w14:textId="77777777" w:rsidR="007D31D8" w:rsidRDefault="007D31D8" w:rsidP="007D31D8">
      <w:pPr>
        <w:spacing w:after="0"/>
        <w:jc w:val="both"/>
      </w:pPr>
      <w:r w:rsidRPr="00A12089">
        <w:t>Q4. Do you consider these standards are sufficient parameters to ensure inclusivity, accessibility and interoperability for the consent solution? Which standards would you recommend?</w:t>
      </w:r>
    </w:p>
    <w:p w14:paraId="197E7655" w14:textId="77777777" w:rsidR="007D31D8" w:rsidRDefault="007D31D8" w:rsidP="007D31D8">
      <w:pPr>
        <w:spacing w:after="0"/>
        <w:jc w:val="both"/>
      </w:pPr>
    </w:p>
    <w:p w14:paraId="4AE27256" w14:textId="05466DFD" w:rsidR="007D31D8" w:rsidRDefault="00276B49" w:rsidP="007D31D8">
      <w:pPr>
        <w:spacing w:after="0"/>
        <w:jc w:val="both"/>
      </w:pPr>
      <w:r>
        <w:t>ETG</w:t>
      </w:r>
      <w:r w:rsidR="007D31D8">
        <w:t xml:space="preserve"> considers the </w:t>
      </w:r>
      <w:r w:rsidR="007D31D8" w:rsidRPr="00F41DB5">
        <w:t>Web Content Accessibility Guidelines</w:t>
      </w:r>
      <w:r w:rsidR="007D31D8">
        <w:t xml:space="preserve"> sufficient for the consent solution.</w:t>
      </w:r>
    </w:p>
    <w:p w14:paraId="6C492295" w14:textId="77777777" w:rsidR="007D31D8" w:rsidRDefault="007D31D8" w:rsidP="007D31D8">
      <w:pPr>
        <w:spacing w:after="0"/>
        <w:jc w:val="both"/>
      </w:pPr>
    </w:p>
    <w:p w14:paraId="4CC0AA0F" w14:textId="77777777" w:rsidR="007D31D8" w:rsidRDefault="007D31D8" w:rsidP="007D31D8">
      <w:pPr>
        <w:spacing w:after="0"/>
        <w:jc w:val="both"/>
      </w:pPr>
      <w:r w:rsidRPr="0028736F">
        <w:t>Q5. Do you agree with the options assessment conducted by Ofgem? If not, why?</w:t>
      </w:r>
    </w:p>
    <w:p w14:paraId="1648EC13" w14:textId="77777777" w:rsidR="007D31D8" w:rsidRDefault="007D31D8" w:rsidP="007D31D8">
      <w:pPr>
        <w:spacing w:after="0"/>
        <w:jc w:val="both"/>
      </w:pPr>
    </w:p>
    <w:p w14:paraId="48D3DCC6" w14:textId="77777777" w:rsidR="007D31D8" w:rsidRDefault="007D31D8" w:rsidP="007D31D8">
      <w:pPr>
        <w:spacing w:after="0"/>
        <w:jc w:val="both"/>
      </w:pPr>
      <w:r>
        <w:t>It is concerning that all three proposed Delivery bodies are existing ‘industry focused’ entities with little experience of delivering simple, engaging customer experiences. In addition, none of the assessment criteria; Implementation and Governance, Independence, Operational Capabilities, Engagement consider the end consumer.</w:t>
      </w:r>
    </w:p>
    <w:p w14:paraId="02C9846E" w14:textId="77777777" w:rsidR="007D31D8" w:rsidRDefault="007D31D8" w:rsidP="007D31D8">
      <w:pPr>
        <w:spacing w:after="0"/>
        <w:jc w:val="both"/>
      </w:pPr>
    </w:p>
    <w:p w14:paraId="07EA240A" w14:textId="56C567EC" w:rsidR="007D31D8" w:rsidRDefault="007D31D8" w:rsidP="007D31D8">
      <w:pPr>
        <w:spacing w:after="0"/>
        <w:jc w:val="both"/>
      </w:pPr>
      <w:r>
        <w:t xml:space="preserve">Given that customer consent is key to delivering the much-needed flexibility in the future, this is a significant oversight, and </w:t>
      </w:r>
      <w:r w:rsidR="00A928A0">
        <w:t>ETG</w:t>
      </w:r>
      <w:r>
        <w:t xml:space="preserve"> would urge Ofgem to consider other Consumer Focused organisations that have prior experience of managing customer data alongside these industry incumbents.</w:t>
      </w:r>
    </w:p>
    <w:p w14:paraId="3C755054" w14:textId="77777777" w:rsidR="007D31D8" w:rsidRDefault="007D31D8" w:rsidP="007D31D8">
      <w:pPr>
        <w:spacing w:after="0"/>
        <w:jc w:val="both"/>
      </w:pPr>
    </w:p>
    <w:p w14:paraId="7B9775ED" w14:textId="77777777" w:rsidR="007D31D8" w:rsidRDefault="007D31D8" w:rsidP="007D31D8">
      <w:pPr>
        <w:spacing w:after="0"/>
        <w:jc w:val="both"/>
      </w:pPr>
      <w:r w:rsidRPr="00251FBA">
        <w:t>Q6. Do you agree with Ofgem’s minded-to position that RECCo should be selected as the Delivery body for the consent solution? If not, which of the three proposed organisations should be selected as the Delivery Body for the consent solution, and why?</w:t>
      </w:r>
    </w:p>
    <w:p w14:paraId="7C940AB1" w14:textId="77777777" w:rsidR="007D31D8" w:rsidRDefault="007D31D8" w:rsidP="007D31D8">
      <w:pPr>
        <w:spacing w:after="0"/>
        <w:jc w:val="both"/>
      </w:pPr>
    </w:p>
    <w:p w14:paraId="76A8003D" w14:textId="61F0E0B1" w:rsidR="007D31D8" w:rsidRDefault="00F304ED" w:rsidP="007D31D8">
      <w:pPr>
        <w:spacing w:after="0"/>
        <w:jc w:val="both"/>
      </w:pPr>
      <w:r>
        <w:t>In the absence of any other Consumer Focused organisation</w:t>
      </w:r>
      <w:r w:rsidR="004349E2">
        <w:t>, ETG</w:t>
      </w:r>
      <w:r w:rsidR="007D31D8">
        <w:t xml:space="preserve"> would support the recommendation based upon the criteria presented.</w:t>
      </w:r>
    </w:p>
    <w:p w14:paraId="261E221E" w14:textId="77777777" w:rsidR="007D31D8" w:rsidRDefault="007D31D8" w:rsidP="007D31D8">
      <w:pPr>
        <w:spacing w:after="0"/>
        <w:jc w:val="both"/>
      </w:pPr>
    </w:p>
    <w:p w14:paraId="6D0F9969" w14:textId="77777777" w:rsidR="007D31D8" w:rsidRDefault="007D31D8" w:rsidP="007D31D8">
      <w:pPr>
        <w:spacing w:after="0"/>
        <w:jc w:val="both"/>
      </w:pPr>
      <w:r w:rsidRPr="00251FBA">
        <w:t>Q7. Do you hold any views as to how the proposed solution should be funded? Please consider the points regarding fairness raised in paragraphs 4.12–4.14 and Ofgem’s duty to consumers when providing your answer.</w:t>
      </w:r>
    </w:p>
    <w:p w14:paraId="0A7D3A0C" w14:textId="77777777" w:rsidR="007D31D8" w:rsidRDefault="007D31D8" w:rsidP="007D31D8">
      <w:pPr>
        <w:spacing w:after="0"/>
        <w:jc w:val="both"/>
      </w:pPr>
    </w:p>
    <w:p w14:paraId="6A28325B" w14:textId="77777777" w:rsidR="007D31D8" w:rsidRDefault="007D31D8" w:rsidP="007D31D8">
      <w:pPr>
        <w:spacing w:after="0"/>
        <w:jc w:val="both"/>
      </w:pPr>
      <w:r>
        <w:t>Innovators, start-ups and scale ups, need to be encouraged to invest in developing consumer centric flexibility propositions without additional burdens of having to fund the set-up costs of this Consent Database.</w:t>
      </w:r>
    </w:p>
    <w:p w14:paraId="2320C386" w14:textId="77777777" w:rsidR="007D31D8" w:rsidRDefault="007D31D8" w:rsidP="007D31D8">
      <w:pPr>
        <w:spacing w:after="0"/>
        <w:jc w:val="both"/>
      </w:pPr>
    </w:p>
    <w:p w14:paraId="3AF9A5D3" w14:textId="77777777" w:rsidR="007D31D8" w:rsidRDefault="007D31D8" w:rsidP="007D31D8">
      <w:pPr>
        <w:spacing w:after="0"/>
        <w:jc w:val="both"/>
      </w:pPr>
      <w:r>
        <w:t>Given that RECCo is expecting to fund any work on Consumer Consent from its existing contingency and / or change allowances, this would avoid unbudgeted development costs being passed onto ESA Operators.</w:t>
      </w:r>
    </w:p>
    <w:p w14:paraId="165B67B2" w14:textId="77777777" w:rsidR="007D31D8" w:rsidRDefault="007D31D8" w:rsidP="007D31D8">
      <w:pPr>
        <w:spacing w:after="0"/>
        <w:jc w:val="both"/>
      </w:pPr>
    </w:p>
    <w:p w14:paraId="4BA5DB8C" w14:textId="77777777" w:rsidR="007D31D8" w:rsidRDefault="007D31D8" w:rsidP="007D31D8">
      <w:pPr>
        <w:spacing w:after="0"/>
        <w:jc w:val="both"/>
      </w:pPr>
      <w:r w:rsidRPr="00627709">
        <w:t>Q8. Do you agree with our position to make sharing consent data with consumers (via the consent solution) an obligation for licensees?</w:t>
      </w:r>
    </w:p>
    <w:p w14:paraId="37B27BCA" w14:textId="77777777" w:rsidR="007D31D8" w:rsidRDefault="007D31D8" w:rsidP="007D31D8">
      <w:pPr>
        <w:spacing w:after="0"/>
        <w:jc w:val="both"/>
      </w:pPr>
    </w:p>
    <w:p w14:paraId="5543D15E" w14:textId="77777777" w:rsidR="007D31D8" w:rsidRDefault="007D31D8" w:rsidP="007D31D8">
      <w:pPr>
        <w:spacing w:after="0"/>
        <w:jc w:val="both"/>
      </w:pPr>
      <w:r>
        <w:t>Yes, removing barriers to accessing customer data will enable ESA Operators and Flexibility Service Providers to create tailored consumer propositions, build engagement and trust and encourage healthy competition in the future flexibility markets.</w:t>
      </w:r>
    </w:p>
    <w:p w14:paraId="25C3ECF3" w14:textId="77777777" w:rsidR="007D31D8" w:rsidRDefault="007D31D8" w:rsidP="007D31D8">
      <w:pPr>
        <w:spacing w:after="0"/>
        <w:jc w:val="both"/>
      </w:pPr>
    </w:p>
    <w:p w14:paraId="6865EC09" w14:textId="77777777" w:rsidR="007D31D8" w:rsidRDefault="007D31D8" w:rsidP="007D31D8">
      <w:pPr>
        <w:spacing w:after="0"/>
        <w:jc w:val="both"/>
      </w:pPr>
      <w:r w:rsidRPr="00B5102B">
        <w:t>Q9. Do you consider SLC 0 an appropriate route for implementing these changes, or should Ofgem create a bespoke licence condition?</w:t>
      </w:r>
    </w:p>
    <w:p w14:paraId="291CF33B" w14:textId="77777777" w:rsidR="007D31D8" w:rsidRDefault="007D31D8" w:rsidP="007D31D8">
      <w:pPr>
        <w:spacing w:after="0"/>
        <w:jc w:val="both"/>
      </w:pPr>
    </w:p>
    <w:p w14:paraId="73AE23E9" w14:textId="19D8204A" w:rsidR="007D31D8" w:rsidRDefault="007D31D8" w:rsidP="007D31D8">
      <w:pPr>
        <w:spacing w:after="0"/>
        <w:jc w:val="both"/>
      </w:pPr>
      <w:r>
        <w:t>No comment</w:t>
      </w:r>
      <w:r w:rsidR="0015400F">
        <w:t>.</w:t>
      </w:r>
    </w:p>
    <w:p w14:paraId="20A95C55" w14:textId="2AAC159C" w:rsidR="00E772A0" w:rsidRDefault="00E772A0" w:rsidP="007D31D8">
      <w:pPr>
        <w:spacing w:after="0"/>
      </w:pPr>
    </w:p>
    <w:p w14:paraId="1D2274C8" w14:textId="77777777" w:rsidR="00146A17" w:rsidRPr="00457C3D" w:rsidRDefault="00146A17" w:rsidP="00146A17">
      <w:pPr>
        <w:rPr>
          <w:b/>
          <w:bCs/>
        </w:rPr>
      </w:pPr>
      <w:r w:rsidRPr="00457C3D">
        <w:rPr>
          <w:b/>
          <w:bCs/>
        </w:rPr>
        <w:t>Summary</w:t>
      </w:r>
    </w:p>
    <w:p w14:paraId="4DE6DD8B" w14:textId="77777777" w:rsidR="00146A17" w:rsidRDefault="00146A17" w:rsidP="00146A17">
      <w:pPr>
        <w:jc w:val="both"/>
      </w:pPr>
      <w:r>
        <w:t>The Energy Technology Group represent a group of innovative, digital, technology focussed businesses that have the potential to address many of the challenges being faced by Ofgem as we look for solutions to delivering our net zero objectives.</w:t>
      </w:r>
    </w:p>
    <w:p w14:paraId="2CCE02E0" w14:textId="77777777" w:rsidR="00146A17" w:rsidRDefault="00146A17" w:rsidP="00146A17">
      <w:pPr>
        <w:jc w:val="both"/>
      </w:pPr>
      <w:r>
        <w:t>We look forward to further engaging with this process to develop proportionate, customer focussed proposals which support the delivery of enabling consumer confidence in ESA’s and DSR, reducing system costs for all consumers and delivering benefits to all consumers with an ESA device from the emerging markets for flexibility.</w:t>
      </w:r>
    </w:p>
    <w:p w14:paraId="318D848A" w14:textId="77777777" w:rsidR="00146A17" w:rsidRDefault="00146A17" w:rsidP="007D31D8">
      <w:pPr>
        <w:spacing w:after="0"/>
      </w:pPr>
    </w:p>
    <w:sectPr w:rsidR="00146A17">
      <w:footerReference w:type="even" r:id="rId11"/>
      <w:footerReference w:type="defaul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B6BCCE" w14:textId="77777777" w:rsidR="003A6D54" w:rsidRDefault="003A6D54" w:rsidP="006E36C6">
      <w:pPr>
        <w:spacing w:after="0" w:line="240" w:lineRule="auto"/>
      </w:pPr>
      <w:r>
        <w:separator/>
      </w:r>
    </w:p>
  </w:endnote>
  <w:endnote w:type="continuationSeparator" w:id="0">
    <w:p w14:paraId="13A9040A" w14:textId="77777777" w:rsidR="003A6D54" w:rsidRDefault="003A6D54" w:rsidP="006E36C6">
      <w:pPr>
        <w:spacing w:after="0" w:line="240" w:lineRule="auto"/>
      </w:pPr>
      <w:r>
        <w:continuationSeparator/>
      </w:r>
    </w:p>
  </w:endnote>
  <w:endnote w:type="continuationNotice" w:id="1">
    <w:p w14:paraId="2B680D56" w14:textId="77777777" w:rsidR="002A3C11" w:rsidRDefault="002A3C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A454D" w14:textId="2520EC12" w:rsidR="006E36C6" w:rsidRDefault="00361236">
    <w:pPr>
      <w:pStyle w:val="Footer"/>
    </w:pPr>
    <w:r>
      <w:rPr>
        <w:noProof/>
      </w:rPr>
      <mc:AlternateContent>
        <mc:Choice Requires="wps">
          <w:drawing>
            <wp:anchor distT="0" distB="0" distL="0" distR="0" simplePos="0" relativeHeight="251659264" behindDoc="0" locked="0" layoutInCell="1" allowOverlap="1" wp14:anchorId="7B0D38CA" wp14:editId="3CC943EC">
              <wp:simplePos x="635" y="635"/>
              <wp:positionH relativeFrom="page">
                <wp:align>center</wp:align>
              </wp:positionH>
              <wp:positionV relativeFrom="page">
                <wp:align>bottom</wp:align>
              </wp:positionV>
              <wp:extent cx="1114425" cy="342900"/>
              <wp:effectExtent l="0" t="0" r="9525" b="0"/>
              <wp:wrapNone/>
              <wp:docPr id="1191189250"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0DDAF4EE" w14:textId="23F30310" w:rsidR="00361236" w:rsidRPr="00361236" w:rsidRDefault="00361236" w:rsidP="00361236">
                          <w:pPr>
                            <w:spacing w:after="0"/>
                            <w:rPr>
                              <w:rFonts w:ascii="Calibri" w:eastAsia="Calibri" w:hAnsi="Calibri" w:cs="Calibri"/>
                              <w:noProof/>
                              <w:color w:val="000000"/>
                              <w:sz w:val="20"/>
                              <w:szCs w:val="20"/>
                            </w:rPr>
                          </w:pPr>
                          <w:r w:rsidRPr="00361236">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B0D38CA" id="_x0000_t202" coordsize="21600,21600" o:spt="202" path="m,l,21600r21600,l21600,xe">
              <v:stroke joinstyle="miter"/>
              <v:path gradientshapeok="t" o:connecttype="rect"/>
            </v:shapetype>
            <v:shape id="Text Box 2" o:spid="_x0000_s1026" type="#_x0000_t202" alt="OFFICIAL-InternalOnly" style="position:absolute;margin-left:0;margin-top:0;width:87.75pt;height:27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3WFDgIAAB0EAAAOAAAAZHJzL2Uyb0RvYy54bWysU01v2zAMvQ/YfxB0X2xn6bAacYqsRYYB&#10;QVsgHXpWZDk2IIkCpcTOfv0oJW7abqdhF/mZpPjx+DS/GYxmB4W+A1vxYpJzpqyEurO7iv98Wn36&#10;ypkPwtZCg1UVPyrPbxYfP8x7V6optKBrhYySWF/2ruJtCK7MMi9bZYSfgFOWnA2gEYF+cZfVKHrK&#10;bnQ2zfMvWQ9YOwSpvCfr3cnJFyl/0ygZHprGq8B0xam3kE5M5zae2WIuyh0K13by3Ib4hy6M6CwV&#10;fUl1J4Jge+z+SGU6ieChCRMJJoOm6aRKM9A0Rf5umk0rnEqzEDnevdDk/19aeX/YuEdkYfgGAy0w&#10;EtI7X3oyxnmGBk38UqeM/ETh8YU2NQQm46WimM2mV5xJ8n2eTa/zxGt2ue3Qh+8KDIug4khrSWyJ&#10;w9oHqkihY0gsZmHVaZ1Wo+0bAwVGS3ZpMaIwbAfW1a/a30J9pKkQTgv3Tq46Kr0WPjwKpA3TIKTa&#10;8EBHo6GvOJwRZy3gr7/ZYzwRT17OelJMxS1JmjP9w9JCorhGgCPYJlBc51dECbN7cwukw4KehJMJ&#10;khWDHmGDYJ5Jz8tYiFzCSipX8e0Ib8NJuvQepFouUxDpyImwthsnY+pIV+TyaXgW6M6EB1rVPYxy&#10;EuU73k+x8aZ3y30g9tNSIrUnIs+MkwbTrs7vJYr89X+KurzqxW8AAAD//wMAUEsDBBQABgAIAAAA&#10;IQBDPIEq2gAAAAQBAAAPAAAAZHJzL2Rvd25yZXYueG1sTI/BbsIwDIbvk3iHyEi7jRRYN1SaIoS0&#10;E9MkYJfdQmLabo1TNSmUt5/ZZVwsWf+vz5/z1eAaccYu1J4UTCcJCCTjbU2lgs/D29MCRIiarG48&#10;oYIrBlgVo4dcZ9ZfaIfnfSwFQyhkWkEVY5tJGUyFToeJb5E4O/nO6chrV0rb6QvDXSNnSfIina6J&#10;L1S6xU2F5mffOwXpLr73H3SYfw2z6/e23Zj5aWuUehwP6yWIiEP8L8NNn9WhYKej78kG0SjgR+Lf&#10;vGWvaQriyODnBGSRy3v54hcAAP//AwBQSwECLQAUAAYACAAAACEAtoM4kv4AAADhAQAAEwAAAAAA&#10;AAAAAAAAAAAAAAAAW0NvbnRlbnRfVHlwZXNdLnhtbFBLAQItABQABgAIAAAAIQA4/SH/1gAAAJQB&#10;AAALAAAAAAAAAAAAAAAAAC8BAABfcmVscy8ucmVsc1BLAQItABQABgAIAAAAIQDGh3WFDgIAAB0E&#10;AAAOAAAAAAAAAAAAAAAAAC4CAABkcnMvZTJvRG9jLnhtbFBLAQItABQABgAIAAAAIQBDPIEq2gAA&#10;AAQBAAAPAAAAAAAAAAAAAAAAAGgEAABkcnMvZG93bnJldi54bWxQSwUGAAAAAAQABADzAAAAbwUA&#10;AAAA&#10;" filled="f" stroked="f">
              <v:fill o:detectmouseclick="t"/>
              <v:textbox style="mso-fit-shape-to-text:t" inset="0,0,0,15pt">
                <w:txbxContent>
                  <w:p w14:paraId="0DDAF4EE" w14:textId="23F30310" w:rsidR="00361236" w:rsidRPr="00361236" w:rsidRDefault="00361236" w:rsidP="00361236">
                    <w:pPr>
                      <w:spacing w:after="0"/>
                      <w:rPr>
                        <w:rFonts w:ascii="Calibri" w:eastAsia="Calibri" w:hAnsi="Calibri" w:cs="Calibri"/>
                        <w:noProof/>
                        <w:color w:val="000000"/>
                        <w:sz w:val="20"/>
                        <w:szCs w:val="20"/>
                      </w:rPr>
                    </w:pPr>
                    <w:r w:rsidRPr="00361236">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DE1E6" w14:textId="6DB87854" w:rsidR="006E36C6" w:rsidRDefault="00361236">
    <w:pPr>
      <w:pStyle w:val="Footer"/>
    </w:pPr>
    <w:r>
      <w:rPr>
        <w:noProof/>
      </w:rPr>
      <mc:AlternateContent>
        <mc:Choice Requires="wps">
          <w:drawing>
            <wp:anchor distT="0" distB="0" distL="0" distR="0" simplePos="0" relativeHeight="251660288" behindDoc="0" locked="0" layoutInCell="1" allowOverlap="1" wp14:anchorId="58ED122B" wp14:editId="43FB93BC">
              <wp:simplePos x="635" y="635"/>
              <wp:positionH relativeFrom="page">
                <wp:align>center</wp:align>
              </wp:positionH>
              <wp:positionV relativeFrom="page">
                <wp:align>bottom</wp:align>
              </wp:positionV>
              <wp:extent cx="1114425" cy="342900"/>
              <wp:effectExtent l="0" t="0" r="9525" b="0"/>
              <wp:wrapNone/>
              <wp:docPr id="30636949"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180E3ABE" w14:textId="74F05BB8" w:rsidR="00361236" w:rsidRPr="00361236" w:rsidRDefault="00361236" w:rsidP="00361236">
                          <w:pPr>
                            <w:spacing w:after="0"/>
                            <w:rPr>
                              <w:rFonts w:ascii="Calibri" w:eastAsia="Calibri" w:hAnsi="Calibri" w:cs="Calibri"/>
                              <w:noProof/>
                              <w:color w:val="000000"/>
                              <w:sz w:val="20"/>
                              <w:szCs w:val="20"/>
                            </w:rPr>
                          </w:pPr>
                          <w:r w:rsidRPr="00361236">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8ED122B" id="_x0000_t202" coordsize="21600,21600" o:spt="202" path="m,l,21600r21600,l21600,xe">
              <v:stroke joinstyle="miter"/>
              <v:path gradientshapeok="t" o:connecttype="rect"/>
            </v:shapetype>
            <v:shape id="Text Box 3" o:spid="_x0000_s1027" type="#_x0000_t202" alt="OFFICIAL-InternalOnly" style="position:absolute;margin-left:0;margin-top:0;width:87.75pt;height:27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qLDDwIAAB0EAAAOAAAAZHJzL2Uyb0RvYy54bWysU01v2zAMvQ/YfxB0X2xn6bAacYqsRYYB&#10;QVsgHXpWZCk2YIkCpcTOfv0oJU62bqdhF/mZpPjx+DS/G0zHDgp9C7bixSTnTFkJdWt3Ff/+svrw&#10;mTMfhK1FB1ZV/Kg8v1u8fzfvXamm0EBXK2SUxPqydxVvQnBllnnZKCP8BJyy5NSARgT6xV1Wo+gp&#10;u+myaZ5/ynrA2iFI5T1ZH05Ovkj5tVYyPGntVWBdxam3kE5M5zae2WIuyh0K17Ty3Ib4hy6MaC0V&#10;vaR6EEGwPbZ/pDKtRPCgw0SCyUDrVqo0A01T5G+m2TTCqTQLkePdhSb//9LKx8PGPSMLwxcYaIGR&#10;kN750pMxzjNoNPFLnTLyE4XHC21qCEzGS0Uxm01vOJPk+zib3uaJ1+x626EPXxUYFkHFkdaS2BKH&#10;tQ9UkULHkFjMwqrturSazv5moMBoya4tRhSG7cDauuLTsf0t1EeaCuG0cO/kqqXSa+HDs0DaMA1C&#10;qg1PdOgO+orDGXHWAP74mz3GE/Hk5awnxVTckqQ5675ZWkgU1whwBNsEitv8hihhdm/ugXRY0JNw&#10;MkGyYuhGqBHMK+l5GQuRS1hJ5Sq+HeF9OEmX3oNUy2UKIh05EdZ242RMHemKXL4MrwLdmfBAq3qE&#10;UU6ifMP7KTbe9G65D8R+Wkqk9kTkmXHSYNrV+b1Ekf/6n6Kur3rxEwAA//8DAFBLAwQUAAYACAAA&#10;ACEAQzyBKtoAAAAEAQAADwAAAGRycy9kb3ducmV2LnhtbEyPwW7CMAyG75N4h8hIu40UWDdUmiKE&#10;tBPTJGCX3UJi2m6NUzUplLef2WVcLFn/r8+f89XgGnHGLtSeFEwnCQgk421NpYLPw9vTAkSImqxu&#10;PKGCKwZYFaOHXGfWX2iH530sBUMoZFpBFWObSRlMhU6HiW+RODv5zunIa1dK2+kLw10jZ0nyIp2u&#10;iS9UusVNheZn3zsF6S6+9x90mH8Ns+v3tt2Y+WlrlHocD+sliIhD/C/DTZ/VoWCno+/JBtEo4Efi&#10;37xlr2kK4sjg5wRkkct7+eIXAAD//wMAUEsBAi0AFAAGAAgAAAAhALaDOJL+AAAA4QEAABMAAAAA&#10;AAAAAAAAAAAAAAAAAFtDb250ZW50X1R5cGVzXS54bWxQSwECLQAUAAYACAAAACEAOP0h/9YAAACU&#10;AQAACwAAAAAAAAAAAAAAAAAvAQAAX3JlbHMvLnJlbHNQSwECLQAUAAYACAAAACEAcUaiww8CAAAd&#10;BAAADgAAAAAAAAAAAAAAAAAuAgAAZHJzL2Uyb0RvYy54bWxQSwECLQAUAAYACAAAACEAQzyBKtoA&#10;AAAEAQAADwAAAAAAAAAAAAAAAABpBAAAZHJzL2Rvd25yZXYueG1sUEsFBgAAAAAEAAQA8wAAAHAF&#10;AAAAAA==&#10;" filled="f" stroked="f">
              <v:fill o:detectmouseclick="t"/>
              <v:textbox style="mso-fit-shape-to-text:t" inset="0,0,0,15pt">
                <w:txbxContent>
                  <w:p w14:paraId="180E3ABE" w14:textId="74F05BB8" w:rsidR="00361236" w:rsidRPr="00361236" w:rsidRDefault="00361236" w:rsidP="00361236">
                    <w:pPr>
                      <w:spacing w:after="0"/>
                      <w:rPr>
                        <w:rFonts w:ascii="Calibri" w:eastAsia="Calibri" w:hAnsi="Calibri" w:cs="Calibri"/>
                        <w:noProof/>
                        <w:color w:val="000000"/>
                        <w:sz w:val="20"/>
                        <w:szCs w:val="20"/>
                      </w:rPr>
                    </w:pPr>
                    <w:r w:rsidRPr="00361236">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1032E" w14:textId="5615DD2D" w:rsidR="006E36C6" w:rsidRDefault="00361236">
    <w:pPr>
      <w:pStyle w:val="Footer"/>
    </w:pPr>
    <w:r>
      <w:rPr>
        <w:noProof/>
      </w:rPr>
      <mc:AlternateContent>
        <mc:Choice Requires="wps">
          <w:drawing>
            <wp:anchor distT="0" distB="0" distL="0" distR="0" simplePos="0" relativeHeight="251658240" behindDoc="0" locked="0" layoutInCell="1" allowOverlap="1" wp14:anchorId="1FD2EBD4" wp14:editId="5F52CD27">
              <wp:simplePos x="635" y="635"/>
              <wp:positionH relativeFrom="page">
                <wp:align>center</wp:align>
              </wp:positionH>
              <wp:positionV relativeFrom="page">
                <wp:align>bottom</wp:align>
              </wp:positionV>
              <wp:extent cx="1114425" cy="342900"/>
              <wp:effectExtent l="0" t="0" r="9525" b="0"/>
              <wp:wrapNone/>
              <wp:docPr id="1937083095"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2086880A" w14:textId="641D9E67" w:rsidR="00361236" w:rsidRPr="00361236" w:rsidRDefault="00361236" w:rsidP="00361236">
                          <w:pPr>
                            <w:spacing w:after="0"/>
                            <w:rPr>
                              <w:rFonts w:ascii="Calibri" w:eastAsia="Calibri" w:hAnsi="Calibri" w:cs="Calibri"/>
                              <w:noProof/>
                              <w:color w:val="000000"/>
                              <w:sz w:val="20"/>
                              <w:szCs w:val="20"/>
                            </w:rPr>
                          </w:pPr>
                          <w:r w:rsidRPr="00361236">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FD2EBD4" id="_x0000_t202" coordsize="21600,21600" o:spt="202" path="m,l,21600r21600,l21600,xe">
              <v:stroke joinstyle="miter"/>
              <v:path gradientshapeok="t" o:connecttype="rect"/>
            </v:shapetype>
            <v:shape id="Text Box 1" o:spid="_x0000_s1028" type="#_x0000_t202" alt="OFFICIAL-InternalOnly" style="position:absolute;margin-left:0;margin-top:0;width:87.75pt;height:27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UVoCwIAABYEAAAOAAAAZHJzL2Uyb0RvYy54bWysU01v2zAMvQ/YfxB0X2xn6bAacYqsRYYB&#10;QVsgHXqWZSk2IImCpMTOfv0oxU62bqdhF/mZpPjx+LS8G7QiR+F8B6aixSynRBgOTWf2Ff3+svnw&#10;mRIfmGmYAiMqehKe3q3ev1v2thRzaEE1whFMYnzZ24q2IdgyyzxvhWZ+BlYYdEpwmgX8dfuscazH&#10;7Fpl8zz/lPXgGuuAC+/R+nB20lXKL6Xg4UlKLwJRFcXeQjpdOut4ZqslK/eO2bbjYxvsH7rQrDNY&#10;9JLqgQVGDq77I5XuuAMPMsw46Ayk7LhIM+A0Rf5mml3LrEizIDneXmjy/y8tfzzu7LMjYfgCAy4w&#10;EtJbX3o0xnkG6XT8YqcE/Ujh6UKbGALh8VJRLBbzG0o4+j4u5rd54jW73rbOh68CNImgog7Xkthi&#10;x60PWBFDp5BYzMCmUyqtRpnfDBgYLdm1xYjCUA9j3zU0JxzHwXnT3vJNhzW3zIdn5nC1OAHKNTzh&#10;IRX0FYURUdKC+/E3e4xHxtFLSY9SqahBLVOivhncRFTVBNwE6gSK2/wGuSDmoO8BBVjgW7A8QbS6&#10;oCYoHehXFPI6FkIXMxzLVbSe4H04axYfAhfrdQpCAVkWtmZneUwdeYokvgyvzNmR6YA7eoRJR6x8&#10;Q/g5Nt70dn0ISHvaRuT0TORINYovLWl8KFHdv/6nqOtzXv0EAAD//wMAUEsDBBQABgAIAAAAIQBD&#10;PIEq2gAAAAQBAAAPAAAAZHJzL2Rvd25yZXYueG1sTI/BbsIwDIbvk3iHyEi7jRRYN1SaIoS0E9Mk&#10;YJfdQmLabo1TNSmUt5/ZZVwsWf+vz5/z1eAaccYu1J4UTCcJCCTjbU2lgs/D29MCRIiarG48oYIr&#10;BlgVo4dcZ9ZfaIfnfSwFQyhkWkEVY5tJGUyFToeJb5E4O/nO6chrV0rb6QvDXSNnSfIina6JL1S6&#10;xU2F5mffOwXpLr73H3SYfw2z6/e23Zj5aWuUehwP6yWIiEP8L8NNn9WhYKej78kG0SjgR+LfvGWv&#10;aQriyODnBGSRy3v54hcAAP//AwBQSwECLQAUAAYACAAAACEAtoM4kv4AAADhAQAAEwAAAAAAAAAA&#10;AAAAAAAAAAAAW0NvbnRlbnRfVHlwZXNdLnhtbFBLAQItABQABgAIAAAAIQA4/SH/1gAAAJQBAAAL&#10;AAAAAAAAAAAAAAAAAC8BAABfcmVscy8ucmVsc1BLAQItABQABgAIAAAAIQARtUVoCwIAABYEAAAO&#10;AAAAAAAAAAAAAAAAAC4CAABkcnMvZTJvRG9jLnhtbFBLAQItABQABgAIAAAAIQBDPIEq2gAAAAQB&#10;AAAPAAAAAAAAAAAAAAAAAGUEAABkcnMvZG93bnJldi54bWxQSwUGAAAAAAQABADzAAAAbAUAAAAA&#10;" filled="f" stroked="f">
              <v:fill o:detectmouseclick="t"/>
              <v:textbox style="mso-fit-shape-to-text:t" inset="0,0,0,15pt">
                <w:txbxContent>
                  <w:p w14:paraId="2086880A" w14:textId="641D9E67" w:rsidR="00361236" w:rsidRPr="00361236" w:rsidRDefault="00361236" w:rsidP="00361236">
                    <w:pPr>
                      <w:spacing w:after="0"/>
                      <w:rPr>
                        <w:rFonts w:ascii="Calibri" w:eastAsia="Calibri" w:hAnsi="Calibri" w:cs="Calibri"/>
                        <w:noProof/>
                        <w:color w:val="000000"/>
                        <w:sz w:val="20"/>
                        <w:szCs w:val="20"/>
                      </w:rPr>
                    </w:pPr>
                    <w:r w:rsidRPr="00361236">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12246F" w14:textId="77777777" w:rsidR="003A6D54" w:rsidRDefault="003A6D54" w:rsidP="006E36C6">
      <w:pPr>
        <w:spacing w:after="0" w:line="240" w:lineRule="auto"/>
      </w:pPr>
      <w:r>
        <w:separator/>
      </w:r>
    </w:p>
  </w:footnote>
  <w:footnote w:type="continuationSeparator" w:id="0">
    <w:p w14:paraId="3D2616E3" w14:textId="77777777" w:rsidR="003A6D54" w:rsidRDefault="003A6D54" w:rsidP="006E36C6">
      <w:pPr>
        <w:spacing w:after="0" w:line="240" w:lineRule="auto"/>
      </w:pPr>
      <w:r>
        <w:continuationSeparator/>
      </w:r>
    </w:p>
  </w:footnote>
  <w:footnote w:type="continuationNotice" w:id="1">
    <w:p w14:paraId="4FE83EEF" w14:textId="77777777" w:rsidR="002A3C11" w:rsidRDefault="002A3C1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653AD"/>
    <w:multiLevelType w:val="hybridMultilevel"/>
    <w:tmpl w:val="A95EEB6A"/>
    <w:lvl w:ilvl="0" w:tplc="186899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2754C9"/>
    <w:multiLevelType w:val="hybridMultilevel"/>
    <w:tmpl w:val="AE48715C"/>
    <w:lvl w:ilvl="0" w:tplc="D2DE0EF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0960F0"/>
    <w:multiLevelType w:val="hybridMultilevel"/>
    <w:tmpl w:val="669CF8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3CA66D6"/>
    <w:multiLevelType w:val="hybridMultilevel"/>
    <w:tmpl w:val="D17AF3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A10BA3"/>
    <w:multiLevelType w:val="hybridMultilevel"/>
    <w:tmpl w:val="622E03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6741D5"/>
    <w:multiLevelType w:val="hybridMultilevel"/>
    <w:tmpl w:val="78F00E70"/>
    <w:lvl w:ilvl="0" w:tplc="1AB01776">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C3055EA"/>
    <w:multiLevelType w:val="hybridMultilevel"/>
    <w:tmpl w:val="5DCE0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2FF2E9D"/>
    <w:multiLevelType w:val="hybridMultilevel"/>
    <w:tmpl w:val="E996B94A"/>
    <w:lvl w:ilvl="0" w:tplc="186899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426218"/>
    <w:multiLevelType w:val="hybridMultilevel"/>
    <w:tmpl w:val="112406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CE15434"/>
    <w:multiLevelType w:val="hybridMultilevel"/>
    <w:tmpl w:val="1EE0CD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774FC7"/>
    <w:multiLevelType w:val="hybridMultilevel"/>
    <w:tmpl w:val="A72A6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DD1D40"/>
    <w:multiLevelType w:val="hybridMultilevel"/>
    <w:tmpl w:val="BDE218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871F7B"/>
    <w:multiLevelType w:val="hybridMultilevel"/>
    <w:tmpl w:val="1E16AFB6"/>
    <w:lvl w:ilvl="0" w:tplc="0B8EB598">
      <w:numFmt w:val="bullet"/>
      <w:lvlText w:val="-"/>
      <w:lvlJc w:val="left"/>
      <w:pPr>
        <w:ind w:left="720" w:hanging="720"/>
      </w:pPr>
      <w:rPr>
        <w:rFonts w:ascii="Aptos" w:eastAsiaTheme="minorHAnsi" w:hAnsi="Aptos"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A4D0043"/>
    <w:multiLevelType w:val="hybridMultilevel"/>
    <w:tmpl w:val="719876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29362B6"/>
    <w:multiLevelType w:val="multilevel"/>
    <w:tmpl w:val="59240C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2F52529"/>
    <w:multiLevelType w:val="hybridMultilevel"/>
    <w:tmpl w:val="B48C110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3E05BDB"/>
    <w:multiLevelType w:val="hybridMultilevel"/>
    <w:tmpl w:val="576647DE"/>
    <w:lvl w:ilvl="0" w:tplc="C90EBC2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BCC2E0F"/>
    <w:multiLevelType w:val="hybridMultilevel"/>
    <w:tmpl w:val="469C1E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28B0BBF"/>
    <w:multiLevelType w:val="hybridMultilevel"/>
    <w:tmpl w:val="F4120608"/>
    <w:lvl w:ilvl="0" w:tplc="850A63CC">
      <w:numFmt w:val="bullet"/>
      <w:lvlText w:val="-"/>
      <w:lvlJc w:val="left"/>
      <w:pPr>
        <w:ind w:left="1080" w:hanging="72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A0313EE"/>
    <w:multiLevelType w:val="hybridMultilevel"/>
    <w:tmpl w:val="35C09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FD97F1F"/>
    <w:multiLevelType w:val="hybridMultilevel"/>
    <w:tmpl w:val="280828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32819790">
    <w:abstractNumId w:val="19"/>
  </w:num>
  <w:num w:numId="2" w16cid:durableId="1426850870">
    <w:abstractNumId w:val="11"/>
  </w:num>
  <w:num w:numId="3" w16cid:durableId="746684151">
    <w:abstractNumId w:val="3"/>
  </w:num>
  <w:num w:numId="4" w16cid:durableId="595023934">
    <w:abstractNumId w:val="20"/>
  </w:num>
  <w:num w:numId="5" w16cid:durableId="7409344">
    <w:abstractNumId w:val="4"/>
  </w:num>
  <w:num w:numId="6" w16cid:durableId="1157837871">
    <w:abstractNumId w:val="9"/>
  </w:num>
  <w:num w:numId="7" w16cid:durableId="794757623">
    <w:abstractNumId w:val="1"/>
  </w:num>
  <w:num w:numId="8" w16cid:durableId="1491019091">
    <w:abstractNumId w:val="6"/>
  </w:num>
  <w:num w:numId="9" w16cid:durableId="656030798">
    <w:abstractNumId w:val="10"/>
  </w:num>
  <w:num w:numId="10" w16cid:durableId="434978742">
    <w:abstractNumId w:val="17"/>
  </w:num>
  <w:num w:numId="11" w16cid:durableId="1332026500">
    <w:abstractNumId w:val="8"/>
  </w:num>
  <w:num w:numId="12" w16cid:durableId="1562322542">
    <w:abstractNumId w:val="0"/>
  </w:num>
  <w:num w:numId="13" w16cid:durableId="1386174255">
    <w:abstractNumId w:val="7"/>
  </w:num>
  <w:num w:numId="14" w16cid:durableId="271206402">
    <w:abstractNumId w:val="5"/>
  </w:num>
  <w:num w:numId="15" w16cid:durableId="1261715512">
    <w:abstractNumId w:val="16"/>
  </w:num>
  <w:num w:numId="16" w16cid:durableId="1167209532">
    <w:abstractNumId w:val="2"/>
  </w:num>
  <w:num w:numId="17" w16cid:durableId="954991940">
    <w:abstractNumId w:val="14"/>
  </w:num>
  <w:num w:numId="18" w16cid:durableId="725955208">
    <w:abstractNumId w:val="15"/>
  </w:num>
  <w:num w:numId="19" w16cid:durableId="879324653">
    <w:abstractNumId w:val="13"/>
  </w:num>
  <w:num w:numId="20" w16cid:durableId="1405420365">
    <w:abstractNumId w:val="18"/>
  </w:num>
  <w:num w:numId="21" w16cid:durableId="85485439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19D"/>
    <w:rsid w:val="000166D5"/>
    <w:rsid w:val="00025D3D"/>
    <w:rsid w:val="00036824"/>
    <w:rsid w:val="00040209"/>
    <w:rsid w:val="00044DFC"/>
    <w:rsid w:val="00047EBA"/>
    <w:rsid w:val="00052445"/>
    <w:rsid w:val="000549E1"/>
    <w:rsid w:val="00054C80"/>
    <w:rsid w:val="0005728D"/>
    <w:rsid w:val="0006087C"/>
    <w:rsid w:val="00060A68"/>
    <w:rsid w:val="00060EA6"/>
    <w:rsid w:val="00061D1A"/>
    <w:rsid w:val="000677FB"/>
    <w:rsid w:val="00076AFB"/>
    <w:rsid w:val="00090B7F"/>
    <w:rsid w:val="000942C0"/>
    <w:rsid w:val="00096112"/>
    <w:rsid w:val="00097829"/>
    <w:rsid w:val="000A1571"/>
    <w:rsid w:val="000A4217"/>
    <w:rsid w:val="000A45BF"/>
    <w:rsid w:val="000B57C0"/>
    <w:rsid w:val="000B5BAE"/>
    <w:rsid w:val="000C4CE2"/>
    <w:rsid w:val="000C76D3"/>
    <w:rsid w:val="000D38CD"/>
    <w:rsid w:val="000D5570"/>
    <w:rsid w:val="000E0044"/>
    <w:rsid w:val="000E00FF"/>
    <w:rsid w:val="000E5DB4"/>
    <w:rsid w:val="000F4A94"/>
    <w:rsid w:val="000F77A8"/>
    <w:rsid w:val="000F7DBD"/>
    <w:rsid w:val="00114CDD"/>
    <w:rsid w:val="00115B09"/>
    <w:rsid w:val="00123E79"/>
    <w:rsid w:val="001253B2"/>
    <w:rsid w:val="0013002E"/>
    <w:rsid w:val="001330B3"/>
    <w:rsid w:val="00134387"/>
    <w:rsid w:val="001445BF"/>
    <w:rsid w:val="001467D9"/>
    <w:rsid w:val="00146A17"/>
    <w:rsid w:val="00153445"/>
    <w:rsid w:val="0015400F"/>
    <w:rsid w:val="00154561"/>
    <w:rsid w:val="001632FC"/>
    <w:rsid w:val="001736B5"/>
    <w:rsid w:val="0017595B"/>
    <w:rsid w:val="00193B4A"/>
    <w:rsid w:val="001A58A4"/>
    <w:rsid w:val="001A5FF6"/>
    <w:rsid w:val="001A7821"/>
    <w:rsid w:val="001B4918"/>
    <w:rsid w:val="001B7A73"/>
    <w:rsid w:val="001D73C2"/>
    <w:rsid w:val="001E0727"/>
    <w:rsid w:val="001E5AE8"/>
    <w:rsid w:val="001F0B05"/>
    <w:rsid w:val="001F6E85"/>
    <w:rsid w:val="00204380"/>
    <w:rsid w:val="00205B91"/>
    <w:rsid w:val="00206A14"/>
    <w:rsid w:val="00206A25"/>
    <w:rsid w:val="00206B38"/>
    <w:rsid w:val="00206D6A"/>
    <w:rsid w:val="00210708"/>
    <w:rsid w:val="0021267C"/>
    <w:rsid w:val="0022198A"/>
    <w:rsid w:val="002310F9"/>
    <w:rsid w:val="00233A7F"/>
    <w:rsid w:val="002346F7"/>
    <w:rsid w:val="00243A56"/>
    <w:rsid w:val="00244188"/>
    <w:rsid w:val="00246852"/>
    <w:rsid w:val="0025262B"/>
    <w:rsid w:val="00253D5A"/>
    <w:rsid w:val="00260128"/>
    <w:rsid w:val="00267681"/>
    <w:rsid w:val="00276B49"/>
    <w:rsid w:val="00291449"/>
    <w:rsid w:val="00295BA9"/>
    <w:rsid w:val="002A107E"/>
    <w:rsid w:val="002A2D3F"/>
    <w:rsid w:val="002A3C11"/>
    <w:rsid w:val="002A631A"/>
    <w:rsid w:val="002B08DC"/>
    <w:rsid w:val="002B2165"/>
    <w:rsid w:val="002C0CBD"/>
    <w:rsid w:val="002C0F68"/>
    <w:rsid w:val="002C33F3"/>
    <w:rsid w:val="002D1B3B"/>
    <w:rsid w:val="002D4C6C"/>
    <w:rsid w:val="002E0502"/>
    <w:rsid w:val="002E4917"/>
    <w:rsid w:val="002E7B3F"/>
    <w:rsid w:val="002F0F64"/>
    <w:rsid w:val="002F75FA"/>
    <w:rsid w:val="00301BCA"/>
    <w:rsid w:val="0030595A"/>
    <w:rsid w:val="00305B9C"/>
    <w:rsid w:val="00306414"/>
    <w:rsid w:val="003108BC"/>
    <w:rsid w:val="003115E8"/>
    <w:rsid w:val="003179ED"/>
    <w:rsid w:val="00321A31"/>
    <w:rsid w:val="00322749"/>
    <w:rsid w:val="00322C68"/>
    <w:rsid w:val="00330BEA"/>
    <w:rsid w:val="00334AF7"/>
    <w:rsid w:val="00334D04"/>
    <w:rsid w:val="003350CA"/>
    <w:rsid w:val="00340975"/>
    <w:rsid w:val="00340AD4"/>
    <w:rsid w:val="00342459"/>
    <w:rsid w:val="00346215"/>
    <w:rsid w:val="00355118"/>
    <w:rsid w:val="00356082"/>
    <w:rsid w:val="003601F3"/>
    <w:rsid w:val="00361236"/>
    <w:rsid w:val="00373437"/>
    <w:rsid w:val="003762E6"/>
    <w:rsid w:val="00377154"/>
    <w:rsid w:val="003812E0"/>
    <w:rsid w:val="0038167A"/>
    <w:rsid w:val="00381767"/>
    <w:rsid w:val="00392EDF"/>
    <w:rsid w:val="003A3D63"/>
    <w:rsid w:val="003A4318"/>
    <w:rsid w:val="003A4C0C"/>
    <w:rsid w:val="003A5330"/>
    <w:rsid w:val="003A6D54"/>
    <w:rsid w:val="003B037D"/>
    <w:rsid w:val="003B5127"/>
    <w:rsid w:val="003B5ACB"/>
    <w:rsid w:val="003C2526"/>
    <w:rsid w:val="003C66E4"/>
    <w:rsid w:val="003D3424"/>
    <w:rsid w:val="003D71CA"/>
    <w:rsid w:val="003D79A3"/>
    <w:rsid w:val="003E3B48"/>
    <w:rsid w:val="003F3AA6"/>
    <w:rsid w:val="003F61F6"/>
    <w:rsid w:val="004014C9"/>
    <w:rsid w:val="00401889"/>
    <w:rsid w:val="0040357E"/>
    <w:rsid w:val="00406ACF"/>
    <w:rsid w:val="00410D3D"/>
    <w:rsid w:val="00411E1E"/>
    <w:rsid w:val="0041272D"/>
    <w:rsid w:val="004226C2"/>
    <w:rsid w:val="00422AB5"/>
    <w:rsid w:val="004349E2"/>
    <w:rsid w:val="00443A04"/>
    <w:rsid w:val="00447AAE"/>
    <w:rsid w:val="00447CF5"/>
    <w:rsid w:val="004538B3"/>
    <w:rsid w:val="00457C3D"/>
    <w:rsid w:val="004605C8"/>
    <w:rsid w:val="00462691"/>
    <w:rsid w:val="004804DA"/>
    <w:rsid w:val="00485071"/>
    <w:rsid w:val="00490A18"/>
    <w:rsid w:val="0049134A"/>
    <w:rsid w:val="0049199D"/>
    <w:rsid w:val="004A12E2"/>
    <w:rsid w:val="004A6BBF"/>
    <w:rsid w:val="004B447C"/>
    <w:rsid w:val="004B6E08"/>
    <w:rsid w:val="004B710F"/>
    <w:rsid w:val="004C48A5"/>
    <w:rsid w:val="004D5A38"/>
    <w:rsid w:val="004E6DB8"/>
    <w:rsid w:val="004F2840"/>
    <w:rsid w:val="004F6A9B"/>
    <w:rsid w:val="00501813"/>
    <w:rsid w:val="005042B7"/>
    <w:rsid w:val="00507C78"/>
    <w:rsid w:val="005128D2"/>
    <w:rsid w:val="00512E80"/>
    <w:rsid w:val="00527D28"/>
    <w:rsid w:val="00534E0F"/>
    <w:rsid w:val="00541720"/>
    <w:rsid w:val="0054205C"/>
    <w:rsid w:val="005470B9"/>
    <w:rsid w:val="00547188"/>
    <w:rsid w:val="005514F2"/>
    <w:rsid w:val="00557458"/>
    <w:rsid w:val="00557900"/>
    <w:rsid w:val="00567717"/>
    <w:rsid w:val="00570D32"/>
    <w:rsid w:val="005710F6"/>
    <w:rsid w:val="00571265"/>
    <w:rsid w:val="00571C4C"/>
    <w:rsid w:val="005721B0"/>
    <w:rsid w:val="0057719E"/>
    <w:rsid w:val="00582775"/>
    <w:rsid w:val="0058706C"/>
    <w:rsid w:val="00590F89"/>
    <w:rsid w:val="00595B38"/>
    <w:rsid w:val="00596ECA"/>
    <w:rsid w:val="005A2A0C"/>
    <w:rsid w:val="005A31AC"/>
    <w:rsid w:val="005A4E4B"/>
    <w:rsid w:val="005A5D14"/>
    <w:rsid w:val="005A64DB"/>
    <w:rsid w:val="005B1304"/>
    <w:rsid w:val="005B5F5E"/>
    <w:rsid w:val="005C0BD3"/>
    <w:rsid w:val="005C724E"/>
    <w:rsid w:val="005C759F"/>
    <w:rsid w:val="005C79B2"/>
    <w:rsid w:val="005D4F86"/>
    <w:rsid w:val="005D561F"/>
    <w:rsid w:val="005D7B20"/>
    <w:rsid w:val="005E443C"/>
    <w:rsid w:val="005E47DF"/>
    <w:rsid w:val="005E538A"/>
    <w:rsid w:val="005E6DEF"/>
    <w:rsid w:val="005F3236"/>
    <w:rsid w:val="005F6D05"/>
    <w:rsid w:val="0060252C"/>
    <w:rsid w:val="00603701"/>
    <w:rsid w:val="00606BBD"/>
    <w:rsid w:val="00612EEF"/>
    <w:rsid w:val="00617260"/>
    <w:rsid w:val="00626880"/>
    <w:rsid w:val="00630835"/>
    <w:rsid w:val="00631411"/>
    <w:rsid w:val="006316C0"/>
    <w:rsid w:val="00632FF1"/>
    <w:rsid w:val="00634B1A"/>
    <w:rsid w:val="006424B8"/>
    <w:rsid w:val="00644892"/>
    <w:rsid w:val="00644B19"/>
    <w:rsid w:val="006540F8"/>
    <w:rsid w:val="00654DE8"/>
    <w:rsid w:val="00657042"/>
    <w:rsid w:val="00661B8E"/>
    <w:rsid w:val="0068362D"/>
    <w:rsid w:val="00694906"/>
    <w:rsid w:val="00694E2B"/>
    <w:rsid w:val="006A5018"/>
    <w:rsid w:val="006A50B4"/>
    <w:rsid w:val="006B2E1C"/>
    <w:rsid w:val="006C4A5B"/>
    <w:rsid w:val="006C5699"/>
    <w:rsid w:val="006C6580"/>
    <w:rsid w:val="006C716C"/>
    <w:rsid w:val="006D1A94"/>
    <w:rsid w:val="006D33C1"/>
    <w:rsid w:val="006D5E24"/>
    <w:rsid w:val="006D5EC1"/>
    <w:rsid w:val="006E305A"/>
    <w:rsid w:val="006E36C6"/>
    <w:rsid w:val="006E524B"/>
    <w:rsid w:val="006E5DE3"/>
    <w:rsid w:val="006F0685"/>
    <w:rsid w:val="00702433"/>
    <w:rsid w:val="007051EC"/>
    <w:rsid w:val="007055DD"/>
    <w:rsid w:val="00717C50"/>
    <w:rsid w:val="00722FAA"/>
    <w:rsid w:val="00732532"/>
    <w:rsid w:val="007374C6"/>
    <w:rsid w:val="00740A25"/>
    <w:rsid w:val="00743FBC"/>
    <w:rsid w:val="00747793"/>
    <w:rsid w:val="00750D9B"/>
    <w:rsid w:val="00750D9C"/>
    <w:rsid w:val="007512BA"/>
    <w:rsid w:val="007621EF"/>
    <w:rsid w:val="0076765A"/>
    <w:rsid w:val="0077375E"/>
    <w:rsid w:val="00774A68"/>
    <w:rsid w:val="00776A0A"/>
    <w:rsid w:val="007901F7"/>
    <w:rsid w:val="007937EA"/>
    <w:rsid w:val="007A336F"/>
    <w:rsid w:val="007B6A5D"/>
    <w:rsid w:val="007C2A07"/>
    <w:rsid w:val="007C5ABB"/>
    <w:rsid w:val="007C6B76"/>
    <w:rsid w:val="007D31D8"/>
    <w:rsid w:val="007E04DF"/>
    <w:rsid w:val="007E072D"/>
    <w:rsid w:val="007E34AD"/>
    <w:rsid w:val="007E4E08"/>
    <w:rsid w:val="007E7F7A"/>
    <w:rsid w:val="007F1074"/>
    <w:rsid w:val="007F32E2"/>
    <w:rsid w:val="007F5B41"/>
    <w:rsid w:val="00800056"/>
    <w:rsid w:val="00802DC1"/>
    <w:rsid w:val="008051BD"/>
    <w:rsid w:val="0080654D"/>
    <w:rsid w:val="008076DE"/>
    <w:rsid w:val="0081275A"/>
    <w:rsid w:val="00816152"/>
    <w:rsid w:val="00820321"/>
    <w:rsid w:val="00823C32"/>
    <w:rsid w:val="008337A8"/>
    <w:rsid w:val="008343C0"/>
    <w:rsid w:val="008348A0"/>
    <w:rsid w:val="0083521D"/>
    <w:rsid w:val="00835835"/>
    <w:rsid w:val="00836C1F"/>
    <w:rsid w:val="00837570"/>
    <w:rsid w:val="00845DBF"/>
    <w:rsid w:val="00856C2B"/>
    <w:rsid w:val="00866778"/>
    <w:rsid w:val="00871486"/>
    <w:rsid w:val="00880226"/>
    <w:rsid w:val="00884977"/>
    <w:rsid w:val="0088590F"/>
    <w:rsid w:val="00887978"/>
    <w:rsid w:val="00894798"/>
    <w:rsid w:val="00895EAA"/>
    <w:rsid w:val="008A5188"/>
    <w:rsid w:val="008A7502"/>
    <w:rsid w:val="008B3084"/>
    <w:rsid w:val="008B40BC"/>
    <w:rsid w:val="008B6B4A"/>
    <w:rsid w:val="008D0835"/>
    <w:rsid w:val="008D619D"/>
    <w:rsid w:val="008D65E0"/>
    <w:rsid w:val="008D74E0"/>
    <w:rsid w:val="008D7B89"/>
    <w:rsid w:val="008E46E7"/>
    <w:rsid w:val="008F0F02"/>
    <w:rsid w:val="008F12FA"/>
    <w:rsid w:val="009027B2"/>
    <w:rsid w:val="00902BCD"/>
    <w:rsid w:val="00903C6D"/>
    <w:rsid w:val="0090563A"/>
    <w:rsid w:val="00916C2D"/>
    <w:rsid w:val="00933354"/>
    <w:rsid w:val="00935DBC"/>
    <w:rsid w:val="00940229"/>
    <w:rsid w:val="00943A41"/>
    <w:rsid w:val="009448E4"/>
    <w:rsid w:val="00947A89"/>
    <w:rsid w:val="00951215"/>
    <w:rsid w:val="009631BE"/>
    <w:rsid w:val="00964AE5"/>
    <w:rsid w:val="009808C3"/>
    <w:rsid w:val="00981C9F"/>
    <w:rsid w:val="009837DB"/>
    <w:rsid w:val="009840E5"/>
    <w:rsid w:val="0099050E"/>
    <w:rsid w:val="00990633"/>
    <w:rsid w:val="00991A49"/>
    <w:rsid w:val="00993192"/>
    <w:rsid w:val="009B4514"/>
    <w:rsid w:val="009B5ED3"/>
    <w:rsid w:val="009B79E9"/>
    <w:rsid w:val="009C2632"/>
    <w:rsid w:val="009C73DC"/>
    <w:rsid w:val="009D2E0E"/>
    <w:rsid w:val="009D78BA"/>
    <w:rsid w:val="009E0A4F"/>
    <w:rsid w:val="009E18AE"/>
    <w:rsid w:val="009E2DAA"/>
    <w:rsid w:val="009E5DF6"/>
    <w:rsid w:val="009E70B7"/>
    <w:rsid w:val="009F4976"/>
    <w:rsid w:val="009F5988"/>
    <w:rsid w:val="00A01599"/>
    <w:rsid w:val="00A074E6"/>
    <w:rsid w:val="00A10C59"/>
    <w:rsid w:val="00A12C15"/>
    <w:rsid w:val="00A22B5C"/>
    <w:rsid w:val="00A25422"/>
    <w:rsid w:val="00A3337F"/>
    <w:rsid w:val="00A36F78"/>
    <w:rsid w:val="00A409B6"/>
    <w:rsid w:val="00A42FAD"/>
    <w:rsid w:val="00A43EB3"/>
    <w:rsid w:val="00A43FDB"/>
    <w:rsid w:val="00A5137A"/>
    <w:rsid w:val="00A52FC4"/>
    <w:rsid w:val="00A53E84"/>
    <w:rsid w:val="00A552DA"/>
    <w:rsid w:val="00A62921"/>
    <w:rsid w:val="00A64B53"/>
    <w:rsid w:val="00A652F5"/>
    <w:rsid w:val="00A6649A"/>
    <w:rsid w:val="00A708C7"/>
    <w:rsid w:val="00A928A0"/>
    <w:rsid w:val="00AA24A9"/>
    <w:rsid w:val="00AA489B"/>
    <w:rsid w:val="00AA57EF"/>
    <w:rsid w:val="00AA72A2"/>
    <w:rsid w:val="00AC64FD"/>
    <w:rsid w:val="00AC7F01"/>
    <w:rsid w:val="00AD146B"/>
    <w:rsid w:val="00AD175C"/>
    <w:rsid w:val="00AD40F5"/>
    <w:rsid w:val="00AE212E"/>
    <w:rsid w:val="00AF234B"/>
    <w:rsid w:val="00AF2B31"/>
    <w:rsid w:val="00AF4DE0"/>
    <w:rsid w:val="00B02137"/>
    <w:rsid w:val="00B04366"/>
    <w:rsid w:val="00B04DE8"/>
    <w:rsid w:val="00B05AD1"/>
    <w:rsid w:val="00B2044A"/>
    <w:rsid w:val="00B255B1"/>
    <w:rsid w:val="00B31EA7"/>
    <w:rsid w:val="00B423A0"/>
    <w:rsid w:val="00B42774"/>
    <w:rsid w:val="00B431FC"/>
    <w:rsid w:val="00B43465"/>
    <w:rsid w:val="00B46494"/>
    <w:rsid w:val="00B477E3"/>
    <w:rsid w:val="00B5292E"/>
    <w:rsid w:val="00B55B6D"/>
    <w:rsid w:val="00B62B8B"/>
    <w:rsid w:val="00B65195"/>
    <w:rsid w:val="00B67CA2"/>
    <w:rsid w:val="00B73B4B"/>
    <w:rsid w:val="00B74743"/>
    <w:rsid w:val="00B76F1E"/>
    <w:rsid w:val="00B92E13"/>
    <w:rsid w:val="00BA216A"/>
    <w:rsid w:val="00BA679E"/>
    <w:rsid w:val="00BA6C74"/>
    <w:rsid w:val="00BB1555"/>
    <w:rsid w:val="00BB5846"/>
    <w:rsid w:val="00BB5F53"/>
    <w:rsid w:val="00BC20E3"/>
    <w:rsid w:val="00BC50DB"/>
    <w:rsid w:val="00BD1B12"/>
    <w:rsid w:val="00BD2533"/>
    <w:rsid w:val="00BE47AC"/>
    <w:rsid w:val="00BF2739"/>
    <w:rsid w:val="00BF4D7B"/>
    <w:rsid w:val="00C02F4E"/>
    <w:rsid w:val="00C20BBA"/>
    <w:rsid w:val="00C363AE"/>
    <w:rsid w:val="00C421DE"/>
    <w:rsid w:val="00C47437"/>
    <w:rsid w:val="00C52757"/>
    <w:rsid w:val="00C52EDC"/>
    <w:rsid w:val="00C5447C"/>
    <w:rsid w:val="00C57D9C"/>
    <w:rsid w:val="00C6608A"/>
    <w:rsid w:val="00C7381C"/>
    <w:rsid w:val="00C81A7E"/>
    <w:rsid w:val="00C81D39"/>
    <w:rsid w:val="00C9198A"/>
    <w:rsid w:val="00C94175"/>
    <w:rsid w:val="00C94D84"/>
    <w:rsid w:val="00C94EBC"/>
    <w:rsid w:val="00CA38CA"/>
    <w:rsid w:val="00CB006A"/>
    <w:rsid w:val="00CB1F7F"/>
    <w:rsid w:val="00CC5AFE"/>
    <w:rsid w:val="00CC6F96"/>
    <w:rsid w:val="00CD0E84"/>
    <w:rsid w:val="00CD0FB8"/>
    <w:rsid w:val="00CD294F"/>
    <w:rsid w:val="00CD48FF"/>
    <w:rsid w:val="00CD5805"/>
    <w:rsid w:val="00CD5F4D"/>
    <w:rsid w:val="00CE08EC"/>
    <w:rsid w:val="00CE1810"/>
    <w:rsid w:val="00CE2123"/>
    <w:rsid w:val="00CE2B4F"/>
    <w:rsid w:val="00CE657D"/>
    <w:rsid w:val="00CF1DB8"/>
    <w:rsid w:val="00CF28DA"/>
    <w:rsid w:val="00CF4568"/>
    <w:rsid w:val="00CF5EE3"/>
    <w:rsid w:val="00CF6499"/>
    <w:rsid w:val="00D05D5F"/>
    <w:rsid w:val="00D05EC4"/>
    <w:rsid w:val="00D125AB"/>
    <w:rsid w:val="00D20D96"/>
    <w:rsid w:val="00D243EA"/>
    <w:rsid w:val="00D257B9"/>
    <w:rsid w:val="00D31C06"/>
    <w:rsid w:val="00D42928"/>
    <w:rsid w:val="00D43F46"/>
    <w:rsid w:val="00D44D0B"/>
    <w:rsid w:val="00D45D2F"/>
    <w:rsid w:val="00D46065"/>
    <w:rsid w:val="00D47307"/>
    <w:rsid w:val="00D520C3"/>
    <w:rsid w:val="00D524E3"/>
    <w:rsid w:val="00D57741"/>
    <w:rsid w:val="00D57F84"/>
    <w:rsid w:val="00D65085"/>
    <w:rsid w:val="00D736BA"/>
    <w:rsid w:val="00D81C79"/>
    <w:rsid w:val="00D86A5A"/>
    <w:rsid w:val="00D87599"/>
    <w:rsid w:val="00D925E2"/>
    <w:rsid w:val="00DA37CA"/>
    <w:rsid w:val="00DA5416"/>
    <w:rsid w:val="00DA5FF3"/>
    <w:rsid w:val="00DB1863"/>
    <w:rsid w:val="00DB7D82"/>
    <w:rsid w:val="00DC0980"/>
    <w:rsid w:val="00DD0A98"/>
    <w:rsid w:val="00DD58E1"/>
    <w:rsid w:val="00DD7DC1"/>
    <w:rsid w:val="00DE777D"/>
    <w:rsid w:val="00DF2A5F"/>
    <w:rsid w:val="00DF4E16"/>
    <w:rsid w:val="00E0329F"/>
    <w:rsid w:val="00E06C8E"/>
    <w:rsid w:val="00E12107"/>
    <w:rsid w:val="00E265C1"/>
    <w:rsid w:val="00E26974"/>
    <w:rsid w:val="00E3698D"/>
    <w:rsid w:val="00E44B32"/>
    <w:rsid w:val="00E45D7B"/>
    <w:rsid w:val="00E46F04"/>
    <w:rsid w:val="00E50F9E"/>
    <w:rsid w:val="00E53AAE"/>
    <w:rsid w:val="00E55EA5"/>
    <w:rsid w:val="00E60DAF"/>
    <w:rsid w:val="00E637D6"/>
    <w:rsid w:val="00E6497D"/>
    <w:rsid w:val="00E67F13"/>
    <w:rsid w:val="00E7138B"/>
    <w:rsid w:val="00E754A6"/>
    <w:rsid w:val="00E76588"/>
    <w:rsid w:val="00E772A0"/>
    <w:rsid w:val="00E834C9"/>
    <w:rsid w:val="00E86F32"/>
    <w:rsid w:val="00EA16B0"/>
    <w:rsid w:val="00EA1C3F"/>
    <w:rsid w:val="00EA3270"/>
    <w:rsid w:val="00EC07F1"/>
    <w:rsid w:val="00ED07C7"/>
    <w:rsid w:val="00ED44DC"/>
    <w:rsid w:val="00EE05D6"/>
    <w:rsid w:val="00EE2CCB"/>
    <w:rsid w:val="00EE3629"/>
    <w:rsid w:val="00EF113B"/>
    <w:rsid w:val="00F00B70"/>
    <w:rsid w:val="00F02F2E"/>
    <w:rsid w:val="00F05297"/>
    <w:rsid w:val="00F0645A"/>
    <w:rsid w:val="00F07FF4"/>
    <w:rsid w:val="00F1473E"/>
    <w:rsid w:val="00F1663D"/>
    <w:rsid w:val="00F24A93"/>
    <w:rsid w:val="00F24D43"/>
    <w:rsid w:val="00F304ED"/>
    <w:rsid w:val="00F357F7"/>
    <w:rsid w:val="00F37CE7"/>
    <w:rsid w:val="00F37D05"/>
    <w:rsid w:val="00F40EE1"/>
    <w:rsid w:val="00F41D50"/>
    <w:rsid w:val="00F41E88"/>
    <w:rsid w:val="00F450C4"/>
    <w:rsid w:val="00F539B6"/>
    <w:rsid w:val="00F641CB"/>
    <w:rsid w:val="00F858E0"/>
    <w:rsid w:val="00F94235"/>
    <w:rsid w:val="00FA2192"/>
    <w:rsid w:val="00FA5F05"/>
    <w:rsid w:val="00FA69CB"/>
    <w:rsid w:val="00FA6E64"/>
    <w:rsid w:val="00FB55F3"/>
    <w:rsid w:val="00FC05EF"/>
    <w:rsid w:val="00FC0BEC"/>
    <w:rsid w:val="00FD5AB4"/>
    <w:rsid w:val="00FF2DDD"/>
    <w:rsid w:val="00FF44F3"/>
    <w:rsid w:val="00FF6790"/>
    <w:rsid w:val="11A34A76"/>
    <w:rsid w:val="37553FB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CA41F"/>
  <w15:chartTrackingRefBased/>
  <w15:docId w15:val="{BE1FF847-EE53-41BE-92CF-E9797C8E8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619D"/>
  </w:style>
  <w:style w:type="paragraph" w:styleId="Heading1">
    <w:name w:val="heading 1"/>
    <w:basedOn w:val="Normal"/>
    <w:next w:val="Normal"/>
    <w:link w:val="Heading1Char"/>
    <w:uiPriority w:val="9"/>
    <w:qFormat/>
    <w:rsid w:val="008D619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D619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D619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D619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D619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D619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619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619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619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619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D619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D619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D619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D619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D619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619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619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619D"/>
    <w:rPr>
      <w:rFonts w:eastAsiaTheme="majorEastAsia" w:cstheme="majorBidi"/>
      <w:color w:val="272727" w:themeColor="text1" w:themeTint="D8"/>
    </w:rPr>
  </w:style>
  <w:style w:type="paragraph" w:styleId="Title">
    <w:name w:val="Title"/>
    <w:basedOn w:val="Normal"/>
    <w:next w:val="Normal"/>
    <w:link w:val="TitleChar"/>
    <w:uiPriority w:val="10"/>
    <w:qFormat/>
    <w:rsid w:val="008D61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619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619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619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619D"/>
    <w:pPr>
      <w:spacing w:before="160"/>
      <w:jc w:val="center"/>
    </w:pPr>
    <w:rPr>
      <w:i/>
      <w:iCs/>
      <w:color w:val="404040" w:themeColor="text1" w:themeTint="BF"/>
    </w:rPr>
  </w:style>
  <w:style w:type="character" w:customStyle="1" w:styleId="QuoteChar">
    <w:name w:val="Quote Char"/>
    <w:basedOn w:val="DefaultParagraphFont"/>
    <w:link w:val="Quote"/>
    <w:uiPriority w:val="29"/>
    <w:rsid w:val="008D619D"/>
    <w:rPr>
      <w:i/>
      <w:iCs/>
      <w:color w:val="404040" w:themeColor="text1" w:themeTint="BF"/>
    </w:rPr>
  </w:style>
  <w:style w:type="paragraph" w:styleId="ListParagraph">
    <w:name w:val="List Paragraph"/>
    <w:basedOn w:val="Normal"/>
    <w:uiPriority w:val="34"/>
    <w:qFormat/>
    <w:rsid w:val="008D619D"/>
    <w:pPr>
      <w:ind w:left="720"/>
      <w:contextualSpacing/>
    </w:pPr>
  </w:style>
  <w:style w:type="character" w:styleId="IntenseEmphasis">
    <w:name w:val="Intense Emphasis"/>
    <w:basedOn w:val="DefaultParagraphFont"/>
    <w:uiPriority w:val="21"/>
    <w:qFormat/>
    <w:rsid w:val="008D619D"/>
    <w:rPr>
      <w:i/>
      <w:iCs/>
      <w:color w:val="0F4761" w:themeColor="accent1" w:themeShade="BF"/>
    </w:rPr>
  </w:style>
  <w:style w:type="paragraph" w:styleId="IntenseQuote">
    <w:name w:val="Intense Quote"/>
    <w:basedOn w:val="Normal"/>
    <w:next w:val="Normal"/>
    <w:link w:val="IntenseQuoteChar"/>
    <w:uiPriority w:val="30"/>
    <w:qFormat/>
    <w:rsid w:val="008D619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D619D"/>
    <w:rPr>
      <w:i/>
      <w:iCs/>
      <w:color w:val="0F4761" w:themeColor="accent1" w:themeShade="BF"/>
    </w:rPr>
  </w:style>
  <w:style w:type="character" w:styleId="IntenseReference">
    <w:name w:val="Intense Reference"/>
    <w:basedOn w:val="DefaultParagraphFont"/>
    <w:uiPriority w:val="32"/>
    <w:qFormat/>
    <w:rsid w:val="008D619D"/>
    <w:rPr>
      <w:b/>
      <w:bCs/>
      <w:smallCaps/>
      <w:color w:val="0F4761" w:themeColor="accent1" w:themeShade="BF"/>
      <w:spacing w:val="5"/>
    </w:rPr>
  </w:style>
  <w:style w:type="table" w:styleId="TableGrid">
    <w:name w:val="Table Grid"/>
    <w:basedOn w:val="TableNormal"/>
    <w:uiPriority w:val="39"/>
    <w:rsid w:val="008127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6E36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36C6"/>
  </w:style>
  <w:style w:type="paragraph" w:styleId="Revision">
    <w:name w:val="Revision"/>
    <w:hidden/>
    <w:uiPriority w:val="99"/>
    <w:semiHidden/>
    <w:rsid w:val="007512BA"/>
    <w:pPr>
      <w:spacing w:after="0" w:line="240" w:lineRule="auto"/>
    </w:pPr>
  </w:style>
  <w:style w:type="character" w:styleId="CommentReference">
    <w:name w:val="annotation reference"/>
    <w:basedOn w:val="DefaultParagraphFont"/>
    <w:uiPriority w:val="99"/>
    <w:semiHidden/>
    <w:unhideWhenUsed/>
    <w:rsid w:val="007512BA"/>
    <w:rPr>
      <w:sz w:val="16"/>
      <w:szCs w:val="16"/>
    </w:rPr>
  </w:style>
  <w:style w:type="paragraph" w:styleId="CommentText">
    <w:name w:val="annotation text"/>
    <w:basedOn w:val="Normal"/>
    <w:link w:val="CommentTextChar"/>
    <w:uiPriority w:val="99"/>
    <w:unhideWhenUsed/>
    <w:rsid w:val="007512BA"/>
    <w:pPr>
      <w:spacing w:line="240" w:lineRule="auto"/>
    </w:pPr>
    <w:rPr>
      <w:sz w:val="20"/>
      <w:szCs w:val="20"/>
    </w:rPr>
  </w:style>
  <w:style w:type="character" w:customStyle="1" w:styleId="CommentTextChar">
    <w:name w:val="Comment Text Char"/>
    <w:basedOn w:val="DefaultParagraphFont"/>
    <w:link w:val="CommentText"/>
    <w:uiPriority w:val="99"/>
    <w:rsid w:val="007512BA"/>
    <w:rPr>
      <w:sz w:val="20"/>
      <w:szCs w:val="20"/>
    </w:rPr>
  </w:style>
  <w:style w:type="paragraph" w:styleId="CommentSubject">
    <w:name w:val="annotation subject"/>
    <w:basedOn w:val="CommentText"/>
    <w:next w:val="CommentText"/>
    <w:link w:val="CommentSubjectChar"/>
    <w:uiPriority w:val="99"/>
    <w:semiHidden/>
    <w:unhideWhenUsed/>
    <w:rsid w:val="007512BA"/>
    <w:rPr>
      <w:b/>
      <w:bCs/>
    </w:rPr>
  </w:style>
  <w:style w:type="character" w:customStyle="1" w:styleId="CommentSubjectChar">
    <w:name w:val="Comment Subject Char"/>
    <w:basedOn w:val="CommentTextChar"/>
    <w:link w:val="CommentSubject"/>
    <w:uiPriority w:val="99"/>
    <w:semiHidden/>
    <w:rsid w:val="007512BA"/>
    <w:rPr>
      <w:b/>
      <w:bCs/>
      <w:sz w:val="20"/>
      <w:szCs w:val="20"/>
    </w:rPr>
  </w:style>
  <w:style w:type="character" w:styleId="Hyperlink">
    <w:name w:val="Hyperlink"/>
    <w:basedOn w:val="DefaultParagraphFont"/>
    <w:uiPriority w:val="99"/>
    <w:unhideWhenUsed/>
    <w:rsid w:val="00AD146B"/>
    <w:rPr>
      <w:color w:val="467886" w:themeColor="hyperlink"/>
      <w:u w:val="single"/>
    </w:rPr>
  </w:style>
  <w:style w:type="character" w:styleId="UnresolvedMention">
    <w:name w:val="Unresolved Mention"/>
    <w:basedOn w:val="DefaultParagraphFont"/>
    <w:uiPriority w:val="99"/>
    <w:semiHidden/>
    <w:unhideWhenUsed/>
    <w:rsid w:val="00AD146B"/>
    <w:rPr>
      <w:color w:val="605E5C"/>
      <w:shd w:val="clear" w:color="auto" w:fill="E1DFDD"/>
    </w:rPr>
  </w:style>
  <w:style w:type="paragraph" w:styleId="NormalWeb">
    <w:name w:val="Normal (Web)"/>
    <w:basedOn w:val="Normal"/>
    <w:uiPriority w:val="99"/>
    <w:semiHidden/>
    <w:unhideWhenUsed/>
    <w:rsid w:val="009B79E9"/>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table" w:customStyle="1" w:styleId="TableGrid1">
    <w:name w:val="Table Grid1"/>
    <w:basedOn w:val="TableNormal"/>
    <w:next w:val="TableGrid"/>
    <w:uiPriority w:val="39"/>
    <w:rsid w:val="002C0F6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70" w:type="dxa"/>
        <w:bottom w:w="57" w:type="dxa"/>
        <w:right w:w="170" w:type="dxa"/>
      </w:tblCellMar>
    </w:tblPr>
  </w:style>
  <w:style w:type="paragraph" w:styleId="Header">
    <w:name w:val="header"/>
    <w:basedOn w:val="Normal"/>
    <w:link w:val="HeaderChar"/>
    <w:uiPriority w:val="99"/>
    <w:semiHidden/>
    <w:unhideWhenUsed/>
    <w:rsid w:val="002A3C1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A3C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735400">
      <w:bodyDiv w:val="1"/>
      <w:marLeft w:val="0"/>
      <w:marRight w:val="0"/>
      <w:marTop w:val="0"/>
      <w:marBottom w:val="0"/>
      <w:divBdr>
        <w:top w:val="none" w:sz="0" w:space="0" w:color="auto"/>
        <w:left w:val="none" w:sz="0" w:space="0" w:color="auto"/>
        <w:bottom w:val="none" w:sz="0" w:space="0" w:color="auto"/>
        <w:right w:val="none" w:sz="0" w:space="0" w:color="auto"/>
      </w:divBdr>
    </w:div>
    <w:div w:id="330060840">
      <w:bodyDiv w:val="1"/>
      <w:marLeft w:val="0"/>
      <w:marRight w:val="0"/>
      <w:marTop w:val="0"/>
      <w:marBottom w:val="0"/>
      <w:divBdr>
        <w:top w:val="none" w:sz="0" w:space="0" w:color="auto"/>
        <w:left w:val="none" w:sz="0" w:space="0" w:color="auto"/>
        <w:bottom w:val="none" w:sz="0" w:space="0" w:color="auto"/>
        <w:right w:val="none" w:sz="0" w:space="0" w:color="auto"/>
      </w:divBdr>
    </w:div>
    <w:div w:id="535627105">
      <w:bodyDiv w:val="1"/>
      <w:marLeft w:val="0"/>
      <w:marRight w:val="0"/>
      <w:marTop w:val="0"/>
      <w:marBottom w:val="0"/>
      <w:divBdr>
        <w:top w:val="none" w:sz="0" w:space="0" w:color="auto"/>
        <w:left w:val="none" w:sz="0" w:space="0" w:color="auto"/>
        <w:bottom w:val="none" w:sz="0" w:space="0" w:color="auto"/>
        <w:right w:val="none" w:sz="0" w:space="0" w:color="auto"/>
      </w:divBdr>
    </w:div>
    <w:div w:id="829977673">
      <w:bodyDiv w:val="1"/>
      <w:marLeft w:val="0"/>
      <w:marRight w:val="0"/>
      <w:marTop w:val="0"/>
      <w:marBottom w:val="0"/>
      <w:divBdr>
        <w:top w:val="none" w:sz="0" w:space="0" w:color="auto"/>
        <w:left w:val="none" w:sz="0" w:space="0" w:color="auto"/>
        <w:bottom w:val="none" w:sz="0" w:space="0" w:color="auto"/>
        <w:right w:val="none" w:sz="0" w:space="0" w:color="auto"/>
      </w:divBdr>
    </w:div>
    <w:div w:id="1140154078">
      <w:bodyDiv w:val="1"/>
      <w:marLeft w:val="0"/>
      <w:marRight w:val="0"/>
      <w:marTop w:val="0"/>
      <w:marBottom w:val="0"/>
      <w:divBdr>
        <w:top w:val="none" w:sz="0" w:space="0" w:color="auto"/>
        <w:left w:val="none" w:sz="0" w:space="0" w:color="auto"/>
        <w:bottom w:val="none" w:sz="0" w:space="0" w:color="auto"/>
        <w:right w:val="none" w:sz="0" w:space="0" w:color="auto"/>
      </w:divBdr>
    </w:div>
    <w:div w:id="1439331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6cb9b8b-803b-4490-b567-e65a3085b720">
      <Terms xmlns="http://schemas.microsoft.com/office/infopath/2007/PartnerControls"/>
    </lcf76f155ced4ddcb4097134ff3c332f>
    <TaxCatchAll xmlns="038f6385-163d-4837-a2ce-e161dcb09188"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fa24bdb57242fee6c5cff5358876d025">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4b1e923e2846548a0c8efc03e0dbb0c2"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ef0627aa-4a16-490b-be5e-4a848c379b08}"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9F167C-8B1B-407E-886B-EB9554FAABC7}">
  <ds:schemaRefs>
    <ds:schemaRef ds:uri="http://schemas.microsoft.com/sharepoint/v3/contenttype/forms"/>
  </ds:schemaRefs>
</ds:datastoreItem>
</file>

<file path=customXml/itemProps2.xml><?xml version="1.0" encoding="utf-8"?>
<ds:datastoreItem xmlns:ds="http://schemas.openxmlformats.org/officeDocument/2006/customXml" ds:itemID="{6C115BCE-27B1-4284-9EDF-E8222D142B0B}">
  <ds:schemaRefs>
    <ds:schemaRef ds:uri="http://schemas.openxmlformats.org/officeDocument/2006/bibliography"/>
  </ds:schemaRefs>
</ds:datastoreItem>
</file>

<file path=customXml/itemProps3.xml><?xml version="1.0" encoding="utf-8"?>
<ds:datastoreItem xmlns:ds="http://schemas.openxmlformats.org/officeDocument/2006/customXml" ds:itemID="{017B0AA6-1C69-42D9-A326-21BBC74E1A2B}">
  <ds:schemaRefs>
    <ds:schemaRef ds:uri="http://schemas.microsoft.com/office/infopath/2007/PartnerControls"/>
    <ds:schemaRef ds:uri="http://www.w3.org/XML/1998/namespace"/>
    <ds:schemaRef ds:uri="http://schemas.openxmlformats.org/package/2006/metadata/core-properties"/>
    <ds:schemaRef ds:uri="http://purl.org/dc/dcmitype/"/>
    <ds:schemaRef ds:uri="http://schemas.microsoft.com/office/2006/documentManagement/types"/>
    <ds:schemaRef ds:uri="6726076a-9441-4fe3-8f67-54429278a78d"/>
    <ds:schemaRef ds:uri="ad9eedd0-2c8f-4bb9-8c73-32c599d07fa2"/>
    <ds:schemaRef ds:uri="http://schemas.microsoft.com/office/2006/metadata/properties"/>
    <ds:schemaRef ds:uri="http://purl.org/dc/terms/"/>
    <ds:schemaRef ds:uri="http://purl.org/dc/elements/1.1/"/>
    <ds:schemaRef ds:uri="http://schemas.microsoft.com/sharepoint/v3"/>
    <ds:schemaRef ds:uri="b6cb9b8b-803b-4490-b567-e65a3085b720"/>
    <ds:schemaRef ds:uri="038f6385-163d-4837-a2ce-e161dcb09188"/>
  </ds:schemaRefs>
</ds:datastoreItem>
</file>

<file path=customXml/itemProps4.xml><?xml version="1.0" encoding="utf-8"?>
<ds:datastoreItem xmlns:ds="http://schemas.openxmlformats.org/officeDocument/2006/customXml" ds:itemID="{EDD2B0CB-91B2-4EBB-8A0B-F609E5B6B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cb9b8b-803b-4490-b567-e65a3085b720"/>
    <ds:schemaRef ds:uri="038f6385-163d-4837-a2ce-e161dcb09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1409</Words>
  <Characters>8034</Characters>
  <Application>Microsoft Office Word</Application>
  <DocSecurity>0</DocSecurity>
  <Lines>66</Lines>
  <Paragraphs>18</Paragraphs>
  <ScaleCrop>false</ScaleCrop>
  <Company/>
  <LinksUpToDate>false</LinksUpToDate>
  <CharactersWithSpaces>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Iain Walker</dc:creator>
  <cp:keywords/>
  <dc:description/>
  <cp:lastModifiedBy>Tom Lewis</cp:lastModifiedBy>
  <cp:revision>24</cp:revision>
  <cp:lastPrinted>2024-06-18T09:01:00Z</cp:lastPrinted>
  <dcterms:created xsi:type="dcterms:W3CDTF">2024-10-07T13:17:00Z</dcterms:created>
  <dcterms:modified xsi:type="dcterms:W3CDTF">2024-10-07T13:17:00Z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0x010100B897A04BE4877B48AEC8623F331C2D9E</vt:lpwstr>
  </property>
  <property fmtid="{D5CDD505-2E9C-101B-9397-08002B2CF9AE}" pid="3" name="MediaServiceImageTags">
    <vt:lpwstr/>
  </property>
  <property fmtid="{D5CDD505-2E9C-101B-9397-08002B2CF9AE}" pid="4" name="MSIP_Label_dbb19938-abdf-4bf9-b36f-6fa56c0e1ffb_Enabled">
    <vt:lpwstr>true</vt:lpwstr>
  </property>
  <property fmtid="{D5CDD505-2E9C-101B-9397-08002B2CF9AE}" pid="5" name="MSIP_Label_dbb19938-abdf-4bf9-b36f-6fa56c0e1ffb_SetDate">
    <vt:lpwstr>2024-05-28T15:50:34Z</vt:lpwstr>
  </property>
  <property fmtid="{D5CDD505-2E9C-101B-9397-08002B2CF9AE}" pid="6" name="MSIP_Label_dbb19938-abdf-4bf9-b36f-6fa56c0e1ffb_Method">
    <vt:lpwstr>Standard</vt:lpwstr>
  </property>
  <property fmtid="{D5CDD505-2E9C-101B-9397-08002B2CF9AE}" pid="7" name="MSIP_Label_dbb19938-abdf-4bf9-b36f-6fa56c0e1ffb_Name">
    <vt:lpwstr>dbb19938-abdf-4bf9-b36f-6fa56c0e1ffb</vt:lpwstr>
  </property>
  <property fmtid="{D5CDD505-2E9C-101B-9397-08002B2CF9AE}" pid="8" name="MSIP_Label_dbb19938-abdf-4bf9-b36f-6fa56c0e1ffb_SiteId">
    <vt:lpwstr>532a5fd0-268c-48ff-b181-14740d5d430b</vt:lpwstr>
  </property>
  <property fmtid="{D5CDD505-2E9C-101B-9397-08002B2CF9AE}" pid="9" name="MSIP_Label_dbb19938-abdf-4bf9-b36f-6fa56c0e1ffb_ActionId">
    <vt:lpwstr>3dc1898c-53bb-4c8c-ae0a-cbf34ef11fd2</vt:lpwstr>
  </property>
  <property fmtid="{D5CDD505-2E9C-101B-9397-08002B2CF9AE}" pid="10" name="MSIP_Label_dbb19938-abdf-4bf9-b36f-6fa56c0e1ffb_ContentBits">
    <vt:lpwstr>2</vt:lpwstr>
  </property>
  <property fmtid="{D5CDD505-2E9C-101B-9397-08002B2CF9AE}" pid="11" name="ClassificationContentMarkingFooterShapeIds">
    <vt:lpwstr>73758ad7,47001b02,1d37b95</vt:lpwstr>
  </property>
  <property fmtid="{D5CDD505-2E9C-101B-9397-08002B2CF9AE}" pid="12" name="ClassificationContentMarkingFooterFontProps">
    <vt:lpwstr>#000000,10,Calibri</vt:lpwstr>
  </property>
  <property fmtid="{D5CDD505-2E9C-101B-9397-08002B2CF9AE}" pid="13" name="ClassificationContentMarkingFooterText">
    <vt:lpwstr>OFFICIAL-InternalOnly</vt:lpwstr>
  </property>
  <property fmtid="{D5CDD505-2E9C-101B-9397-08002B2CF9AE}" pid="14" name="MSIP_Label_38144ccb-b10a-4c0f-b070-7a3b00ac7463_Enabled">
    <vt:lpwstr>true</vt:lpwstr>
  </property>
  <property fmtid="{D5CDD505-2E9C-101B-9397-08002B2CF9AE}" pid="15" name="MSIP_Label_38144ccb-b10a-4c0f-b070-7a3b00ac7463_SetDate">
    <vt:lpwstr>2024-10-07T13:17:11Z</vt:lpwstr>
  </property>
  <property fmtid="{D5CDD505-2E9C-101B-9397-08002B2CF9AE}" pid="16" name="MSIP_Label_38144ccb-b10a-4c0f-b070-7a3b00ac7463_Method">
    <vt:lpwstr>Standard</vt:lpwstr>
  </property>
  <property fmtid="{D5CDD505-2E9C-101B-9397-08002B2CF9AE}" pid="17" name="MSIP_Label_38144ccb-b10a-4c0f-b070-7a3b00ac7463_Name">
    <vt:lpwstr>InternalOnly</vt:lpwstr>
  </property>
  <property fmtid="{D5CDD505-2E9C-101B-9397-08002B2CF9AE}" pid="18" name="MSIP_Label_38144ccb-b10a-4c0f-b070-7a3b00ac7463_SiteId">
    <vt:lpwstr>185562ad-39bc-4840-8e40-be6216340c52</vt:lpwstr>
  </property>
  <property fmtid="{D5CDD505-2E9C-101B-9397-08002B2CF9AE}" pid="19" name="MSIP_Label_38144ccb-b10a-4c0f-b070-7a3b00ac7463_ActionId">
    <vt:lpwstr>e319472f-4df9-4b1e-a0c6-58c81116c89d</vt:lpwstr>
  </property>
  <property fmtid="{D5CDD505-2E9C-101B-9397-08002B2CF9AE}" pid="20" name="MSIP_Label_38144ccb-b10a-4c0f-b070-7a3b00ac7463_ContentBits">
    <vt:lpwstr>2</vt:lpwstr>
  </property>
</Properties>
</file>