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1D64D" w14:textId="20AE516A" w:rsidR="0011396E" w:rsidRPr="009820C1" w:rsidRDefault="00D330E1" w:rsidP="00991561">
      <w:pPr>
        <w:spacing w:after="0"/>
        <w:jc w:val="both"/>
        <w:rPr>
          <w:rFonts w:ascii="Arial" w:hAnsi="Arial" w:cs="Arial"/>
          <w:b/>
          <w:bCs/>
          <w:sz w:val="44"/>
          <w:szCs w:val="44"/>
          <w:lang w:val="en-GB"/>
        </w:rPr>
      </w:pPr>
      <w:r w:rsidRPr="009820C1">
        <w:rPr>
          <w:rFonts w:ascii="Arial" w:hAnsi="Arial" w:cs="Arial"/>
          <w:b/>
          <w:bCs/>
          <w:sz w:val="44"/>
          <w:szCs w:val="44"/>
          <w:lang w:val="en-GB"/>
        </w:rPr>
        <w:t>Hitachi Energy</w:t>
      </w:r>
      <w:r w:rsidR="00292E45">
        <w:rPr>
          <w:rFonts w:ascii="Arial" w:hAnsi="Arial" w:cs="Arial"/>
          <w:b/>
          <w:bCs/>
          <w:sz w:val="44"/>
          <w:szCs w:val="44"/>
          <w:lang w:val="en-GB"/>
        </w:rPr>
        <w:t>’s</w:t>
      </w:r>
      <w:r w:rsidRPr="009820C1">
        <w:rPr>
          <w:rFonts w:ascii="Arial" w:hAnsi="Arial" w:cs="Arial"/>
          <w:b/>
          <w:bCs/>
          <w:sz w:val="44"/>
          <w:szCs w:val="44"/>
          <w:lang w:val="en-GB"/>
        </w:rPr>
        <w:t xml:space="preserve"> response to Ofgem’s </w:t>
      </w:r>
      <w:r w:rsidR="00076A78">
        <w:rPr>
          <w:rFonts w:ascii="Arial" w:hAnsi="Arial" w:cs="Arial"/>
          <w:b/>
          <w:bCs/>
          <w:sz w:val="44"/>
          <w:szCs w:val="44"/>
          <w:lang w:val="en-GB"/>
        </w:rPr>
        <w:t>Electricity Distribution Price Control (ED3) Framework consultation</w:t>
      </w:r>
    </w:p>
    <w:p w14:paraId="1623E880" w14:textId="77777777" w:rsidR="00D330E1" w:rsidRPr="009820C1" w:rsidRDefault="00D330E1" w:rsidP="00991561">
      <w:pPr>
        <w:spacing w:after="0"/>
        <w:jc w:val="both"/>
        <w:rPr>
          <w:rFonts w:ascii="Arial" w:hAnsi="Arial" w:cs="Arial"/>
          <w:sz w:val="20"/>
          <w:szCs w:val="20"/>
          <w:lang w:val="en-GB"/>
        </w:rPr>
      </w:pPr>
    </w:p>
    <w:p w14:paraId="4EEF804F" w14:textId="251275FB" w:rsidR="00AC42EC" w:rsidRPr="00677AE7" w:rsidRDefault="00AC42EC" w:rsidP="00991561">
      <w:pPr>
        <w:pStyle w:val="Default"/>
        <w:jc w:val="both"/>
        <w:rPr>
          <w:rFonts w:ascii="Arial" w:hAnsi="Arial" w:cs="Arial"/>
          <w:b/>
          <w:bCs/>
          <w:sz w:val="20"/>
          <w:szCs w:val="20"/>
          <w:u w:val="single"/>
          <w:lang w:val="en-GB"/>
        </w:rPr>
      </w:pPr>
      <w:r w:rsidRPr="00677AE7">
        <w:rPr>
          <w:rFonts w:ascii="Arial" w:hAnsi="Arial" w:cs="Arial"/>
          <w:b/>
          <w:bCs/>
          <w:sz w:val="20"/>
          <w:szCs w:val="20"/>
          <w:u w:val="single"/>
          <w:lang w:val="en-GB"/>
        </w:rPr>
        <w:t xml:space="preserve">Introducing Hitachi Energy </w:t>
      </w:r>
    </w:p>
    <w:p w14:paraId="7E42A6BF" w14:textId="317C2A25" w:rsidR="001E5564" w:rsidRPr="003B48B1" w:rsidRDefault="00533D17" w:rsidP="001E5564">
      <w:pPr>
        <w:spacing w:after="200" w:line="312" w:lineRule="auto"/>
        <w:jc w:val="both"/>
        <w:rPr>
          <w:rFonts w:ascii="Arial" w:hAnsi="Arial" w:cs="Arial"/>
          <w:sz w:val="20"/>
          <w:szCs w:val="20"/>
        </w:rPr>
      </w:pPr>
      <w:r w:rsidRPr="004177A1">
        <w:rPr>
          <w:rFonts w:ascii="Arial" w:hAnsi="Arial" w:cs="Arial"/>
          <w:color w:val="000000"/>
          <w:kern w:val="0"/>
          <w:sz w:val="20"/>
          <w:szCs w:val="20"/>
          <w:lang w:val="en-GB"/>
          <w14:ligatures w14:val="none"/>
        </w:rPr>
        <w:t xml:space="preserve">Hitachi Energy is a global leader in technologies that increase the capacity, resilience and flexibility of the electricity grid. Leveraging </w:t>
      </w:r>
      <w:r w:rsidR="001E5564">
        <w:rPr>
          <w:rFonts w:ascii="Arial" w:hAnsi="Arial" w:cs="Arial"/>
          <w:color w:val="000000"/>
          <w:kern w:val="0"/>
          <w:sz w:val="20"/>
          <w:szCs w:val="20"/>
          <w:lang w:val="en-GB"/>
          <w14:ligatures w14:val="none"/>
        </w:rPr>
        <w:t>£5</w:t>
      </w:r>
      <w:r w:rsidRPr="004177A1">
        <w:rPr>
          <w:rFonts w:ascii="Arial" w:hAnsi="Arial" w:cs="Arial"/>
          <w:color w:val="000000"/>
          <w:kern w:val="0"/>
          <w:sz w:val="20"/>
          <w:szCs w:val="20"/>
          <w:lang w:val="en-GB"/>
          <w14:ligatures w14:val="none"/>
        </w:rPr>
        <w:t>bn of investment, we are harnessing best practi</w:t>
      </w:r>
      <w:r w:rsidR="00F2633E" w:rsidRPr="004177A1">
        <w:rPr>
          <w:rFonts w:ascii="Arial" w:hAnsi="Arial" w:cs="Arial"/>
          <w:color w:val="000000"/>
          <w:kern w:val="0"/>
          <w:sz w:val="20"/>
          <w:szCs w:val="20"/>
          <w:lang w:val="en-GB"/>
          <w14:ligatures w14:val="none"/>
        </w:rPr>
        <w:t>c</w:t>
      </w:r>
      <w:r w:rsidRPr="004177A1">
        <w:rPr>
          <w:rFonts w:ascii="Arial" w:hAnsi="Arial" w:cs="Arial"/>
          <w:color w:val="000000"/>
          <w:kern w:val="0"/>
          <w:sz w:val="20"/>
          <w:szCs w:val="20"/>
          <w:lang w:val="en-GB"/>
          <w14:ligatures w14:val="none"/>
        </w:rPr>
        <w:t xml:space="preserve">es in the energy, industrial, mobility, IT and smart cities sectors in the UK and around the world. We are a major investor in the UK, with a turnover of over £1 billion and operations across the country, from Shetland to Somerset and North Wales to Norfolk. We are continuing our growth journey in the UK with </w:t>
      </w:r>
      <w:r w:rsidR="001E5564">
        <w:rPr>
          <w:rFonts w:ascii="Arial" w:hAnsi="Arial" w:cs="Arial"/>
          <w:sz w:val="20"/>
          <w:szCs w:val="20"/>
        </w:rPr>
        <w:t>over 650 employees, and are on track to more than double our UK operations over the last 5 years</w:t>
      </w:r>
    </w:p>
    <w:p w14:paraId="771CCC27" w14:textId="77777777" w:rsidR="00533D17" w:rsidRPr="004177A1" w:rsidRDefault="00533D17" w:rsidP="00533D17">
      <w:pPr>
        <w:spacing w:after="0"/>
        <w:jc w:val="both"/>
        <w:rPr>
          <w:rFonts w:ascii="Arial" w:hAnsi="Arial" w:cs="Arial"/>
          <w:color w:val="000000"/>
          <w:kern w:val="0"/>
          <w:sz w:val="20"/>
          <w:szCs w:val="20"/>
          <w:lang w:val="en-GB"/>
          <w14:ligatures w14:val="none"/>
        </w:rPr>
      </w:pPr>
    </w:p>
    <w:p w14:paraId="785AB2AD" w14:textId="77777777" w:rsidR="00533D17" w:rsidRPr="004177A1" w:rsidRDefault="00533D17" w:rsidP="00533D17">
      <w:pPr>
        <w:spacing w:after="0"/>
        <w:jc w:val="both"/>
        <w:rPr>
          <w:rFonts w:ascii="Arial" w:hAnsi="Arial" w:cs="Arial"/>
          <w:color w:val="000000"/>
          <w:kern w:val="0"/>
          <w:sz w:val="20"/>
          <w:szCs w:val="20"/>
          <w:lang w:val="en-GB"/>
          <w14:ligatures w14:val="none"/>
        </w:rPr>
      </w:pPr>
      <w:r w:rsidRPr="004177A1">
        <w:rPr>
          <w:rFonts w:ascii="Arial" w:hAnsi="Arial" w:cs="Arial"/>
          <w:color w:val="000000"/>
          <w:kern w:val="0"/>
          <w:sz w:val="20"/>
          <w:szCs w:val="20"/>
          <w:lang w:val="en-GB"/>
          <w14:ligatures w14:val="none"/>
        </w:rPr>
        <w:t xml:space="preserve">We are advancing the world’s energy system based on renewable energy, the lowest cost, most secure and most sustainable source of power. As a technology leader, we collaborate with customers and partners to enable a sustainable energy future – for today’s generations and those to come. We are already helping to bring clean energy to more than ten million UK homes by connecting the world’s two largest offshore windfarms at Dogger Bank and Hornsea to the grid. </w:t>
      </w:r>
    </w:p>
    <w:p w14:paraId="39331293" w14:textId="77777777" w:rsidR="00533D17" w:rsidRPr="004177A1" w:rsidRDefault="00533D17" w:rsidP="00533D17">
      <w:pPr>
        <w:spacing w:after="0"/>
        <w:jc w:val="both"/>
        <w:rPr>
          <w:rFonts w:ascii="Arial" w:hAnsi="Arial" w:cs="Arial"/>
          <w:color w:val="000000"/>
          <w:kern w:val="0"/>
          <w:sz w:val="20"/>
          <w:szCs w:val="20"/>
          <w:lang w:val="en-GB"/>
          <w14:ligatures w14:val="none"/>
        </w:rPr>
      </w:pPr>
    </w:p>
    <w:p w14:paraId="4A85860A" w14:textId="77777777" w:rsidR="00533D17" w:rsidRPr="004177A1" w:rsidRDefault="00533D17" w:rsidP="00533D17">
      <w:pPr>
        <w:spacing w:after="0"/>
        <w:jc w:val="both"/>
        <w:rPr>
          <w:rFonts w:ascii="Arial" w:hAnsi="Arial" w:cs="Arial"/>
          <w:b/>
          <w:bCs/>
          <w:color w:val="000000"/>
          <w:kern w:val="0"/>
          <w:sz w:val="20"/>
          <w:szCs w:val="20"/>
          <w:u w:val="single"/>
          <w:lang w:val="en-GB"/>
          <w14:ligatures w14:val="none"/>
        </w:rPr>
      </w:pPr>
      <w:r w:rsidRPr="004177A1">
        <w:rPr>
          <w:rFonts w:ascii="Arial" w:hAnsi="Arial" w:cs="Arial"/>
          <w:color w:val="000000"/>
          <w:kern w:val="0"/>
          <w:sz w:val="20"/>
          <w:szCs w:val="20"/>
          <w:lang w:val="en-GB"/>
          <w14:ligatures w14:val="none"/>
        </w:rPr>
        <w:t>We strongly believe that the UK can become a clean energy superpower with a secure, low cost, Net Zero energy system through investing in technologies to make the energy system more sustainable, flexible, and secure. In an increasingly competitive global market, this can only be achieved with rapid investment and a crucial pace of change.</w:t>
      </w:r>
    </w:p>
    <w:p w14:paraId="4C0F44D5" w14:textId="77777777" w:rsidR="00F70A8B" w:rsidRPr="004177A1" w:rsidRDefault="00F70A8B" w:rsidP="00991561">
      <w:pPr>
        <w:spacing w:after="0"/>
        <w:jc w:val="both"/>
        <w:rPr>
          <w:rFonts w:ascii="Arial" w:hAnsi="Arial" w:cs="Arial"/>
          <w:b/>
          <w:bCs/>
          <w:sz w:val="20"/>
          <w:szCs w:val="20"/>
          <w:lang w:val="en-GB"/>
        </w:rPr>
      </w:pPr>
    </w:p>
    <w:p w14:paraId="2756572E" w14:textId="1C2C8E2F" w:rsidR="00D2540B" w:rsidRDefault="00A911D7" w:rsidP="00991561">
      <w:pPr>
        <w:spacing w:after="0"/>
        <w:jc w:val="both"/>
        <w:rPr>
          <w:rFonts w:ascii="Arial" w:hAnsi="Arial" w:cs="Arial"/>
          <w:b/>
          <w:bCs/>
          <w:sz w:val="20"/>
          <w:szCs w:val="20"/>
          <w:u w:val="single"/>
          <w:lang w:val="en-GB"/>
        </w:rPr>
      </w:pPr>
      <w:r>
        <w:rPr>
          <w:rFonts w:ascii="Arial" w:hAnsi="Arial" w:cs="Arial"/>
          <w:b/>
          <w:bCs/>
          <w:sz w:val="20"/>
          <w:szCs w:val="20"/>
          <w:u w:val="single"/>
          <w:lang w:val="en-GB"/>
        </w:rPr>
        <w:t>Our response</w:t>
      </w:r>
    </w:p>
    <w:p w14:paraId="550E79FF" w14:textId="2775C4B8" w:rsidR="00A911D7" w:rsidRPr="00A911D7" w:rsidRDefault="00A911D7" w:rsidP="00991561">
      <w:pPr>
        <w:spacing w:after="0"/>
        <w:jc w:val="both"/>
        <w:rPr>
          <w:rFonts w:ascii="Arial" w:hAnsi="Arial" w:cs="Arial"/>
          <w:sz w:val="20"/>
          <w:szCs w:val="20"/>
          <w:lang w:val="en-GB"/>
        </w:rPr>
      </w:pPr>
      <w:r w:rsidRPr="00A911D7">
        <w:rPr>
          <w:rFonts w:ascii="Arial" w:hAnsi="Arial" w:cs="Arial"/>
          <w:sz w:val="20"/>
          <w:szCs w:val="20"/>
          <w:lang w:val="en-GB"/>
        </w:rPr>
        <w:t xml:space="preserve">We have responded to </w:t>
      </w:r>
      <w:r>
        <w:rPr>
          <w:rFonts w:ascii="Arial" w:hAnsi="Arial" w:cs="Arial"/>
          <w:sz w:val="20"/>
          <w:szCs w:val="20"/>
          <w:lang w:val="en-GB"/>
        </w:rPr>
        <w:t xml:space="preserve">select questions which are relevant to Hitachi </w:t>
      </w:r>
      <w:proofErr w:type="gramStart"/>
      <w:r>
        <w:rPr>
          <w:rFonts w:ascii="Arial" w:hAnsi="Arial" w:cs="Arial"/>
          <w:sz w:val="20"/>
          <w:szCs w:val="20"/>
          <w:lang w:val="en-GB"/>
        </w:rPr>
        <w:t>Energy, and</w:t>
      </w:r>
      <w:proofErr w:type="gramEnd"/>
      <w:r>
        <w:rPr>
          <w:rFonts w:ascii="Arial" w:hAnsi="Arial" w:cs="Arial"/>
          <w:sz w:val="20"/>
          <w:szCs w:val="20"/>
          <w:lang w:val="en-GB"/>
        </w:rPr>
        <w:t xml:space="preserve"> offer no response to the questions which are not mentioned</w:t>
      </w:r>
      <w:r w:rsidR="00F916EF">
        <w:rPr>
          <w:rFonts w:ascii="Arial" w:hAnsi="Arial" w:cs="Arial"/>
          <w:sz w:val="20"/>
          <w:szCs w:val="20"/>
          <w:lang w:val="en-GB"/>
        </w:rPr>
        <w:t xml:space="preserve"> below. </w:t>
      </w:r>
    </w:p>
    <w:p w14:paraId="5305453A" w14:textId="77777777" w:rsidR="00A911D7" w:rsidRPr="004177A1" w:rsidRDefault="00A911D7" w:rsidP="00991561">
      <w:pPr>
        <w:spacing w:after="0"/>
        <w:jc w:val="both"/>
        <w:rPr>
          <w:rFonts w:ascii="Arial" w:hAnsi="Arial" w:cs="Arial"/>
          <w:b/>
          <w:bCs/>
          <w:sz w:val="20"/>
          <w:szCs w:val="20"/>
          <w:u w:val="single"/>
          <w:lang w:val="en-GB"/>
        </w:rPr>
      </w:pPr>
    </w:p>
    <w:p w14:paraId="26DE1523" w14:textId="77777777" w:rsidR="00EB537D" w:rsidRPr="004177A1" w:rsidRDefault="00EB537D" w:rsidP="0003414D">
      <w:pPr>
        <w:spacing w:after="0"/>
        <w:jc w:val="both"/>
        <w:rPr>
          <w:rFonts w:ascii="Arial" w:hAnsi="Arial" w:cs="Arial"/>
          <w:b/>
          <w:bCs/>
          <w:i/>
          <w:iCs/>
          <w:sz w:val="20"/>
          <w:szCs w:val="20"/>
          <w:lang w:val="en-GB"/>
        </w:rPr>
      </w:pPr>
      <w:r w:rsidRPr="004177A1">
        <w:rPr>
          <w:rFonts w:ascii="Arial" w:hAnsi="Arial" w:cs="Arial"/>
          <w:b/>
          <w:bCs/>
          <w:i/>
          <w:iCs/>
          <w:sz w:val="20"/>
          <w:szCs w:val="20"/>
          <w:lang w:val="en-GB"/>
        </w:rPr>
        <w:t>Drivers for change</w:t>
      </w:r>
    </w:p>
    <w:p w14:paraId="1A2C1E10" w14:textId="6B43E611" w:rsidR="0003414D" w:rsidRPr="004177A1" w:rsidRDefault="0003414D" w:rsidP="0003414D">
      <w:pPr>
        <w:spacing w:after="0"/>
        <w:jc w:val="both"/>
        <w:rPr>
          <w:rFonts w:ascii="Arial" w:hAnsi="Arial" w:cs="Arial"/>
          <w:b/>
          <w:bCs/>
          <w:sz w:val="20"/>
          <w:szCs w:val="20"/>
          <w:lang w:val="en-GB"/>
        </w:rPr>
      </w:pPr>
      <w:r w:rsidRPr="004177A1">
        <w:rPr>
          <w:rFonts w:ascii="Arial" w:hAnsi="Arial" w:cs="Arial"/>
          <w:b/>
          <w:bCs/>
          <w:sz w:val="20"/>
          <w:szCs w:val="20"/>
          <w:lang w:val="en-GB"/>
        </w:rPr>
        <w:t>Q1. Do you agree with our characterisation of the wider context for ED3? Are there any other areas of context that you consider material for ED3?</w:t>
      </w:r>
    </w:p>
    <w:p w14:paraId="40384F80" w14:textId="77777777" w:rsidR="0003414D" w:rsidRPr="004177A1" w:rsidRDefault="0003414D" w:rsidP="0003414D">
      <w:pPr>
        <w:spacing w:after="0"/>
        <w:jc w:val="both"/>
        <w:rPr>
          <w:rFonts w:ascii="Arial" w:hAnsi="Arial" w:cs="Arial"/>
          <w:sz w:val="20"/>
          <w:szCs w:val="20"/>
          <w:lang w:val="en-GB"/>
        </w:rPr>
      </w:pPr>
    </w:p>
    <w:p w14:paraId="58806A03" w14:textId="264C5039" w:rsidR="0003414D" w:rsidRPr="004177A1" w:rsidRDefault="0003414D" w:rsidP="0003414D">
      <w:pPr>
        <w:spacing w:after="0"/>
        <w:jc w:val="both"/>
        <w:rPr>
          <w:rFonts w:ascii="Arial" w:hAnsi="Arial" w:cs="Arial"/>
          <w:sz w:val="20"/>
          <w:szCs w:val="20"/>
          <w:lang w:val="en-GB"/>
        </w:rPr>
      </w:pPr>
      <w:r w:rsidRPr="004177A1">
        <w:rPr>
          <w:rFonts w:ascii="Arial" w:hAnsi="Arial" w:cs="Arial"/>
          <w:sz w:val="20"/>
          <w:szCs w:val="20"/>
          <w:lang w:val="en-GB"/>
        </w:rPr>
        <w:t xml:space="preserve">We agree with Ofgem’s characterisation of the wider context for ED3 and the identified drivers for change for the ED3 framework. However, supply chain, workforce, and skills constraints </w:t>
      </w:r>
      <w:r w:rsidR="00542CD9" w:rsidRPr="004177A1">
        <w:rPr>
          <w:rFonts w:ascii="Arial" w:hAnsi="Arial" w:cs="Arial"/>
          <w:sz w:val="20"/>
          <w:szCs w:val="20"/>
          <w:lang w:val="en-GB"/>
        </w:rPr>
        <w:t>are major barriers to the delivery of new, upgraded, and reinforced electricity distribution infrastructure, which we expand on in our response to Question 11</w:t>
      </w:r>
      <w:r w:rsidR="00B75E12">
        <w:rPr>
          <w:rFonts w:ascii="Arial" w:hAnsi="Arial" w:cs="Arial"/>
          <w:sz w:val="20"/>
          <w:szCs w:val="20"/>
          <w:lang w:val="en-GB"/>
        </w:rPr>
        <w:t xml:space="preserve"> of this consultation</w:t>
      </w:r>
      <w:r w:rsidR="00542CD9" w:rsidRPr="004177A1">
        <w:rPr>
          <w:rFonts w:ascii="Arial" w:hAnsi="Arial" w:cs="Arial"/>
          <w:sz w:val="20"/>
          <w:szCs w:val="20"/>
          <w:lang w:val="en-GB"/>
        </w:rPr>
        <w:t xml:space="preserve">. Consequently, we believe </w:t>
      </w:r>
      <w:r w:rsidR="00F037AC" w:rsidRPr="004177A1">
        <w:rPr>
          <w:rFonts w:ascii="Arial" w:hAnsi="Arial" w:cs="Arial"/>
          <w:sz w:val="20"/>
          <w:szCs w:val="20"/>
          <w:lang w:val="en-GB"/>
        </w:rPr>
        <w:t xml:space="preserve">that these constraints should be </w:t>
      </w:r>
      <w:r w:rsidR="0094220C">
        <w:rPr>
          <w:rFonts w:ascii="Arial" w:hAnsi="Arial" w:cs="Arial"/>
          <w:sz w:val="20"/>
          <w:szCs w:val="20"/>
          <w:lang w:val="en-GB"/>
        </w:rPr>
        <w:t>considered</w:t>
      </w:r>
      <w:r w:rsidR="0094220C" w:rsidRPr="004177A1">
        <w:rPr>
          <w:rFonts w:ascii="Arial" w:hAnsi="Arial" w:cs="Arial"/>
          <w:sz w:val="20"/>
          <w:szCs w:val="20"/>
          <w:lang w:val="en-GB"/>
        </w:rPr>
        <w:t xml:space="preserve"> </w:t>
      </w:r>
      <w:r w:rsidR="00F037AC" w:rsidRPr="004177A1">
        <w:rPr>
          <w:rFonts w:ascii="Arial" w:hAnsi="Arial" w:cs="Arial"/>
          <w:sz w:val="20"/>
          <w:szCs w:val="20"/>
          <w:lang w:val="en-GB"/>
        </w:rPr>
        <w:t xml:space="preserve">in the wider context for ED3 and </w:t>
      </w:r>
      <w:r w:rsidR="00C62A59">
        <w:rPr>
          <w:rFonts w:ascii="Arial" w:hAnsi="Arial" w:cs="Arial"/>
          <w:sz w:val="20"/>
          <w:szCs w:val="20"/>
          <w:lang w:val="en-GB"/>
        </w:rPr>
        <w:t>included as a driver</w:t>
      </w:r>
      <w:r w:rsidR="00F037AC" w:rsidRPr="004177A1">
        <w:rPr>
          <w:rFonts w:ascii="Arial" w:hAnsi="Arial" w:cs="Arial"/>
          <w:sz w:val="20"/>
          <w:szCs w:val="20"/>
          <w:lang w:val="en-GB"/>
        </w:rPr>
        <w:t xml:space="preserve"> for change.</w:t>
      </w:r>
    </w:p>
    <w:p w14:paraId="3047D166" w14:textId="77777777" w:rsidR="00EB537D" w:rsidRPr="004177A1" w:rsidRDefault="00EB537D" w:rsidP="0003414D">
      <w:pPr>
        <w:spacing w:after="0"/>
        <w:jc w:val="both"/>
        <w:rPr>
          <w:rFonts w:ascii="Arial" w:hAnsi="Arial" w:cs="Arial"/>
          <w:sz w:val="20"/>
          <w:szCs w:val="20"/>
          <w:lang w:val="en-GB"/>
        </w:rPr>
      </w:pPr>
    </w:p>
    <w:p w14:paraId="66BE6A52" w14:textId="77777777" w:rsidR="00EB537D" w:rsidRPr="004177A1" w:rsidRDefault="00EB537D" w:rsidP="0003414D">
      <w:pPr>
        <w:spacing w:after="0"/>
        <w:jc w:val="both"/>
        <w:rPr>
          <w:rFonts w:ascii="Arial" w:hAnsi="Arial" w:cs="Arial"/>
          <w:b/>
          <w:bCs/>
          <w:i/>
          <w:iCs/>
          <w:sz w:val="20"/>
          <w:szCs w:val="20"/>
          <w:lang w:val="en-GB"/>
        </w:rPr>
      </w:pPr>
      <w:r w:rsidRPr="004177A1">
        <w:rPr>
          <w:rFonts w:ascii="Arial" w:hAnsi="Arial" w:cs="Arial"/>
          <w:b/>
          <w:bCs/>
          <w:i/>
          <w:iCs/>
          <w:sz w:val="20"/>
          <w:szCs w:val="20"/>
          <w:lang w:val="en-GB"/>
        </w:rPr>
        <w:t>ED3 objective and consumer outcomes</w:t>
      </w:r>
    </w:p>
    <w:p w14:paraId="12E1F4F3" w14:textId="426BB9A6" w:rsidR="00EB537D" w:rsidRPr="004177A1" w:rsidRDefault="00EB537D" w:rsidP="00EB537D">
      <w:pPr>
        <w:spacing w:after="0"/>
        <w:jc w:val="both"/>
        <w:rPr>
          <w:rFonts w:ascii="Arial" w:hAnsi="Arial" w:cs="Arial"/>
          <w:b/>
          <w:bCs/>
          <w:sz w:val="20"/>
          <w:szCs w:val="20"/>
          <w:lang w:val="en-GB"/>
        </w:rPr>
      </w:pPr>
      <w:r w:rsidRPr="004177A1">
        <w:rPr>
          <w:rFonts w:ascii="Arial" w:hAnsi="Arial" w:cs="Arial"/>
          <w:b/>
          <w:bCs/>
          <w:sz w:val="20"/>
          <w:szCs w:val="20"/>
          <w:lang w:val="en-GB"/>
        </w:rPr>
        <w:t>Q2. What are your views on our overarching objective and proposed consumer outcomes?</w:t>
      </w:r>
    </w:p>
    <w:p w14:paraId="45361F81" w14:textId="77777777" w:rsidR="00EB537D" w:rsidRPr="004177A1" w:rsidRDefault="00EB537D" w:rsidP="00EB537D">
      <w:pPr>
        <w:spacing w:after="0"/>
        <w:jc w:val="both"/>
        <w:rPr>
          <w:rFonts w:ascii="Arial" w:hAnsi="Arial" w:cs="Arial"/>
          <w:sz w:val="20"/>
          <w:szCs w:val="20"/>
          <w:lang w:val="en-GB"/>
        </w:rPr>
      </w:pPr>
    </w:p>
    <w:p w14:paraId="126D4FDA" w14:textId="65BFF43A" w:rsidR="00EB537D" w:rsidRPr="004177A1" w:rsidRDefault="00E4260C" w:rsidP="00EB537D">
      <w:pPr>
        <w:spacing w:after="0"/>
        <w:jc w:val="both"/>
        <w:rPr>
          <w:rFonts w:ascii="Arial" w:hAnsi="Arial" w:cs="Arial"/>
          <w:sz w:val="20"/>
          <w:szCs w:val="20"/>
          <w:lang w:val="en-GB"/>
        </w:rPr>
      </w:pPr>
      <w:r w:rsidRPr="004177A1">
        <w:rPr>
          <w:rFonts w:ascii="Arial" w:hAnsi="Arial" w:cs="Arial"/>
          <w:sz w:val="20"/>
          <w:szCs w:val="20"/>
          <w:lang w:val="en-GB"/>
        </w:rPr>
        <w:t>Hitachi Energy</w:t>
      </w:r>
      <w:r w:rsidR="00EB537D" w:rsidRPr="004177A1">
        <w:rPr>
          <w:rFonts w:ascii="Arial" w:hAnsi="Arial" w:cs="Arial"/>
          <w:sz w:val="20"/>
          <w:szCs w:val="20"/>
          <w:lang w:val="en-GB"/>
        </w:rPr>
        <w:t xml:space="preserve"> broadly agree</w:t>
      </w:r>
      <w:r w:rsidRPr="004177A1">
        <w:rPr>
          <w:rFonts w:ascii="Arial" w:hAnsi="Arial" w:cs="Arial"/>
          <w:sz w:val="20"/>
          <w:szCs w:val="20"/>
          <w:lang w:val="en-GB"/>
        </w:rPr>
        <w:t>s</w:t>
      </w:r>
      <w:r w:rsidR="00EB537D" w:rsidRPr="004177A1">
        <w:rPr>
          <w:rFonts w:ascii="Arial" w:hAnsi="Arial" w:cs="Arial"/>
          <w:sz w:val="20"/>
          <w:szCs w:val="20"/>
          <w:lang w:val="en-GB"/>
        </w:rPr>
        <w:t xml:space="preserve"> with the four proposed consumer outcomes for ED3</w:t>
      </w:r>
      <w:r w:rsidR="00EC2E03" w:rsidRPr="004177A1">
        <w:rPr>
          <w:rFonts w:ascii="Arial" w:hAnsi="Arial" w:cs="Arial"/>
          <w:sz w:val="20"/>
          <w:szCs w:val="20"/>
          <w:lang w:val="en-GB"/>
        </w:rPr>
        <w:t>, and we believe that Ofgem has made progress towards realising the overarching objective and four consumer outcomes.</w:t>
      </w:r>
    </w:p>
    <w:p w14:paraId="66FCB60C" w14:textId="77777777" w:rsidR="00961810" w:rsidRPr="004177A1" w:rsidRDefault="00961810" w:rsidP="00EB537D">
      <w:pPr>
        <w:spacing w:after="0"/>
        <w:jc w:val="both"/>
        <w:rPr>
          <w:rFonts w:ascii="Arial" w:hAnsi="Arial" w:cs="Arial"/>
          <w:sz w:val="20"/>
          <w:szCs w:val="20"/>
          <w:lang w:val="en-GB"/>
        </w:rPr>
      </w:pPr>
    </w:p>
    <w:p w14:paraId="5479511C" w14:textId="05E2FA24" w:rsidR="00EB537D" w:rsidRPr="004177A1" w:rsidRDefault="00EB537D" w:rsidP="00EB537D">
      <w:pPr>
        <w:spacing w:after="0"/>
        <w:jc w:val="both"/>
        <w:rPr>
          <w:rFonts w:ascii="Arial" w:hAnsi="Arial" w:cs="Arial"/>
          <w:sz w:val="20"/>
          <w:szCs w:val="20"/>
          <w:lang w:val="en-GB"/>
        </w:rPr>
      </w:pPr>
      <w:r w:rsidRPr="004177A1">
        <w:rPr>
          <w:rFonts w:ascii="Arial" w:hAnsi="Arial" w:cs="Arial"/>
          <w:sz w:val="20"/>
          <w:szCs w:val="20"/>
          <w:lang w:val="en-GB"/>
        </w:rPr>
        <w:t xml:space="preserve">Whilst we welcome </w:t>
      </w:r>
      <w:r w:rsidR="004C23F0" w:rsidRPr="004177A1">
        <w:rPr>
          <w:rFonts w:ascii="Arial" w:hAnsi="Arial" w:cs="Arial"/>
          <w:sz w:val="20"/>
          <w:szCs w:val="20"/>
          <w:lang w:val="en-GB"/>
        </w:rPr>
        <w:t>the</w:t>
      </w:r>
      <w:r w:rsidRPr="004177A1">
        <w:rPr>
          <w:rFonts w:ascii="Arial" w:hAnsi="Arial" w:cs="Arial"/>
          <w:sz w:val="20"/>
          <w:szCs w:val="20"/>
          <w:lang w:val="en-GB"/>
        </w:rPr>
        <w:t xml:space="preserve"> proposal that network investment is based on “whole system value for current and future users</w:t>
      </w:r>
      <w:r w:rsidR="004C23F0" w:rsidRPr="004177A1">
        <w:rPr>
          <w:rFonts w:ascii="Arial" w:hAnsi="Arial" w:cs="Arial"/>
          <w:sz w:val="20"/>
          <w:szCs w:val="20"/>
          <w:lang w:val="en-GB"/>
        </w:rPr>
        <w:t>,</w:t>
      </w:r>
      <w:r w:rsidRPr="004177A1">
        <w:rPr>
          <w:rFonts w:ascii="Arial" w:hAnsi="Arial" w:cs="Arial"/>
          <w:sz w:val="20"/>
          <w:szCs w:val="20"/>
          <w:lang w:val="en-GB"/>
        </w:rPr>
        <w:t>” we do not believe that Ofgem should pursue network investment at “least cost</w:t>
      </w:r>
      <w:r w:rsidR="003A7AC9">
        <w:rPr>
          <w:rFonts w:ascii="Arial" w:hAnsi="Arial" w:cs="Arial"/>
          <w:sz w:val="20"/>
          <w:szCs w:val="20"/>
          <w:lang w:val="en-GB"/>
        </w:rPr>
        <w:t>.</w:t>
      </w:r>
      <w:r w:rsidRPr="004177A1">
        <w:rPr>
          <w:rFonts w:ascii="Arial" w:hAnsi="Arial" w:cs="Arial"/>
          <w:sz w:val="20"/>
          <w:szCs w:val="20"/>
          <w:lang w:val="en-GB"/>
        </w:rPr>
        <w:t xml:space="preserve">” In our view, </w:t>
      </w:r>
      <w:r w:rsidRPr="004177A1">
        <w:rPr>
          <w:rFonts w:ascii="Arial" w:hAnsi="Arial" w:cs="Arial"/>
          <w:i/>
          <w:iCs/>
          <w:sz w:val="20"/>
          <w:szCs w:val="20"/>
          <w:lang w:val="en-GB"/>
        </w:rPr>
        <w:lastRenderedPageBreak/>
        <w:t>best value</w:t>
      </w:r>
      <w:r w:rsidR="00330773" w:rsidRPr="004177A1">
        <w:rPr>
          <w:rFonts w:ascii="Arial" w:hAnsi="Arial" w:cs="Arial"/>
          <w:i/>
          <w:iCs/>
          <w:sz w:val="20"/>
          <w:szCs w:val="20"/>
          <w:lang w:val="en-GB"/>
        </w:rPr>
        <w:t>,</w:t>
      </w:r>
      <w:r w:rsidRPr="004177A1">
        <w:rPr>
          <w:rFonts w:ascii="Arial" w:hAnsi="Arial" w:cs="Arial"/>
          <w:sz w:val="20"/>
          <w:szCs w:val="20"/>
          <w:lang w:val="en-GB"/>
        </w:rPr>
        <w:t xml:space="preserve"> based on a whole system </w:t>
      </w:r>
      <w:r w:rsidR="00330773" w:rsidRPr="004177A1">
        <w:rPr>
          <w:rFonts w:ascii="Arial" w:hAnsi="Arial" w:cs="Arial"/>
          <w:sz w:val="20"/>
          <w:szCs w:val="20"/>
          <w:lang w:val="en-GB"/>
        </w:rPr>
        <w:t>perspective</w:t>
      </w:r>
      <w:r w:rsidRPr="004177A1">
        <w:rPr>
          <w:rFonts w:ascii="Arial" w:hAnsi="Arial" w:cs="Arial"/>
          <w:sz w:val="20"/>
          <w:szCs w:val="20"/>
          <w:lang w:val="en-GB"/>
        </w:rPr>
        <w:t>, should be the principal objective and assessment criteria, not the lowest capital cost of projects.</w:t>
      </w:r>
    </w:p>
    <w:p w14:paraId="208E67BB" w14:textId="77777777" w:rsidR="00DD529F" w:rsidRPr="004177A1" w:rsidRDefault="00DD529F" w:rsidP="00EB537D">
      <w:pPr>
        <w:spacing w:after="0"/>
        <w:jc w:val="both"/>
        <w:rPr>
          <w:rFonts w:ascii="Arial" w:hAnsi="Arial" w:cs="Arial"/>
          <w:sz w:val="20"/>
          <w:szCs w:val="20"/>
          <w:lang w:val="en-GB"/>
        </w:rPr>
      </w:pPr>
    </w:p>
    <w:p w14:paraId="407765F3" w14:textId="414D7A9D" w:rsidR="004B22E1" w:rsidRPr="00463BD9" w:rsidRDefault="007D0449" w:rsidP="00EB537D">
      <w:pPr>
        <w:spacing w:after="0"/>
        <w:jc w:val="both"/>
        <w:rPr>
          <w:rFonts w:ascii="Arial" w:hAnsi="Arial" w:cs="Arial"/>
          <w:b/>
          <w:bCs/>
          <w:i/>
          <w:iCs/>
          <w:sz w:val="20"/>
          <w:szCs w:val="20"/>
          <w:lang w:val="en-GB"/>
        </w:rPr>
      </w:pPr>
      <w:r w:rsidRPr="004177A1">
        <w:rPr>
          <w:rFonts w:ascii="Arial" w:hAnsi="Arial" w:cs="Arial"/>
          <w:b/>
          <w:bCs/>
          <w:i/>
          <w:iCs/>
          <w:sz w:val="20"/>
          <w:szCs w:val="20"/>
          <w:lang w:val="en-GB"/>
        </w:rPr>
        <w:t>Networks for net zero</w:t>
      </w:r>
    </w:p>
    <w:p w14:paraId="675D6420" w14:textId="77777777" w:rsidR="004B22E1" w:rsidRPr="004177A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Q11. To what extent are global supply chain and workforce pressures contributing to longer lead times for delivery network reinforcement? </w:t>
      </w:r>
    </w:p>
    <w:p w14:paraId="23792A80" w14:textId="77777777" w:rsidR="00EC2E03" w:rsidRPr="004177A1" w:rsidRDefault="00EC2E03" w:rsidP="00EB537D">
      <w:pPr>
        <w:spacing w:after="0"/>
        <w:jc w:val="both"/>
        <w:rPr>
          <w:rFonts w:ascii="Arial" w:hAnsi="Arial" w:cs="Arial"/>
          <w:b/>
          <w:bCs/>
          <w:sz w:val="20"/>
          <w:szCs w:val="20"/>
        </w:rPr>
      </w:pPr>
    </w:p>
    <w:p w14:paraId="465D1C1C" w14:textId="58C44B49" w:rsidR="00A74F6D" w:rsidRDefault="00EC2E03" w:rsidP="00EB537D">
      <w:pPr>
        <w:spacing w:after="0"/>
        <w:jc w:val="both"/>
        <w:rPr>
          <w:rFonts w:ascii="Arial" w:hAnsi="Arial" w:cs="Arial"/>
          <w:sz w:val="20"/>
          <w:szCs w:val="20"/>
          <w:lang w:val="en-GB"/>
        </w:rPr>
      </w:pPr>
      <w:r w:rsidRPr="004177A1">
        <w:rPr>
          <w:rFonts w:ascii="Arial" w:hAnsi="Arial" w:cs="Arial"/>
          <w:sz w:val="20"/>
          <w:szCs w:val="20"/>
          <w:lang w:val="en-GB"/>
        </w:rPr>
        <w:t xml:space="preserve">The drive for clean energy, worldwide, has significantly increased </w:t>
      </w:r>
      <w:r w:rsidR="00FC6C89" w:rsidRPr="004177A1">
        <w:rPr>
          <w:rFonts w:ascii="Arial" w:hAnsi="Arial" w:cs="Arial"/>
          <w:sz w:val="20"/>
          <w:szCs w:val="20"/>
          <w:lang w:val="en-GB"/>
        </w:rPr>
        <w:t xml:space="preserve">market </w:t>
      </w:r>
      <w:r w:rsidRPr="004177A1">
        <w:rPr>
          <w:rFonts w:ascii="Arial" w:hAnsi="Arial" w:cs="Arial"/>
          <w:sz w:val="20"/>
          <w:szCs w:val="20"/>
          <w:lang w:val="en-GB"/>
        </w:rPr>
        <w:t xml:space="preserve">demand for network reinforcement and new grid infrastructure. This has placed significant pressure on global supply chains, as countries and relevant </w:t>
      </w:r>
      <w:r w:rsidR="00FC6C89" w:rsidRPr="004177A1">
        <w:rPr>
          <w:rFonts w:ascii="Arial" w:hAnsi="Arial" w:cs="Arial"/>
          <w:sz w:val="20"/>
          <w:szCs w:val="20"/>
          <w:lang w:val="en-GB"/>
        </w:rPr>
        <w:t>companies</w:t>
      </w:r>
      <w:r w:rsidRPr="004177A1">
        <w:rPr>
          <w:rFonts w:ascii="Arial" w:hAnsi="Arial" w:cs="Arial"/>
          <w:sz w:val="20"/>
          <w:szCs w:val="20"/>
          <w:lang w:val="en-GB"/>
        </w:rPr>
        <w:t xml:space="preserve"> compete for constrained capacity and limited resources. </w:t>
      </w:r>
      <w:r w:rsidR="003A7AC9">
        <w:rPr>
          <w:rFonts w:ascii="Arial" w:hAnsi="Arial" w:cs="Arial"/>
          <w:sz w:val="20"/>
          <w:szCs w:val="20"/>
          <w:lang w:val="en-GB"/>
        </w:rPr>
        <w:t>This</w:t>
      </w:r>
      <w:r w:rsidR="003A7AC9" w:rsidRPr="004177A1">
        <w:rPr>
          <w:rFonts w:ascii="Arial" w:hAnsi="Arial" w:cs="Arial"/>
          <w:sz w:val="20"/>
          <w:szCs w:val="20"/>
          <w:lang w:val="en-GB"/>
        </w:rPr>
        <w:t xml:space="preserve"> </w:t>
      </w:r>
      <w:r w:rsidRPr="004177A1">
        <w:rPr>
          <w:rFonts w:ascii="Arial" w:hAnsi="Arial" w:cs="Arial"/>
          <w:sz w:val="20"/>
          <w:szCs w:val="20"/>
          <w:lang w:val="en-GB"/>
        </w:rPr>
        <w:t>include</w:t>
      </w:r>
      <w:r w:rsidR="003A7AC9">
        <w:rPr>
          <w:rFonts w:ascii="Arial" w:hAnsi="Arial" w:cs="Arial"/>
          <w:sz w:val="20"/>
          <w:szCs w:val="20"/>
          <w:lang w:val="en-GB"/>
        </w:rPr>
        <w:t>s</w:t>
      </w:r>
      <w:r w:rsidRPr="004177A1">
        <w:rPr>
          <w:rFonts w:ascii="Arial" w:hAnsi="Arial" w:cs="Arial"/>
          <w:sz w:val="20"/>
          <w:szCs w:val="20"/>
          <w:lang w:val="en-GB"/>
        </w:rPr>
        <w:t xml:space="preserve"> critical minerals and components, expertise, workers</w:t>
      </w:r>
      <w:r w:rsidR="00FC6C89" w:rsidRPr="004177A1">
        <w:rPr>
          <w:rFonts w:ascii="Arial" w:hAnsi="Arial" w:cs="Arial"/>
          <w:sz w:val="20"/>
          <w:szCs w:val="20"/>
          <w:lang w:val="en-GB"/>
        </w:rPr>
        <w:t>,</w:t>
      </w:r>
      <w:r w:rsidRPr="004177A1">
        <w:rPr>
          <w:rFonts w:ascii="Arial" w:hAnsi="Arial" w:cs="Arial"/>
          <w:sz w:val="20"/>
          <w:szCs w:val="20"/>
          <w:lang w:val="en-GB"/>
        </w:rPr>
        <w:t xml:space="preserve"> and skills. These constraints pose a significant challenge to </w:t>
      </w:r>
      <w:r w:rsidR="00A74F6D" w:rsidRPr="004177A1">
        <w:rPr>
          <w:rFonts w:ascii="Arial" w:hAnsi="Arial" w:cs="Arial"/>
          <w:sz w:val="20"/>
          <w:szCs w:val="20"/>
          <w:lang w:val="en-GB"/>
        </w:rPr>
        <w:t xml:space="preserve">delivering network reinforcement at pace. Therefore, it is vital that Ofgem works with the Government, </w:t>
      </w:r>
      <w:r w:rsidR="006A3B63" w:rsidRPr="004177A1">
        <w:rPr>
          <w:rFonts w:ascii="Arial" w:hAnsi="Arial" w:cs="Arial"/>
          <w:sz w:val="20"/>
          <w:szCs w:val="20"/>
          <w:lang w:val="en-GB"/>
        </w:rPr>
        <w:t xml:space="preserve">the </w:t>
      </w:r>
      <w:r w:rsidR="00A74F6D" w:rsidRPr="004177A1">
        <w:rPr>
          <w:rFonts w:ascii="Arial" w:hAnsi="Arial" w:cs="Arial"/>
          <w:sz w:val="20"/>
          <w:szCs w:val="20"/>
          <w:lang w:val="en-GB"/>
        </w:rPr>
        <w:t xml:space="preserve">regulator, </w:t>
      </w:r>
      <w:r w:rsidR="00DB0995" w:rsidRPr="004177A1">
        <w:rPr>
          <w:rFonts w:ascii="Arial" w:hAnsi="Arial" w:cs="Arial"/>
          <w:sz w:val="20"/>
          <w:szCs w:val="20"/>
          <w:lang w:val="en-GB"/>
        </w:rPr>
        <w:t xml:space="preserve">the </w:t>
      </w:r>
      <w:r w:rsidR="00890286">
        <w:rPr>
          <w:rFonts w:ascii="Arial" w:hAnsi="Arial" w:cs="Arial"/>
          <w:sz w:val="20"/>
          <w:szCs w:val="20"/>
          <w:lang w:val="en-GB"/>
        </w:rPr>
        <w:t>DSOs</w:t>
      </w:r>
      <w:r w:rsidR="00C62A59">
        <w:rPr>
          <w:rFonts w:ascii="Arial" w:hAnsi="Arial" w:cs="Arial"/>
          <w:sz w:val="20"/>
          <w:szCs w:val="20"/>
          <w:lang w:val="en-GB"/>
        </w:rPr>
        <w:t xml:space="preserve">, </w:t>
      </w:r>
      <w:r w:rsidR="00A74F6D" w:rsidRPr="004177A1">
        <w:rPr>
          <w:rFonts w:ascii="Arial" w:hAnsi="Arial" w:cs="Arial"/>
          <w:sz w:val="20"/>
          <w:szCs w:val="20"/>
          <w:lang w:val="en-GB"/>
        </w:rPr>
        <w:t xml:space="preserve">and industry to ensure that the global </w:t>
      </w:r>
      <w:r w:rsidRPr="004177A1">
        <w:rPr>
          <w:rFonts w:ascii="Arial" w:hAnsi="Arial" w:cs="Arial"/>
          <w:sz w:val="20"/>
          <w:szCs w:val="20"/>
          <w:lang w:val="en-GB"/>
        </w:rPr>
        <w:t xml:space="preserve">supply chain is attracted to UK </w:t>
      </w:r>
      <w:r w:rsidR="00A74F6D" w:rsidRPr="004177A1">
        <w:rPr>
          <w:rFonts w:ascii="Arial" w:hAnsi="Arial" w:cs="Arial"/>
          <w:sz w:val="20"/>
          <w:szCs w:val="20"/>
          <w:lang w:val="en-GB"/>
        </w:rPr>
        <w:t xml:space="preserve">network reinforcement </w:t>
      </w:r>
      <w:r w:rsidRPr="004177A1">
        <w:rPr>
          <w:rFonts w:ascii="Arial" w:hAnsi="Arial" w:cs="Arial"/>
          <w:sz w:val="20"/>
          <w:szCs w:val="20"/>
          <w:lang w:val="en-GB"/>
        </w:rPr>
        <w:t>projects, whilst the UK grows its own capabilities and workforce in this sector.</w:t>
      </w:r>
      <w:r w:rsidR="00DB0995" w:rsidRPr="004177A1">
        <w:rPr>
          <w:rFonts w:ascii="Arial" w:hAnsi="Arial" w:cs="Arial"/>
          <w:sz w:val="20"/>
          <w:szCs w:val="20"/>
          <w:lang w:val="en-GB"/>
        </w:rPr>
        <w:t xml:space="preserve"> </w:t>
      </w:r>
      <w:r w:rsidR="00AD193E" w:rsidRPr="004177A1">
        <w:rPr>
          <w:rFonts w:ascii="Arial" w:hAnsi="Arial" w:cs="Arial"/>
          <w:sz w:val="20"/>
          <w:szCs w:val="20"/>
          <w:lang w:val="en-GB"/>
        </w:rPr>
        <w:t>It should be noted that</w:t>
      </w:r>
      <w:r w:rsidR="003A7AC9">
        <w:rPr>
          <w:rFonts w:ascii="Arial" w:hAnsi="Arial" w:cs="Arial"/>
          <w:sz w:val="20"/>
          <w:szCs w:val="20"/>
          <w:lang w:val="en-GB"/>
        </w:rPr>
        <w:t xml:space="preserve"> strong,</w:t>
      </w:r>
      <w:r w:rsidR="00AD193E" w:rsidRPr="004177A1">
        <w:rPr>
          <w:rFonts w:ascii="Arial" w:hAnsi="Arial" w:cs="Arial"/>
          <w:sz w:val="20"/>
          <w:szCs w:val="20"/>
          <w:lang w:val="en-GB"/>
        </w:rPr>
        <w:t xml:space="preserve"> reliable</w:t>
      </w:r>
      <w:r w:rsidR="003A7AC9">
        <w:rPr>
          <w:rFonts w:ascii="Arial" w:hAnsi="Arial" w:cs="Arial"/>
          <w:sz w:val="20"/>
          <w:szCs w:val="20"/>
          <w:lang w:val="en-GB"/>
        </w:rPr>
        <w:t>,</w:t>
      </w:r>
      <w:r w:rsidR="00AD193E" w:rsidRPr="004177A1">
        <w:rPr>
          <w:rFonts w:ascii="Arial" w:hAnsi="Arial" w:cs="Arial"/>
          <w:sz w:val="20"/>
          <w:szCs w:val="20"/>
          <w:lang w:val="en-GB"/>
        </w:rPr>
        <w:t xml:space="preserve"> supply chains</w:t>
      </w:r>
      <w:r w:rsidR="00DB0995" w:rsidRPr="004177A1">
        <w:rPr>
          <w:rFonts w:ascii="Arial" w:hAnsi="Arial" w:cs="Arial"/>
          <w:sz w:val="20"/>
          <w:szCs w:val="20"/>
          <w:lang w:val="en-GB"/>
        </w:rPr>
        <w:t xml:space="preserve"> </w:t>
      </w:r>
      <w:r w:rsidR="00AD193E" w:rsidRPr="004177A1">
        <w:rPr>
          <w:rFonts w:ascii="Arial" w:hAnsi="Arial" w:cs="Arial"/>
          <w:sz w:val="20"/>
          <w:szCs w:val="20"/>
          <w:lang w:val="en-GB"/>
        </w:rPr>
        <w:t>are</w:t>
      </w:r>
      <w:r w:rsidR="00DB0995" w:rsidRPr="004177A1">
        <w:rPr>
          <w:rFonts w:ascii="Arial" w:hAnsi="Arial" w:cs="Arial"/>
          <w:sz w:val="20"/>
          <w:szCs w:val="20"/>
          <w:lang w:val="en-GB"/>
        </w:rPr>
        <w:t xml:space="preserve"> </w:t>
      </w:r>
      <w:r w:rsidR="003A7AC9">
        <w:rPr>
          <w:rFonts w:ascii="Arial" w:hAnsi="Arial" w:cs="Arial"/>
          <w:sz w:val="20"/>
          <w:szCs w:val="20"/>
          <w:lang w:val="en-GB"/>
        </w:rPr>
        <w:t>considered</w:t>
      </w:r>
      <w:r w:rsidR="003A7AC9" w:rsidRPr="004177A1">
        <w:rPr>
          <w:rFonts w:ascii="Arial" w:hAnsi="Arial" w:cs="Arial"/>
          <w:sz w:val="20"/>
          <w:szCs w:val="20"/>
          <w:lang w:val="en-GB"/>
        </w:rPr>
        <w:t xml:space="preserve"> </w:t>
      </w:r>
      <w:r w:rsidR="00AD193E" w:rsidRPr="004177A1">
        <w:rPr>
          <w:rFonts w:ascii="Arial" w:hAnsi="Arial" w:cs="Arial"/>
          <w:sz w:val="20"/>
          <w:szCs w:val="20"/>
          <w:lang w:val="en-GB"/>
        </w:rPr>
        <w:t xml:space="preserve">a </w:t>
      </w:r>
      <w:r w:rsidR="00DB0995" w:rsidRPr="004177A1">
        <w:rPr>
          <w:rFonts w:ascii="Arial" w:hAnsi="Arial" w:cs="Arial"/>
          <w:sz w:val="20"/>
          <w:szCs w:val="20"/>
          <w:lang w:val="en-GB"/>
        </w:rPr>
        <w:t xml:space="preserve">critical enabler for the UK to meet its Clean Power 2030 target, as noted in </w:t>
      </w:r>
      <w:r w:rsidR="003A7AC9">
        <w:rPr>
          <w:rFonts w:ascii="Arial" w:hAnsi="Arial" w:cs="Arial"/>
          <w:sz w:val="20"/>
          <w:szCs w:val="20"/>
          <w:lang w:val="en-GB"/>
        </w:rPr>
        <w:t xml:space="preserve">Government’s Clean Power 2024 Action Plan, published in December 2024, and by </w:t>
      </w:r>
      <w:r w:rsidR="00DB0995" w:rsidRPr="004177A1">
        <w:rPr>
          <w:rFonts w:ascii="Arial" w:hAnsi="Arial" w:cs="Arial"/>
          <w:sz w:val="20"/>
          <w:szCs w:val="20"/>
          <w:lang w:val="en-GB"/>
        </w:rPr>
        <w:t>National Energy System Operator’s</w:t>
      </w:r>
      <w:r w:rsidR="007B16D1" w:rsidRPr="004177A1">
        <w:rPr>
          <w:rFonts w:ascii="Arial" w:hAnsi="Arial" w:cs="Arial"/>
          <w:sz w:val="20"/>
          <w:szCs w:val="20"/>
          <w:lang w:val="en-GB"/>
        </w:rPr>
        <w:t xml:space="preserve"> (NESO)</w:t>
      </w:r>
      <w:r w:rsidR="00DB0995" w:rsidRPr="004177A1">
        <w:rPr>
          <w:rFonts w:ascii="Arial" w:hAnsi="Arial" w:cs="Arial"/>
          <w:sz w:val="20"/>
          <w:szCs w:val="20"/>
          <w:lang w:val="en-GB"/>
        </w:rPr>
        <w:t xml:space="preserve"> </w:t>
      </w:r>
      <w:r w:rsidR="003A7AC9">
        <w:rPr>
          <w:rFonts w:ascii="Arial" w:hAnsi="Arial" w:cs="Arial"/>
          <w:sz w:val="20"/>
          <w:szCs w:val="20"/>
          <w:lang w:val="en-GB"/>
        </w:rPr>
        <w:t>commissioned</w:t>
      </w:r>
      <w:r w:rsidR="003A7AC9" w:rsidRPr="004177A1">
        <w:rPr>
          <w:rFonts w:ascii="Arial" w:hAnsi="Arial" w:cs="Arial"/>
          <w:sz w:val="20"/>
          <w:szCs w:val="20"/>
          <w:lang w:val="en-GB"/>
        </w:rPr>
        <w:t xml:space="preserve"> </w:t>
      </w:r>
      <w:r w:rsidR="00DB0995" w:rsidRPr="004177A1">
        <w:rPr>
          <w:rFonts w:ascii="Arial" w:hAnsi="Arial" w:cs="Arial"/>
          <w:sz w:val="20"/>
          <w:szCs w:val="20"/>
          <w:lang w:val="en-GB"/>
        </w:rPr>
        <w:t>advice to government</w:t>
      </w:r>
      <w:r w:rsidR="003A7AC9">
        <w:rPr>
          <w:rFonts w:ascii="Arial" w:hAnsi="Arial" w:cs="Arial"/>
          <w:sz w:val="20"/>
          <w:szCs w:val="20"/>
          <w:lang w:val="en-GB"/>
        </w:rPr>
        <w:t xml:space="preserve"> on how it can meet this target</w:t>
      </w:r>
      <w:r w:rsidR="00DB0995" w:rsidRPr="004177A1">
        <w:rPr>
          <w:rFonts w:ascii="Arial" w:hAnsi="Arial" w:cs="Arial"/>
          <w:sz w:val="20"/>
          <w:szCs w:val="20"/>
          <w:lang w:val="en-GB"/>
        </w:rPr>
        <w:t xml:space="preserve">. </w:t>
      </w:r>
      <w:r w:rsidRPr="004177A1">
        <w:rPr>
          <w:rFonts w:ascii="Arial" w:hAnsi="Arial" w:cs="Arial"/>
          <w:sz w:val="20"/>
          <w:szCs w:val="20"/>
          <w:lang w:val="en-GB"/>
        </w:rPr>
        <w:t xml:space="preserve"> </w:t>
      </w:r>
    </w:p>
    <w:p w14:paraId="3BF6FE9E" w14:textId="77777777" w:rsidR="00567523" w:rsidRDefault="00567523" w:rsidP="00EB537D">
      <w:pPr>
        <w:spacing w:after="0"/>
        <w:jc w:val="both"/>
        <w:rPr>
          <w:rFonts w:ascii="Arial" w:hAnsi="Arial" w:cs="Arial"/>
          <w:sz w:val="20"/>
          <w:szCs w:val="20"/>
          <w:lang w:val="en-GB"/>
        </w:rPr>
      </w:pPr>
    </w:p>
    <w:p w14:paraId="32E4EEAC" w14:textId="7D891C89" w:rsidR="00567523" w:rsidRDefault="00567523" w:rsidP="00EB537D">
      <w:pPr>
        <w:spacing w:after="0"/>
        <w:jc w:val="both"/>
        <w:rPr>
          <w:rFonts w:ascii="Arial" w:hAnsi="Arial" w:cs="Arial"/>
          <w:sz w:val="20"/>
          <w:szCs w:val="20"/>
          <w:lang w:val="en-GB"/>
        </w:rPr>
      </w:pPr>
      <w:r>
        <w:rPr>
          <w:rFonts w:ascii="Arial" w:hAnsi="Arial" w:cs="Arial"/>
          <w:sz w:val="20"/>
          <w:szCs w:val="20"/>
          <w:lang w:val="en-GB"/>
        </w:rPr>
        <w:t xml:space="preserve">However, it should be noted that global supply chain and workforce pressures are not as severe in </w:t>
      </w:r>
      <w:r w:rsidR="00F916EF">
        <w:rPr>
          <w:rFonts w:ascii="Arial" w:hAnsi="Arial" w:cs="Arial"/>
          <w:sz w:val="20"/>
          <w:szCs w:val="20"/>
          <w:lang w:val="en-GB"/>
        </w:rPr>
        <w:t xml:space="preserve">the </w:t>
      </w:r>
      <w:r>
        <w:rPr>
          <w:rFonts w:ascii="Arial" w:hAnsi="Arial" w:cs="Arial"/>
          <w:sz w:val="20"/>
          <w:szCs w:val="20"/>
          <w:lang w:val="en-GB"/>
        </w:rPr>
        <w:t xml:space="preserve">distribution </w:t>
      </w:r>
      <w:r w:rsidR="00F916EF">
        <w:rPr>
          <w:rFonts w:ascii="Arial" w:hAnsi="Arial" w:cs="Arial"/>
          <w:sz w:val="20"/>
          <w:szCs w:val="20"/>
          <w:lang w:val="en-GB"/>
        </w:rPr>
        <w:t xml:space="preserve">sector </w:t>
      </w:r>
      <w:r>
        <w:rPr>
          <w:rFonts w:ascii="Arial" w:hAnsi="Arial" w:cs="Arial"/>
          <w:sz w:val="20"/>
          <w:szCs w:val="20"/>
          <w:lang w:val="en-GB"/>
        </w:rPr>
        <w:t>as they are in transmission</w:t>
      </w:r>
      <w:r w:rsidR="00F916EF">
        <w:rPr>
          <w:rFonts w:ascii="Arial" w:hAnsi="Arial" w:cs="Arial"/>
          <w:sz w:val="20"/>
          <w:szCs w:val="20"/>
          <w:lang w:val="en-GB"/>
        </w:rPr>
        <w:t xml:space="preserve"> sector</w:t>
      </w:r>
      <w:r>
        <w:rPr>
          <w:rFonts w:ascii="Arial" w:hAnsi="Arial" w:cs="Arial"/>
          <w:sz w:val="20"/>
          <w:szCs w:val="20"/>
          <w:lang w:val="en-GB"/>
        </w:rPr>
        <w:t xml:space="preserve">. This is because the equipment used in </w:t>
      </w:r>
      <w:r w:rsidR="00F916EF">
        <w:rPr>
          <w:rFonts w:ascii="Arial" w:hAnsi="Arial" w:cs="Arial"/>
          <w:sz w:val="20"/>
          <w:szCs w:val="20"/>
          <w:lang w:val="en-GB"/>
        </w:rPr>
        <w:t xml:space="preserve">the </w:t>
      </w:r>
      <w:r>
        <w:rPr>
          <w:rFonts w:ascii="Arial" w:hAnsi="Arial" w:cs="Arial"/>
          <w:sz w:val="20"/>
          <w:szCs w:val="20"/>
          <w:lang w:val="en-GB"/>
        </w:rPr>
        <w:t xml:space="preserve">distribution </w:t>
      </w:r>
      <w:r w:rsidR="00F916EF">
        <w:rPr>
          <w:rFonts w:ascii="Arial" w:hAnsi="Arial" w:cs="Arial"/>
          <w:sz w:val="20"/>
          <w:szCs w:val="20"/>
          <w:lang w:val="en-GB"/>
        </w:rPr>
        <w:t xml:space="preserve">network </w:t>
      </w:r>
      <w:r>
        <w:rPr>
          <w:rFonts w:ascii="Arial" w:hAnsi="Arial" w:cs="Arial"/>
          <w:sz w:val="20"/>
          <w:szCs w:val="20"/>
          <w:lang w:val="en-GB"/>
        </w:rPr>
        <w:t>is smaller and</w:t>
      </w:r>
      <w:r w:rsidR="003A7AC9">
        <w:rPr>
          <w:rFonts w:ascii="Arial" w:hAnsi="Arial" w:cs="Arial"/>
          <w:sz w:val="20"/>
          <w:szCs w:val="20"/>
          <w:lang w:val="en-GB"/>
        </w:rPr>
        <w:t>,</w:t>
      </w:r>
      <w:r>
        <w:rPr>
          <w:rFonts w:ascii="Arial" w:hAnsi="Arial" w:cs="Arial"/>
          <w:sz w:val="20"/>
          <w:szCs w:val="20"/>
          <w:lang w:val="en-GB"/>
        </w:rPr>
        <w:t xml:space="preserve"> therefore</w:t>
      </w:r>
      <w:r w:rsidR="003A7AC9">
        <w:rPr>
          <w:rFonts w:ascii="Arial" w:hAnsi="Arial" w:cs="Arial"/>
          <w:sz w:val="20"/>
          <w:szCs w:val="20"/>
          <w:lang w:val="en-GB"/>
        </w:rPr>
        <w:t>,</w:t>
      </w:r>
      <w:r>
        <w:rPr>
          <w:rFonts w:ascii="Arial" w:hAnsi="Arial" w:cs="Arial"/>
          <w:sz w:val="20"/>
          <w:szCs w:val="20"/>
          <w:lang w:val="en-GB"/>
        </w:rPr>
        <w:t xml:space="preserve"> quicker to supply than the </w:t>
      </w:r>
      <w:r w:rsidR="00890286">
        <w:rPr>
          <w:rFonts w:ascii="Arial" w:hAnsi="Arial" w:cs="Arial"/>
          <w:sz w:val="20"/>
          <w:szCs w:val="20"/>
          <w:lang w:val="en-GB"/>
        </w:rPr>
        <w:t xml:space="preserve">equipment </w:t>
      </w:r>
      <w:r>
        <w:rPr>
          <w:rFonts w:ascii="Arial" w:hAnsi="Arial" w:cs="Arial"/>
          <w:sz w:val="20"/>
          <w:szCs w:val="20"/>
          <w:lang w:val="en-GB"/>
        </w:rPr>
        <w:t xml:space="preserve">used in </w:t>
      </w:r>
      <w:r w:rsidR="00F916EF">
        <w:rPr>
          <w:rFonts w:ascii="Arial" w:hAnsi="Arial" w:cs="Arial"/>
          <w:sz w:val="20"/>
          <w:szCs w:val="20"/>
          <w:lang w:val="en-GB"/>
        </w:rPr>
        <w:t xml:space="preserve">the </w:t>
      </w:r>
      <w:r>
        <w:rPr>
          <w:rFonts w:ascii="Arial" w:hAnsi="Arial" w:cs="Arial"/>
          <w:sz w:val="20"/>
          <w:szCs w:val="20"/>
          <w:lang w:val="en-GB"/>
        </w:rPr>
        <w:t>transmission</w:t>
      </w:r>
      <w:r w:rsidR="00F916EF">
        <w:rPr>
          <w:rFonts w:ascii="Arial" w:hAnsi="Arial" w:cs="Arial"/>
          <w:sz w:val="20"/>
          <w:szCs w:val="20"/>
          <w:lang w:val="en-GB"/>
        </w:rPr>
        <w:t xml:space="preserve"> network</w:t>
      </w:r>
      <w:r>
        <w:rPr>
          <w:rFonts w:ascii="Arial" w:hAnsi="Arial" w:cs="Arial"/>
          <w:sz w:val="20"/>
          <w:szCs w:val="20"/>
          <w:lang w:val="en-GB"/>
        </w:rPr>
        <w:t>. Furthermore, the buildout and upgrade of the transmission system globally as part of the transition to net zero has progressed</w:t>
      </w:r>
      <w:r w:rsidR="003A7AC9">
        <w:rPr>
          <w:rFonts w:ascii="Arial" w:hAnsi="Arial" w:cs="Arial"/>
          <w:sz w:val="20"/>
          <w:szCs w:val="20"/>
          <w:lang w:val="en-GB"/>
        </w:rPr>
        <w:t xml:space="preserve"> faster and</w:t>
      </w:r>
      <w:r>
        <w:rPr>
          <w:rFonts w:ascii="Arial" w:hAnsi="Arial" w:cs="Arial"/>
          <w:sz w:val="20"/>
          <w:szCs w:val="20"/>
          <w:lang w:val="en-GB"/>
        </w:rPr>
        <w:t xml:space="preserve"> further than the distribution system, and consequently</w:t>
      </w:r>
      <w:r w:rsidR="003A7AC9">
        <w:rPr>
          <w:rFonts w:ascii="Arial" w:hAnsi="Arial" w:cs="Arial"/>
          <w:sz w:val="20"/>
          <w:szCs w:val="20"/>
          <w:lang w:val="en-GB"/>
        </w:rPr>
        <w:t xml:space="preserve"> global competition for</w:t>
      </w:r>
      <w:r>
        <w:rPr>
          <w:rFonts w:ascii="Arial" w:hAnsi="Arial" w:cs="Arial"/>
          <w:sz w:val="20"/>
          <w:szCs w:val="20"/>
          <w:lang w:val="en-GB"/>
        </w:rPr>
        <w:t xml:space="preserve"> the associated supply chain and workforce</w:t>
      </w:r>
      <w:r w:rsidR="003A7AC9">
        <w:rPr>
          <w:rFonts w:ascii="Arial" w:hAnsi="Arial" w:cs="Arial"/>
          <w:sz w:val="20"/>
          <w:szCs w:val="20"/>
          <w:lang w:val="en-GB"/>
        </w:rPr>
        <w:t xml:space="preserve"> is</w:t>
      </w:r>
      <w:r>
        <w:rPr>
          <w:rFonts w:ascii="Arial" w:hAnsi="Arial" w:cs="Arial"/>
          <w:sz w:val="20"/>
          <w:szCs w:val="20"/>
          <w:lang w:val="en-GB"/>
        </w:rPr>
        <w:t xml:space="preserve"> </w:t>
      </w:r>
      <w:r w:rsidR="00890286">
        <w:rPr>
          <w:rFonts w:ascii="Arial" w:hAnsi="Arial" w:cs="Arial"/>
          <w:sz w:val="20"/>
          <w:szCs w:val="20"/>
          <w:lang w:val="en-GB"/>
        </w:rPr>
        <w:t xml:space="preserve">currently </w:t>
      </w:r>
      <w:r w:rsidR="003A7AC9">
        <w:rPr>
          <w:rFonts w:ascii="Arial" w:hAnsi="Arial" w:cs="Arial"/>
          <w:sz w:val="20"/>
          <w:szCs w:val="20"/>
          <w:lang w:val="en-GB"/>
        </w:rPr>
        <w:t>greater</w:t>
      </w:r>
      <w:r w:rsidR="00F916EF">
        <w:rPr>
          <w:rFonts w:ascii="Arial" w:hAnsi="Arial" w:cs="Arial"/>
          <w:sz w:val="20"/>
          <w:szCs w:val="20"/>
          <w:lang w:val="en-GB"/>
        </w:rPr>
        <w:t xml:space="preserve"> </w:t>
      </w:r>
      <w:r w:rsidR="003A7AC9">
        <w:rPr>
          <w:rFonts w:ascii="Arial" w:hAnsi="Arial" w:cs="Arial"/>
          <w:sz w:val="20"/>
          <w:szCs w:val="20"/>
          <w:lang w:val="en-GB"/>
        </w:rPr>
        <w:t xml:space="preserve">for </w:t>
      </w:r>
      <w:r w:rsidR="00F916EF">
        <w:rPr>
          <w:rFonts w:ascii="Arial" w:hAnsi="Arial" w:cs="Arial"/>
          <w:sz w:val="20"/>
          <w:szCs w:val="20"/>
          <w:lang w:val="en-GB"/>
        </w:rPr>
        <w:t>the</w:t>
      </w:r>
      <w:r w:rsidR="003A7AC9">
        <w:rPr>
          <w:rFonts w:ascii="Arial" w:hAnsi="Arial" w:cs="Arial"/>
          <w:sz w:val="20"/>
          <w:szCs w:val="20"/>
          <w:lang w:val="en-GB"/>
        </w:rPr>
        <w:t xml:space="preserve"> UK’s</w:t>
      </w:r>
      <w:r w:rsidR="00F916EF">
        <w:rPr>
          <w:rFonts w:ascii="Arial" w:hAnsi="Arial" w:cs="Arial"/>
          <w:sz w:val="20"/>
          <w:szCs w:val="20"/>
          <w:lang w:val="en-GB"/>
        </w:rPr>
        <w:t xml:space="preserve"> transmission system. </w:t>
      </w:r>
    </w:p>
    <w:p w14:paraId="3B0F1119" w14:textId="77777777" w:rsidR="00567523" w:rsidRDefault="00567523" w:rsidP="00EB537D">
      <w:pPr>
        <w:spacing w:after="0"/>
        <w:jc w:val="both"/>
        <w:rPr>
          <w:rFonts w:ascii="Arial" w:hAnsi="Arial" w:cs="Arial"/>
          <w:sz w:val="20"/>
          <w:szCs w:val="20"/>
          <w:lang w:val="en-GB"/>
        </w:rPr>
      </w:pPr>
    </w:p>
    <w:p w14:paraId="5E1F13A3" w14:textId="14C065E5" w:rsidR="00583F9C" w:rsidRDefault="00583F9C" w:rsidP="00EB537D">
      <w:pPr>
        <w:spacing w:after="0"/>
        <w:jc w:val="both"/>
        <w:rPr>
          <w:rFonts w:ascii="Arial" w:hAnsi="Arial" w:cs="Arial"/>
          <w:sz w:val="20"/>
          <w:szCs w:val="20"/>
          <w:lang w:val="en-GB"/>
        </w:rPr>
      </w:pPr>
      <w:r>
        <w:rPr>
          <w:rFonts w:ascii="Arial" w:hAnsi="Arial" w:cs="Arial"/>
          <w:sz w:val="20"/>
          <w:szCs w:val="20"/>
          <w:lang w:val="en-GB"/>
        </w:rPr>
        <w:t xml:space="preserve">Given the need for greater network reinforcement, the </w:t>
      </w:r>
      <w:r w:rsidR="00F916EF">
        <w:rPr>
          <w:rFonts w:ascii="Arial" w:hAnsi="Arial" w:cs="Arial"/>
          <w:sz w:val="20"/>
          <w:szCs w:val="20"/>
          <w:lang w:val="en-GB"/>
        </w:rPr>
        <w:t xml:space="preserve">supply chain and workforce pressures in the </w:t>
      </w:r>
      <w:r>
        <w:rPr>
          <w:rFonts w:ascii="Arial" w:hAnsi="Arial" w:cs="Arial"/>
          <w:sz w:val="20"/>
          <w:szCs w:val="20"/>
          <w:lang w:val="en-GB"/>
        </w:rPr>
        <w:t xml:space="preserve">distribution </w:t>
      </w:r>
      <w:r w:rsidR="00F916EF">
        <w:rPr>
          <w:rFonts w:ascii="Arial" w:hAnsi="Arial" w:cs="Arial"/>
          <w:sz w:val="20"/>
          <w:szCs w:val="20"/>
          <w:lang w:val="en-GB"/>
        </w:rPr>
        <w:t>industry</w:t>
      </w:r>
      <w:r>
        <w:rPr>
          <w:rFonts w:ascii="Arial" w:hAnsi="Arial" w:cs="Arial"/>
          <w:sz w:val="20"/>
          <w:szCs w:val="20"/>
          <w:lang w:val="en-GB"/>
        </w:rPr>
        <w:t xml:space="preserve"> will </w:t>
      </w:r>
      <w:r w:rsidR="00084DB8">
        <w:rPr>
          <w:rFonts w:ascii="Arial" w:hAnsi="Arial" w:cs="Arial"/>
          <w:sz w:val="20"/>
          <w:szCs w:val="20"/>
          <w:lang w:val="en-GB"/>
        </w:rPr>
        <w:t xml:space="preserve">also </w:t>
      </w:r>
      <w:r w:rsidR="00F916EF">
        <w:rPr>
          <w:rFonts w:ascii="Arial" w:hAnsi="Arial" w:cs="Arial"/>
          <w:sz w:val="20"/>
          <w:szCs w:val="20"/>
          <w:lang w:val="en-GB"/>
        </w:rPr>
        <w:t xml:space="preserve">grow in severity, </w:t>
      </w:r>
      <w:r>
        <w:rPr>
          <w:rFonts w:ascii="Arial" w:hAnsi="Arial" w:cs="Arial"/>
          <w:sz w:val="20"/>
          <w:szCs w:val="20"/>
          <w:lang w:val="en-GB"/>
        </w:rPr>
        <w:t xml:space="preserve">especially as the exponential growth of the transmission </w:t>
      </w:r>
      <w:r w:rsidR="00F916EF">
        <w:rPr>
          <w:rFonts w:ascii="Arial" w:hAnsi="Arial" w:cs="Arial"/>
          <w:sz w:val="20"/>
          <w:szCs w:val="20"/>
          <w:lang w:val="en-GB"/>
        </w:rPr>
        <w:t>network</w:t>
      </w:r>
      <w:r>
        <w:rPr>
          <w:rFonts w:ascii="Arial" w:hAnsi="Arial" w:cs="Arial"/>
          <w:sz w:val="20"/>
          <w:szCs w:val="20"/>
          <w:lang w:val="en-GB"/>
        </w:rPr>
        <w:t xml:space="preserve"> exacerbat</w:t>
      </w:r>
      <w:r w:rsidR="00C62A59">
        <w:rPr>
          <w:rFonts w:ascii="Arial" w:hAnsi="Arial" w:cs="Arial"/>
          <w:sz w:val="20"/>
          <w:szCs w:val="20"/>
          <w:lang w:val="en-GB"/>
        </w:rPr>
        <w:t xml:space="preserve">es </w:t>
      </w:r>
      <w:r>
        <w:rPr>
          <w:rFonts w:ascii="Arial" w:hAnsi="Arial" w:cs="Arial"/>
          <w:sz w:val="20"/>
          <w:szCs w:val="20"/>
          <w:lang w:val="en-GB"/>
        </w:rPr>
        <w:t xml:space="preserve">these pressures. We welcome Ofgem’s recognition of the pressures faced by the transmission </w:t>
      </w:r>
      <w:r w:rsidR="00F916EF">
        <w:rPr>
          <w:rFonts w:ascii="Arial" w:hAnsi="Arial" w:cs="Arial"/>
          <w:sz w:val="20"/>
          <w:szCs w:val="20"/>
          <w:lang w:val="en-GB"/>
        </w:rPr>
        <w:t>industry</w:t>
      </w:r>
      <w:r>
        <w:rPr>
          <w:rFonts w:ascii="Arial" w:hAnsi="Arial" w:cs="Arial"/>
          <w:sz w:val="20"/>
          <w:szCs w:val="20"/>
          <w:lang w:val="en-GB"/>
        </w:rPr>
        <w:t xml:space="preserve"> and the work it has done to date to remedy these</w:t>
      </w:r>
      <w:r w:rsidR="00F916EF">
        <w:rPr>
          <w:rFonts w:ascii="Arial" w:hAnsi="Arial" w:cs="Arial"/>
          <w:sz w:val="20"/>
          <w:szCs w:val="20"/>
          <w:lang w:val="en-GB"/>
        </w:rPr>
        <w:t xml:space="preserve"> pressures.</w:t>
      </w:r>
      <w:r>
        <w:rPr>
          <w:rFonts w:ascii="Arial" w:hAnsi="Arial" w:cs="Arial"/>
          <w:sz w:val="20"/>
          <w:szCs w:val="20"/>
          <w:lang w:val="en-GB"/>
        </w:rPr>
        <w:t xml:space="preserve"> However, it is important that Ofgem does not lose </w:t>
      </w:r>
      <w:r w:rsidR="00F916EF">
        <w:rPr>
          <w:rFonts w:ascii="Arial" w:hAnsi="Arial" w:cs="Arial"/>
          <w:sz w:val="20"/>
          <w:szCs w:val="20"/>
          <w:lang w:val="en-GB"/>
        </w:rPr>
        <w:t>sight</w:t>
      </w:r>
      <w:r>
        <w:rPr>
          <w:rFonts w:ascii="Arial" w:hAnsi="Arial" w:cs="Arial"/>
          <w:sz w:val="20"/>
          <w:szCs w:val="20"/>
          <w:lang w:val="en-GB"/>
        </w:rPr>
        <w:t xml:space="preserve"> of the pressures</w:t>
      </w:r>
      <w:r w:rsidR="00890286">
        <w:rPr>
          <w:rFonts w:ascii="Arial" w:hAnsi="Arial" w:cs="Arial"/>
          <w:sz w:val="20"/>
          <w:szCs w:val="20"/>
          <w:lang w:val="en-GB"/>
        </w:rPr>
        <w:t xml:space="preserve"> likely to be</w:t>
      </w:r>
      <w:r>
        <w:rPr>
          <w:rFonts w:ascii="Arial" w:hAnsi="Arial" w:cs="Arial"/>
          <w:sz w:val="20"/>
          <w:szCs w:val="20"/>
          <w:lang w:val="en-GB"/>
        </w:rPr>
        <w:t xml:space="preserve"> faced by the distribution </w:t>
      </w:r>
      <w:r w:rsidR="00F916EF">
        <w:rPr>
          <w:rFonts w:ascii="Arial" w:hAnsi="Arial" w:cs="Arial"/>
          <w:sz w:val="20"/>
          <w:szCs w:val="20"/>
          <w:lang w:val="en-GB"/>
        </w:rPr>
        <w:t>sector</w:t>
      </w:r>
      <w:r>
        <w:rPr>
          <w:rFonts w:ascii="Arial" w:hAnsi="Arial" w:cs="Arial"/>
          <w:sz w:val="20"/>
          <w:szCs w:val="20"/>
          <w:lang w:val="en-GB"/>
        </w:rPr>
        <w:t xml:space="preserve"> and learns from what has happened in the transmission </w:t>
      </w:r>
      <w:r w:rsidR="00F916EF">
        <w:rPr>
          <w:rFonts w:ascii="Arial" w:hAnsi="Arial" w:cs="Arial"/>
          <w:sz w:val="20"/>
          <w:szCs w:val="20"/>
          <w:lang w:val="en-GB"/>
        </w:rPr>
        <w:t>sector</w:t>
      </w:r>
      <w:r>
        <w:rPr>
          <w:rFonts w:ascii="Arial" w:hAnsi="Arial" w:cs="Arial"/>
          <w:sz w:val="20"/>
          <w:szCs w:val="20"/>
          <w:lang w:val="en-GB"/>
        </w:rPr>
        <w:t>, so that the distribution network is well-prepared for the inevitabl</w:t>
      </w:r>
      <w:r w:rsidR="00084DB8">
        <w:rPr>
          <w:rFonts w:ascii="Arial" w:hAnsi="Arial" w:cs="Arial"/>
          <w:sz w:val="20"/>
          <w:szCs w:val="20"/>
          <w:lang w:val="en-GB"/>
        </w:rPr>
        <w:t>y</w:t>
      </w:r>
      <w:r>
        <w:rPr>
          <w:rFonts w:ascii="Arial" w:hAnsi="Arial" w:cs="Arial"/>
          <w:sz w:val="20"/>
          <w:szCs w:val="20"/>
          <w:lang w:val="en-GB"/>
        </w:rPr>
        <w:t xml:space="preserve"> greater supply chain and workforce pressures it will face. </w:t>
      </w:r>
    </w:p>
    <w:p w14:paraId="77DCFE9F" w14:textId="77777777" w:rsidR="00852C7C" w:rsidRPr="004177A1" w:rsidRDefault="00852C7C" w:rsidP="00EB537D">
      <w:pPr>
        <w:spacing w:after="0"/>
        <w:jc w:val="both"/>
        <w:rPr>
          <w:rFonts w:ascii="Arial" w:hAnsi="Arial" w:cs="Arial"/>
          <w:b/>
          <w:bCs/>
          <w:sz w:val="20"/>
          <w:szCs w:val="20"/>
        </w:rPr>
      </w:pPr>
    </w:p>
    <w:p w14:paraId="06562721" w14:textId="21593F45"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Q12. Do you agree that the risk and downside for consumers of network underinvestment in network reinforcement would be greater than the downside of overinvestment?</w:t>
      </w:r>
    </w:p>
    <w:p w14:paraId="7179DF88" w14:textId="77777777" w:rsidR="004F241E" w:rsidRDefault="004F241E" w:rsidP="00EB537D">
      <w:pPr>
        <w:spacing w:after="0"/>
        <w:jc w:val="both"/>
        <w:rPr>
          <w:rFonts w:ascii="Arial" w:hAnsi="Arial" w:cs="Arial"/>
          <w:b/>
          <w:bCs/>
          <w:sz w:val="20"/>
          <w:szCs w:val="20"/>
        </w:rPr>
      </w:pPr>
    </w:p>
    <w:p w14:paraId="6D9353C8" w14:textId="7866E005" w:rsidR="008765A5" w:rsidRPr="008765A5" w:rsidRDefault="008765A5" w:rsidP="008765A5">
      <w:pPr>
        <w:spacing w:after="0"/>
        <w:jc w:val="both"/>
        <w:rPr>
          <w:rFonts w:ascii="Arial" w:hAnsi="Arial" w:cs="Arial"/>
          <w:sz w:val="20"/>
          <w:szCs w:val="20"/>
        </w:rPr>
      </w:pPr>
      <w:r w:rsidRPr="008765A5">
        <w:rPr>
          <w:rFonts w:ascii="Arial" w:hAnsi="Arial" w:cs="Arial"/>
          <w:sz w:val="20"/>
          <w:szCs w:val="20"/>
        </w:rPr>
        <w:t xml:space="preserve">As highlighted in </w:t>
      </w:r>
      <w:r w:rsidR="00084DB8">
        <w:rPr>
          <w:rFonts w:ascii="Arial" w:hAnsi="Arial" w:cs="Arial"/>
          <w:sz w:val="20"/>
          <w:szCs w:val="20"/>
        </w:rPr>
        <w:t xml:space="preserve">our response to </w:t>
      </w:r>
      <w:r w:rsidRPr="008765A5">
        <w:rPr>
          <w:rFonts w:ascii="Arial" w:hAnsi="Arial" w:cs="Arial"/>
          <w:sz w:val="20"/>
          <w:szCs w:val="20"/>
        </w:rPr>
        <w:t>Question 11, it is vital that Ofgem, Government, and industry learns from what has happened in the transmission sector</w:t>
      </w:r>
      <w:r w:rsidR="009E1ADB">
        <w:rPr>
          <w:rFonts w:ascii="Arial" w:hAnsi="Arial" w:cs="Arial"/>
          <w:sz w:val="20"/>
          <w:szCs w:val="20"/>
        </w:rPr>
        <w:t>.</w:t>
      </w:r>
      <w:r w:rsidRPr="008765A5">
        <w:rPr>
          <w:rFonts w:ascii="Arial" w:hAnsi="Arial" w:cs="Arial"/>
          <w:sz w:val="20"/>
          <w:szCs w:val="20"/>
        </w:rPr>
        <w:t xml:space="preserve"> </w:t>
      </w:r>
      <w:r w:rsidR="009E1ADB">
        <w:rPr>
          <w:rFonts w:ascii="Arial" w:hAnsi="Arial" w:cs="Arial"/>
          <w:sz w:val="20"/>
          <w:szCs w:val="20"/>
        </w:rPr>
        <w:t xml:space="preserve">A </w:t>
      </w:r>
      <w:r w:rsidRPr="008765A5">
        <w:rPr>
          <w:rFonts w:ascii="Arial" w:hAnsi="Arial" w:cs="Arial"/>
          <w:sz w:val="20"/>
          <w:szCs w:val="20"/>
        </w:rPr>
        <w:t xml:space="preserve">lack of transmission network capacity led to long delays to grid connections, </w:t>
      </w:r>
      <w:r w:rsidR="009E1ADB">
        <w:rPr>
          <w:rFonts w:ascii="Arial" w:hAnsi="Arial" w:cs="Arial"/>
          <w:sz w:val="20"/>
          <w:szCs w:val="20"/>
        </w:rPr>
        <w:t>contributing to</w:t>
      </w:r>
      <w:r w:rsidR="009E1ADB" w:rsidRPr="008765A5">
        <w:rPr>
          <w:rFonts w:ascii="Arial" w:hAnsi="Arial" w:cs="Arial"/>
          <w:sz w:val="20"/>
          <w:szCs w:val="20"/>
        </w:rPr>
        <w:t xml:space="preserve"> </w:t>
      </w:r>
      <w:r w:rsidR="009E1ADB">
        <w:rPr>
          <w:rFonts w:ascii="Arial" w:hAnsi="Arial" w:cs="Arial"/>
          <w:sz w:val="20"/>
          <w:szCs w:val="20"/>
        </w:rPr>
        <w:t xml:space="preserve">significant congestion </w:t>
      </w:r>
      <w:r w:rsidRPr="008765A5">
        <w:rPr>
          <w:rFonts w:ascii="Arial" w:hAnsi="Arial" w:cs="Arial"/>
          <w:sz w:val="20"/>
          <w:szCs w:val="20"/>
        </w:rPr>
        <w:t xml:space="preserve">in the grid connections queue that will take a long time to resolve. </w:t>
      </w:r>
      <w:r w:rsidR="009E1ADB">
        <w:rPr>
          <w:rFonts w:ascii="Arial" w:hAnsi="Arial" w:cs="Arial"/>
          <w:sz w:val="20"/>
          <w:szCs w:val="20"/>
        </w:rPr>
        <w:t>Additionally, t</w:t>
      </w:r>
      <w:r>
        <w:rPr>
          <w:rFonts w:ascii="Arial" w:hAnsi="Arial" w:cs="Arial"/>
          <w:sz w:val="20"/>
          <w:szCs w:val="20"/>
        </w:rPr>
        <w:t xml:space="preserve">here are several disadvantages </w:t>
      </w:r>
      <w:r w:rsidR="007E510D">
        <w:rPr>
          <w:rFonts w:ascii="Arial" w:hAnsi="Arial" w:cs="Arial"/>
          <w:sz w:val="20"/>
          <w:szCs w:val="20"/>
        </w:rPr>
        <w:t>of</w:t>
      </w:r>
      <w:r>
        <w:rPr>
          <w:rFonts w:ascii="Arial" w:hAnsi="Arial" w:cs="Arial"/>
          <w:sz w:val="20"/>
          <w:szCs w:val="20"/>
        </w:rPr>
        <w:t xml:space="preserve"> any delay in developing adequate distribution network capacity, including longer grid connection times </w:t>
      </w:r>
      <w:r w:rsidR="009E1ADB">
        <w:rPr>
          <w:rFonts w:ascii="Arial" w:hAnsi="Arial" w:cs="Arial"/>
          <w:sz w:val="20"/>
          <w:szCs w:val="20"/>
        </w:rPr>
        <w:t xml:space="preserve">for generators and consumers </w:t>
      </w:r>
      <w:r>
        <w:rPr>
          <w:rFonts w:ascii="Arial" w:hAnsi="Arial" w:cs="Arial"/>
          <w:sz w:val="20"/>
          <w:szCs w:val="20"/>
        </w:rPr>
        <w:t>and stunted economic growth due to a lack of power for assets</w:t>
      </w:r>
      <w:r w:rsidR="009E1ADB">
        <w:rPr>
          <w:rFonts w:ascii="Arial" w:hAnsi="Arial" w:cs="Arial"/>
          <w:sz w:val="20"/>
          <w:szCs w:val="20"/>
        </w:rPr>
        <w:t>,</w:t>
      </w:r>
      <w:r>
        <w:rPr>
          <w:rFonts w:ascii="Arial" w:hAnsi="Arial" w:cs="Arial"/>
          <w:sz w:val="20"/>
          <w:szCs w:val="20"/>
        </w:rPr>
        <w:t xml:space="preserve"> such as a data centres and AI. </w:t>
      </w:r>
    </w:p>
    <w:p w14:paraId="53331AA4" w14:textId="77777777" w:rsidR="008765A5" w:rsidRDefault="008765A5" w:rsidP="00EB537D">
      <w:pPr>
        <w:spacing w:after="0"/>
        <w:jc w:val="both"/>
        <w:rPr>
          <w:rFonts w:ascii="Arial" w:hAnsi="Arial" w:cs="Arial"/>
          <w:sz w:val="20"/>
          <w:szCs w:val="20"/>
        </w:rPr>
      </w:pPr>
    </w:p>
    <w:p w14:paraId="21002AEC" w14:textId="02136A5A" w:rsidR="008765A5" w:rsidRDefault="008765A5" w:rsidP="00EB537D">
      <w:pPr>
        <w:spacing w:after="0"/>
        <w:jc w:val="both"/>
        <w:rPr>
          <w:rFonts w:ascii="Arial" w:hAnsi="Arial" w:cs="Arial"/>
          <w:sz w:val="20"/>
          <w:szCs w:val="20"/>
        </w:rPr>
      </w:pPr>
      <w:r w:rsidRPr="008765A5">
        <w:rPr>
          <w:rFonts w:ascii="Arial" w:hAnsi="Arial" w:cs="Arial"/>
          <w:sz w:val="20"/>
          <w:szCs w:val="20"/>
        </w:rPr>
        <w:t>It is</w:t>
      </w:r>
      <w:r w:rsidR="009E1ADB">
        <w:rPr>
          <w:rFonts w:ascii="Arial" w:hAnsi="Arial" w:cs="Arial"/>
          <w:sz w:val="20"/>
          <w:szCs w:val="20"/>
        </w:rPr>
        <w:t>,</w:t>
      </w:r>
      <w:r w:rsidRPr="008765A5">
        <w:rPr>
          <w:rFonts w:ascii="Arial" w:hAnsi="Arial" w:cs="Arial"/>
          <w:sz w:val="20"/>
          <w:szCs w:val="20"/>
        </w:rPr>
        <w:t xml:space="preserve"> therefore</w:t>
      </w:r>
      <w:r w:rsidR="009E1ADB">
        <w:rPr>
          <w:rFonts w:ascii="Arial" w:hAnsi="Arial" w:cs="Arial"/>
          <w:sz w:val="20"/>
          <w:szCs w:val="20"/>
        </w:rPr>
        <w:t>,</w:t>
      </w:r>
      <w:r w:rsidRPr="008765A5">
        <w:rPr>
          <w:rFonts w:ascii="Arial" w:hAnsi="Arial" w:cs="Arial"/>
          <w:sz w:val="20"/>
          <w:szCs w:val="20"/>
        </w:rPr>
        <w:t xml:space="preserve"> imperative that Ofgem works to </w:t>
      </w:r>
      <w:r>
        <w:rPr>
          <w:rFonts w:ascii="Arial" w:hAnsi="Arial" w:cs="Arial"/>
          <w:sz w:val="20"/>
          <w:szCs w:val="20"/>
        </w:rPr>
        <w:t xml:space="preserve">ensure sufficient investment in distribution network reinforcement. </w:t>
      </w:r>
    </w:p>
    <w:p w14:paraId="6444E25C" w14:textId="77777777" w:rsidR="00AD193E" w:rsidRPr="004177A1" w:rsidRDefault="00AD193E" w:rsidP="00EB537D">
      <w:pPr>
        <w:spacing w:after="0"/>
        <w:jc w:val="both"/>
        <w:rPr>
          <w:rFonts w:ascii="Arial" w:hAnsi="Arial" w:cs="Arial"/>
          <w:b/>
          <w:bCs/>
          <w:sz w:val="20"/>
          <w:szCs w:val="20"/>
        </w:rPr>
      </w:pPr>
    </w:p>
    <w:p w14:paraId="51BC0032" w14:textId="77777777" w:rsidR="004B22E1" w:rsidRPr="004177A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Q13. What are the benefits and risks to deliverability if network reinforcement is deferred to future periods? </w:t>
      </w:r>
    </w:p>
    <w:p w14:paraId="40217525" w14:textId="77777777" w:rsidR="00F037AC" w:rsidRPr="004177A1" w:rsidRDefault="00F037AC" w:rsidP="00EB537D">
      <w:pPr>
        <w:spacing w:after="0"/>
        <w:jc w:val="both"/>
        <w:rPr>
          <w:rFonts w:ascii="Arial" w:hAnsi="Arial" w:cs="Arial"/>
          <w:b/>
          <w:bCs/>
          <w:sz w:val="20"/>
          <w:szCs w:val="20"/>
        </w:rPr>
      </w:pPr>
    </w:p>
    <w:p w14:paraId="1295F577" w14:textId="77777777" w:rsidR="007E510D" w:rsidRDefault="00656927" w:rsidP="00EB537D">
      <w:pPr>
        <w:spacing w:after="0"/>
        <w:jc w:val="both"/>
        <w:rPr>
          <w:rFonts w:ascii="Arial" w:hAnsi="Arial" w:cs="Arial"/>
          <w:sz w:val="20"/>
          <w:szCs w:val="20"/>
        </w:rPr>
      </w:pPr>
      <w:r w:rsidRPr="004177A1">
        <w:rPr>
          <w:rFonts w:ascii="Arial" w:hAnsi="Arial" w:cs="Arial"/>
          <w:sz w:val="20"/>
          <w:szCs w:val="20"/>
        </w:rPr>
        <w:t xml:space="preserve">As Ofgem highlights in </w:t>
      </w:r>
      <w:r w:rsidR="00AD193E" w:rsidRPr="004177A1">
        <w:rPr>
          <w:rFonts w:ascii="Arial" w:hAnsi="Arial" w:cs="Arial"/>
          <w:sz w:val="20"/>
          <w:szCs w:val="20"/>
        </w:rPr>
        <w:t>this</w:t>
      </w:r>
      <w:r w:rsidRPr="004177A1">
        <w:rPr>
          <w:rFonts w:ascii="Arial" w:hAnsi="Arial" w:cs="Arial"/>
          <w:sz w:val="20"/>
          <w:szCs w:val="20"/>
        </w:rPr>
        <w:t xml:space="preserve"> consultation, there is now greater certainty about the growing rate and extent of the electrification needed to ensure that the UK’s </w:t>
      </w:r>
      <w:r w:rsidR="00AD193E" w:rsidRPr="004177A1">
        <w:rPr>
          <w:rFonts w:ascii="Arial" w:hAnsi="Arial" w:cs="Arial"/>
          <w:sz w:val="20"/>
          <w:szCs w:val="20"/>
        </w:rPr>
        <w:t xml:space="preserve">Clean Power 2030 and overarching </w:t>
      </w:r>
      <w:r w:rsidRPr="004177A1">
        <w:rPr>
          <w:rFonts w:ascii="Arial" w:hAnsi="Arial" w:cs="Arial"/>
          <w:sz w:val="20"/>
          <w:szCs w:val="20"/>
        </w:rPr>
        <w:t xml:space="preserve">net zero targets are met. Therefore, we agree with Ofgem’s assessment that the risk of underinvestment in network </w:t>
      </w:r>
      <w:r w:rsidRPr="004177A1">
        <w:rPr>
          <w:rFonts w:ascii="Arial" w:hAnsi="Arial" w:cs="Arial"/>
          <w:sz w:val="20"/>
          <w:szCs w:val="20"/>
        </w:rPr>
        <w:lastRenderedPageBreak/>
        <w:t xml:space="preserve">reinforcement is greater than the risk of overinvestment. This is because we assess that the likelihood of insufficient electricity distribution infrastructure due to underinvestment is far </w:t>
      </w:r>
      <w:r w:rsidR="00800EA1">
        <w:rPr>
          <w:rFonts w:ascii="Arial" w:hAnsi="Arial" w:cs="Arial"/>
          <w:sz w:val="20"/>
          <w:szCs w:val="20"/>
        </w:rPr>
        <w:t>greater</w:t>
      </w:r>
      <w:r w:rsidR="00800EA1" w:rsidRPr="004177A1">
        <w:rPr>
          <w:rFonts w:ascii="Arial" w:hAnsi="Arial" w:cs="Arial"/>
          <w:sz w:val="20"/>
          <w:szCs w:val="20"/>
        </w:rPr>
        <w:t xml:space="preserve"> </w:t>
      </w:r>
      <w:r w:rsidRPr="004177A1">
        <w:rPr>
          <w:rFonts w:ascii="Arial" w:hAnsi="Arial" w:cs="Arial"/>
          <w:sz w:val="20"/>
          <w:szCs w:val="20"/>
        </w:rPr>
        <w:t xml:space="preserve">than the </w:t>
      </w:r>
      <w:r w:rsidR="007B16D1" w:rsidRPr="004177A1">
        <w:rPr>
          <w:rFonts w:ascii="Arial" w:hAnsi="Arial" w:cs="Arial"/>
          <w:sz w:val="20"/>
          <w:szCs w:val="20"/>
        </w:rPr>
        <w:t>possibility</w:t>
      </w:r>
      <w:r w:rsidRPr="004177A1">
        <w:rPr>
          <w:rFonts w:ascii="Arial" w:hAnsi="Arial" w:cs="Arial"/>
          <w:sz w:val="20"/>
          <w:szCs w:val="20"/>
        </w:rPr>
        <w:t xml:space="preserve"> of surplus electricity distribution infrastructure due to overinvestment, according to current trajectories and strategic plans. </w:t>
      </w:r>
    </w:p>
    <w:p w14:paraId="16ABCF51" w14:textId="77777777" w:rsidR="007E510D" w:rsidRDefault="007E510D" w:rsidP="00EB537D">
      <w:pPr>
        <w:spacing w:after="0"/>
        <w:jc w:val="both"/>
        <w:rPr>
          <w:rFonts w:ascii="Arial" w:hAnsi="Arial" w:cs="Arial"/>
          <w:sz w:val="20"/>
          <w:szCs w:val="20"/>
        </w:rPr>
      </w:pPr>
    </w:p>
    <w:p w14:paraId="026A80DA" w14:textId="1DF68DD4" w:rsidR="00F037AC" w:rsidRDefault="00800EA1" w:rsidP="00EB537D">
      <w:pPr>
        <w:spacing w:after="0"/>
        <w:jc w:val="both"/>
        <w:rPr>
          <w:rFonts w:ascii="Arial" w:hAnsi="Arial" w:cs="Arial"/>
          <w:sz w:val="20"/>
          <w:szCs w:val="20"/>
        </w:rPr>
      </w:pPr>
      <w:r>
        <w:rPr>
          <w:rFonts w:ascii="Arial" w:hAnsi="Arial" w:cs="Arial"/>
          <w:sz w:val="20"/>
          <w:szCs w:val="20"/>
        </w:rPr>
        <w:t xml:space="preserve">It is widely understood that network reinforcement will be required to support greater electrification of the economy and accommodate anticipated new demand. However, the quantum of anticipated new demand </w:t>
      </w:r>
      <w:r w:rsidR="007B3D89">
        <w:rPr>
          <w:rFonts w:ascii="Arial" w:hAnsi="Arial" w:cs="Arial"/>
          <w:sz w:val="20"/>
          <w:szCs w:val="20"/>
        </w:rPr>
        <w:t>is difficult to</w:t>
      </w:r>
      <w:r>
        <w:rPr>
          <w:rFonts w:ascii="Arial" w:hAnsi="Arial" w:cs="Arial"/>
          <w:sz w:val="20"/>
          <w:szCs w:val="20"/>
        </w:rPr>
        <w:t xml:space="preserve"> fully forecast, due to the potential power needs for future digital economy infrastructure (data centres etc.). It is, therefore, wise to consider overinvestment in electricity distribution infrastructure now, ensuring that benefits can be realised at lower cost and less risk.        </w:t>
      </w:r>
    </w:p>
    <w:p w14:paraId="70929F38" w14:textId="77777777" w:rsidR="004B22E1" w:rsidRPr="004177A1" w:rsidRDefault="004B22E1" w:rsidP="00EB537D">
      <w:pPr>
        <w:spacing w:after="0"/>
        <w:jc w:val="both"/>
        <w:rPr>
          <w:rFonts w:ascii="Arial" w:hAnsi="Arial" w:cs="Arial"/>
          <w:b/>
          <w:bCs/>
          <w:sz w:val="20"/>
          <w:szCs w:val="20"/>
        </w:rPr>
      </w:pPr>
    </w:p>
    <w:p w14:paraId="6263760D" w14:textId="77777777" w:rsidR="004B22E1" w:rsidRPr="004177A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Q14. What do you see as the role of distributed flexibility, both in the short and longer term, to manage distribution network constraints? </w:t>
      </w:r>
    </w:p>
    <w:p w14:paraId="5F108DA8" w14:textId="77777777" w:rsidR="004B22E1" w:rsidRDefault="004B22E1" w:rsidP="00EB537D">
      <w:pPr>
        <w:spacing w:after="0"/>
        <w:jc w:val="both"/>
        <w:rPr>
          <w:rFonts w:ascii="Arial" w:hAnsi="Arial" w:cs="Arial"/>
          <w:b/>
          <w:bCs/>
          <w:sz w:val="20"/>
          <w:szCs w:val="20"/>
        </w:rPr>
      </w:pPr>
    </w:p>
    <w:p w14:paraId="0056EAED" w14:textId="24B91A75" w:rsidR="00507788" w:rsidRPr="00666374" w:rsidRDefault="0065749D" w:rsidP="00EB537D">
      <w:pPr>
        <w:spacing w:after="0"/>
        <w:jc w:val="both"/>
        <w:rPr>
          <w:rFonts w:ascii="Arial" w:hAnsi="Arial" w:cs="Arial"/>
          <w:sz w:val="20"/>
          <w:szCs w:val="20"/>
        </w:rPr>
      </w:pPr>
      <w:r>
        <w:rPr>
          <w:rFonts w:ascii="Arial" w:hAnsi="Arial" w:cs="Arial"/>
          <w:sz w:val="20"/>
          <w:szCs w:val="20"/>
        </w:rPr>
        <w:t xml:space="preserve">As illustrated in the Clean Power 2030 Action Plan, </w:t>
      </w:r>
      <w:r w:rsidR="00666374" w:rsidRPr="00666374">
        <w:rPr>
          <w:rFonts w:ascii="Arial" w:hAnsi="Arial" w:cs="Arial"/>
          <w:sz w:val="20"/>
          <w:szCs w:val="20"/>
        </w:rPr>
        <w:t xml:space="preserve">there is an increased need for domestic flexibility </w:t>
      </w:r>
      <w:r w:rsidR="00800EA1">
        <w:rPr>
          <w:rFonts w:ascii="Arial" w:hAnsi="Arial" w:cs="Arial"/>
          <w:sz w:val="20"/>
          <w:szCs w:val="20"/>
        </w:rPr>
        <w:t>to</w:t>
      </w:r>
      <w:r w:rsidR="00666374">
        <w:rPr>
          <w:rFonts w:ascii="Arial" w:hAnsi="Arial" w:cs="Arial"/>
          <w:sz w:val="20"/>
          <w:szCs w:val="20"/>
        </w:rPr>
        <w:t xml:space="preserve"> achieve the 2030 target. In the short</w:t>
      </w:r>
      <w:r w:rsidR="00800EA1">
        <w:rPr>
          <w:rFonts w:ascii="Arial" w:hAnsi="Arial" w:cs="Arial"/>
          <w:sz w:val="20"/>
          <w:szCs w:val="20"/>
        </w:rPr>
        <w:t>-</w:t>
      </w:r>
      <w:r w:rsidR="00666374">
        <w:rPr>
          <w:rFonts w:ascii="Arial" w:hAnsi="Arial" w:cs="Arial"/>
          <w:sz w:val="20"/>
          <w:szCs w:val="20"/>
        </w:rPr>
        <w:t xml:space="preserve">term, time of use tariffs have proved effective in providing a degree of flexibility. In the longer-term, we need </w:t>
      </w:r>
      <w:r w:rsidR="009E0503">
        <w:rPr>
          <w:rFonts w:ascii="Arial" w:hAnsi="Arial" w:cs="Arial"/>
          <w:sz w:val="20"/>
          <w:szCs w:val="20"/>
        </w:rPr>
        <w:t>many</w:t>
      </w:r>
      <w:r>
        <w:rPr>
          <w:rFonts w:ascii="Arial" w:hAnsi="Arial" w:cs="Arial"/>
          <w:sz w:val="20"/>
          <w:szCs w:val="20"/>
        </w:rPr>
        <w:t xml:space="preserve"> more</w:t>
      </w:r>
      <w:r w:rsidR="00666374">
        <w:rPr>
          <w:rFonts w:ascii="Arial" w:hAnsi="Arial" w:cs="Arial"/>
          <w:sz w:val="20"/>
          <w:szCs w:val="20"/>
        </w:rPr>
        <w:t xml:space="preserve"> sources of flexibility. The effective operation of these sources will require a much more digitalised network to automate the provision of that flexibility. </w:t>
      </w:r>
    </w:p>
    <w:p w14:paraId="2A9F5941" w14:textId="77777777" w:rsidR="00507788" w:rsidRPr="004177A1" w:rsidRDefault="00507788" w:rsidP="00EB537D">
      <w:pPr>
        <w:spacing w:after="0"/>
        <w:jc w:val="both"/>
        <w:rPr>
          <w:rFonts w:ascii="Arial" w:hAnsi="Arial" w:cs="Arial"/>
          <w:b/>
          <w:bCs/>
          <w:sz w:val="20"/>
          <w:szCs w:val="20"/>
        </w:rPr>
      </w:pPr>
    </w:p>
    <w:p w14:paraId="2F165BDD" w14:textId="77777777"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Q15. How do we ensure that network flexibility is used only when it is in consumers’ long-term interests in ED3? </w:t>
      </w:r>
    </w:p>
    <w:p w14:paraId="03128D6F" w14:textId="77777777" w:rsidR="009E0503" w:rsidRDefault="009E0503" w:rsidP="00EB537D">
      <w:pPr>
        <w:spacing w:after="0"/>
        <w:jc w:val="both"/>
        <w:rPr>
          <w:rFonts w:ascii="Arial" w:hAnsi="Arial" w:cs="Arial"/>
          <w:b/>
          <w:bCs/>
          <w:sz w:val="20"/>
          <w:szCs w:val="20"/>
        </w:rPr>
      </w:pPr>
    </w:p>
    <w:p w14:paraId="434E29F2" w14:textId="43B8BD6D" w:rsidR="009E0503" w:rsidRDefault="009E0503" w:rsidP="00EB537D">
      <w:pPr>
        <w:spacing w:after="0"/>
        <w:jc w:val="both"/>
        <w:rPr>
          <w:rFonts w:ascii="Arial" w:hAnsi="Arial" w:cs="Arial"/>
          <w:sz w:val="20"/>
          <w:szCs w:val="20"/>
        </w:rPr>
      </w:pPr>
      <w:r>
        <w:rPr>
          <w:rFonts w:ascii="Arial" w:hAnsi="Arial" w:cs="Arial"/>
          <w:sz w:val="20"/>
          <w:szCs w:val="20"/>
        </w:rPr>
        <w:t>Network f</w:t>
      </w:r>
      <w:r w:rsidRPr="009E0503">
        <w:rPr>
          <w:rFonts w:ascii="Arial" w:hAnsi="Arial" w:cs="Arial"/>
          <w:sz w:val="20"/>
          <w:szCs w:val="20"/>
        </w:rPr>
        <w:t>lexibility should not be used as a reason not to anticipate</w:t>
      </w:r>
      <w:r w:rsidR="007E510D">
        <w:rPr>
          <w:rFonts w:ascii="Arial" w:hAnsi="Arial" w:cs="Arial"/>
          <w:sz w:val="20"/>
          <w:szCs w:val="20"/>
        </w:rPr>
        <w:t xml:space="preserve"> the</w:t>
      </w:r>
      <w:r w:rsidRPr="009E0503">
        <w:rPr>
          <w:rFonts w:ascii="Arial" w:hAnsi="Arial" w:cs="Arial"/>
          <w:sz w:val="20"/>
          <w:szCs w:val="20"/>
        </w:rPr>
        <w:t xml:space="preserve"> investment that will be required in the longer term</w:t>
      </w:r>
      <w:r>
        <w:rPr>
          <w:rFonts w:ascii="Arial" w:hAnsi="Arial" w:cs="Arial"/>
          <w:sz w:val="20"/>
          <w:szCs w:val="20"/>
        </w:rPr>
        <w:t xml:space="preserve">. </w:t>
      </w:r>
    </w:p>
    <w:p w14:paraId="69403FCD" w14:textId="77777777" w:rsidR="009E0503" w:rsidRDefault="009E0503" w:rsidP="00EB537D">
      <w:pPr>
        <w:spacing w:after="0"/>
        <w:jc w:val="both"/>
        <w:rPr>
          <w:rFonts w:ascii="Arial" w:hAnsi="Arial" w:cs="Arial"/>
          <w:sz w:val="20"/>
          <w:szCs w:val="20"/>
        </w:rPr>
      </w:pPr>
    </w:p>
    <w:p w14:paraId="005D1017" w14:textId="78ABADD1" w:rsidR="00666374" w:rsidRDefault="009E0503" w:rsidP="00EB537D">
      <w:pPr>
        <w:spacing w:after="0"/>
        <w:jc w:val="both"/>
        <w:rPr>
          <w:rFonts w:ascii="Arial" w:hAnsi="Arial" w:cs="Arial"/>
          <w:sz w:val="20"/>
          <w:szCs w:val="20"/>
        </w:rPr>
      </w:pPr>
      <w:r>
        <w:rPr>
          <w:rFonts w:ascii="Arial" w:hAnsi="Arial" w:cs="Arial"/>
          <w:sz w:val="20"/>
          <w:szCs w:val="20"/>
        </w:rPr>
        <w:t xml:space="preserve">The long-term strategic plans in development, such as the Regional Energy Strategic Plan (RESP), should be used to define the most appropriate solutions regarding network flexibility. It is important that investment is made into expanding the network for the longer-term, and flexibility should not be </w:t>
      </w:r>
      <w:r w:rsidR="00F916EF">
        <w:rPr>
          <w:rFonts w:ascii="Arial" w:hAnsi="Arial" w:cs="Arial"/>
          <w:sz w:val="20"/>
          <w:szCs w:val="20"/>
        </w:rPr>
        <w:t xml:space="preserve">solely </w:t>
      </w:r>
      <w:r>
        <w:rPr>
          <w:rFonts w:ascii="Arial" w:hAnsi="Arial" w:cs="Arial"/>
          <w:sz w:val="20"/>
          <w:szCs w:val="20"/>
        </w:rPr>
        <w:t xml:space="preserve">relied upon as a short-term fix in the knowledge that network capacity will have to expanded to meet longer-term needs. </w:t>
      </w:r>
    </w:p>
    <w:p w14:paraId="53E0278F" w14:textId="77777777" w:rsidR="004B22E1" w:rsidRPr="004177A1" w:rsidRDefault="004B22E1" w:rsidP="00EB537D">
      <w:pPr>
        <w:spacing w:after="0"/>
        <w:jc w:val="both"/>
        <w:rPr>
          <w:rFonts w:ascii="Arial" w:hAnsi="Arial" w:cs="Arial"/>
          <w:b/>
          <w:bCs/>
          <w:sz w:val="20"/>
          <w:szCs w:val="20"/>
        </w:rPr>
      </w:pPr>
    </w:p>
    <w:p w14:paraId="5B0F9543" w14:textId="77777777" w:rsidR="004B22E1" w:rsidRPr="004177A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Q17. Do you agree that the </w:t>
      </w:r>
      <w:proofErr w:type="spellStart"/>
      <w:r w:rsidRPr="004177A1">
        <w:rPr>
          <w:rFonts w:ascii="Arial" w:hAnsi="Arial" w:cs="Arial"/>
          <w:b/>
          <w:bCs/>
          <w:sz w:val="20"/>
          <w:szCs w:val="20"/>
        </w:rPr>
        <w:t>tRESP</w:t>
      </w:r>
      <w:proofErr w:type="spellEnd"/>
      <w:r w:rsidRPr="004177A1">
        <w:rPr>
          <w:rFonts w:ascii="Arial" w:hAnsi="Arial" w:cs="Arial"/>
          <w:b/>
          <w:bCs/>
          <w:sz w:val="20"/>
          <w:szCs w:val="20"/>
        </w:rPr>
        <w:t xml:space="preserve"> output outlined for early 2026 will help create a level playing field for DNOs’ business planning and support the ED3 objective and consumer outcomes?</w:t>
      </w:r>
    </w:p>
    <w:p w14:paraId="357FD449" w14:textId="77777777" w:rsidR="008D315A" w:rsidRPr="004177A1" w:rsidRDefault="008D315A" w:rsidP="00EB537D">
      <w:pPr>
        <w:spacing w:after="0"/>
        <w:jc w:val="both"/>
        <w:rPr>
          <w:rFonts w:ascii="Arial" w:hAnsi="Arial" w:cs="Arial"/>
          <w:b/>
          <w:bCs/>
          <w:sz w:val="20"/>
          <w:szCs w:val="20"/>
        </w:rPr>
      </w:pPr>
    </w:p>
    <w:p w14:paraId="048BB467" w14:textId="54CC919B" w:rsidR="008D315A" w:rsidRPr="004177A1" w:rsidRDefault="008D315A" w:rsidP="00EB537D">
      <w:pPr>
        <w:spacing w:after="0"/>
        <w:jc w:val="both"/>
        <w:rPr>
          <w:rFonts w:ascii="Arial" w:hAnsi="Arial" w:cs="Arial"/>
          <w:sz w:val="20"/>
          <w:szCs w:val="20"/>
        </w:rPr>
      </w:pPr>
      <w:r w:rsidRPr="004177A1">
        <w:rPr>
          <w:rFonts w:ascii="Arial" w:hAnsi="Arial" w:cs="Arial"/>
          <w:sz w:val="20"/>
          <w:szCs w:val="20"/>
        </w:rPr>
        <w:t xml:space="preserve">Earlier this year, </w:t>
      </w:r>
      <w:r w:rsidR="007B16D1" w:rsidRPr="004177A1">
        <w:rPr>
          <w:rFonts w:ascii="Arial" w:hAnsi="Arial" w:cs="Arial"/>
          <w:sz w:val="20"/>
          <w:szCs w:val="20"/>
        </w:rPr>
        <w:t>Hitachi Energy</w:t>
      </w:r>
      <w:r w:rsidRPr="004177A1">
        <w:rPr>
          <w:rFonts w:ascii="Arial" w:hAnsi="Arial" w:cs="Arial"/>
          <w:sz w:val="20"/>
          <w:szCs w:val="20"/>
        </w:rPr>
        <w:t xml:space="preserve"> supported Ofgem’s policy framework to support </w:t>
      </w:r>
      <w:r w:rsidR="007B16D1" w:rsidRPr="004177A1">
        <w:rPr>
          <w:rFonts w:ascii="Arial" w:hAnsi="Arial" w:cs="Arial"/>
          <w:sz w:val="20"/>
          <w:szCs w:val="20"/>
        </w:rPr>
        <w:t>NESO’s</w:t>
      </w:r>
      <w:r w:rsidRPr="004177A1">
        <w:rPr>
          <w:rFonts w:ascii="Arial" w:hAnsi="Arial" w:cs="Arial"/>
          <w:sz w:val="20"/>
          <w:szCs w:val="20"/>
        </w:rPr>
        <w:t xml:space="preserve"> development of the </w:t>
      </w:r>
      <w:proofErr w:type="spellStart"/>
      <w:r w:rsidRPr="004177A1">
        <w:rPr>
          <w:rFonts w:ascii="Arial" w:hAnsi="Arial" w:cs="Arial"/>
          <w:sz w:val="20"/>
          <w:szCs w:val="20"/>
        </w:rPr>
        <w:t>tRESP</w:t>
      </w:r>
      <w:proofErr w:type="spellEnd"/>
      <w:r w:rsidRPr="004177A1">
        <w:rPr>
          <w:rFonts w:ascii="Arial" w:hAnsi="Arial" w:cs="Arial"/>
          <w:sz w:val="20"/>
          <w:szCs w:val="20"/>
        </w:rPr>
        <w:t xml:space="preserve"> output in early 2026. By providing both a long-term regional vision, as well a series of short- and long-term directive pathways, the </w:t>
      </w:r>
      <w:proofErr w:type="spellStart"/>
      <w:r w:rsidRPr="004177A1">
        <w:rPr>
          <w:rFonts w:ascii="Arial" w:hAnsi="Arial" w:cs="Arial"/>
          <w:sz w:val="20"/>
          <w:szCs w:val="20"/>
        </w:rPr>
        <w:t>tRESP</w:t>
      </w:r>
      <w:proofErr w:type="spellEnd"/>
      <w:r w:rsidRPr="004177A1">
        <w:rPr>
          <w:rFonts w:ascii="Arial" w:hAnsi="Arial" w:cs="Arial"/>
          <w:sz w:val="20"/>
          <w:szCs w:val="20"/>
        </w:rPr>
        <w:t xml:space="preserve"> will help create a level playing field for DNOs’ business planning by inducing greater confidence and certainty amongst the DNOs.</w:t>
      </w:r>
    </w:p>
    <w:p w14:paraId="07213EAC" w14:textId="77777777" w:rsidR="008D315A" w:rsidRPr="004177A1" w:rsidRDefault="008D315A" w:rsidP="00EB537D">
      <w:pPr>
        <w:spacing w:after="0"/>
        <w:jc w:val="both"/>
        <w:rPr>
          <w:rFonts w:ascii="Arial" w:hAnsi="Arial" w:cs="Arial"/>
          <w:sz w:val="20"/>
          <w:szCs w:val="20"/>
        </w:rPr>
      </w:pPr>
    </w:p>
    <w:p w14:paraId="1E52E35C" w14:textId="6852F923" w:rsidR="00223033" w:rsidRDefault="009A62F9" w:rsidP="00EB537D">
      <w:pPr>
        <w:spacing w:after="0"/>
        <w:jc w:val="both"/>
        <w:rPr>
          <w:rFonts w:ascii="Arial" w:hAnsi="Arial" w:cs="Arial"/>
          <w:sz w:val="20"/>
          <w:szCs w:val="20"/>
        </w:rPr>
      </w:pPr>
      <w:r w:rsidRPr="004177A1">
        <w:rPr>
          <w:rFonts w:ascii="Arial" w:hAnsi="Arial" w:cs="Arial"/>
          <w:sz w:val="20"/>
          <w:szCs w:val="20"/>
        </w:rPr>
        <w:t xml:space="preserve">We note that Ofgem has proposed annual data </w:t>
      </w:r>
      <w:r w:rsidR="007B16D1" w:rsidRPr="004177A1">
        <w:rPr>
          <w:rFonts w:ascii="Arial" w:hAnsi="Arial" w:cs="Arial"/>
          <w:sz w:val="20"/>
          <w:szCs w:val="20"/>
        </w:rPr>
        <w:t>refreshes,</w:t>
      </w:r>
      <w:r w:rsidRPr="004177A1">
        <w:rPr>
          <w:rFonts w:ascii="Arial" w:hAnsi="Arial" w:cs="Arial"/>
          <w:sz w:val="20"/>
          <w:szCs w:val="20"/>
        </w:rPr>
        <w:t xml:space="preserve"> and a full RESP update every three years, in alignment with the planned Centralised Strategic Network Plan (CSNP). </w:t>
      </w:r>
      <w:r w:rsidR="00223033">
        <w:rPr>
          <w:rFonts w:ascii="Arial" w:hAnsi="Arial" w:cs="Arial"/>
          <w:sz w:val="20"/>
          <w:szCs w:val="20"/>
        </w:rPr>
        <w:t xml:space="preserve">However, business plans for both transmission and distribution, as well as price control periods, operate along a five-year cycle. Therefore, it is important that Ofgem considers the suitability of greater alignment between the different cycles. </w:t>
      </w:r>
    </w:p>
    <w:p w14:paraId="034B8975" w14:textId="77777777" w:rsidR="004B22E1" w:rsidRPr="004177A1" w:rsidRDefault="004B22E1" w:rsidP="00EB537D">
      <w:pPr>
        <w:spacing w:after="0"/>
        <w:jc w:val="both"/>
        <w:rPr>
          <w:rFonts w:ascii="Arial" w:hAnsi="Arial" w:cs="Arial"/>
          <w:b/>
          <w:bCs/>
          <w:sz w:val="20"/>
          <w:szCs w:val="20"/>
        </w:rPr>
      </w:pPr>
    </w:p>
    <w:p w14:paraId="009F16D0" w14:textId="2D41C1CE" w:rsidR="004B22E1" w:rsidRPr="004177A1" w:rsidRDefault="004B22E1" w:rsidP="00EB537D">
      <w:pPr>
        <w:spacing w:after="0"/>
        <w:jc w:val="both"/>
        <w:rPr>
          <w:rFonts w:ascii="Arial" w:hAnsi="Arial" w:cs="Arial"/>
          <w:b/>
          <w:bCs/>
          <w:sz w:val="20"/>
          <w:szCs w:val="20"/>
        </w:rPr>
      </w:pPr>
      <w:r w:rsidRPr="004177A1">
        <w:rPr>
          <w:rFonts w:ascii="Arial" w:hAnsi="Arial" w:cs="Arial"/>
          <w:b/>
          <w:bCs/>
          <w:sz w:val="20"/>
          <w:szCs w:val="20"/>
        </w:rPr>
        <w:t>Q18. Can anticipatory network reinforcement be used to smooth the long-term build profile to avoid creating pinch points for the supply chain and workforce? What are the risks and trade-offs</w:t>
      </w:r>
      <w:r w:rsidR="008C79D0" w:rsidRPr="004177A1">
        <w:rPr>
          <w:rFonts w:ascii="Arial" w:hAnsi="Arial" w:cs="Arial"/>
          <w:b/>
          <w:bCs/>
          <w:sz w:val="20"/>
          <w:szCs w:val="20"/>
        </w:rPr>
        <w:t>?</w:t>
      </w:r>
    </w:p>
    <w:p w14:paraId="6F281D78" w14:textId="77777777" w:rsidR="009A62F9" w:rsidRPr="004177A1" w:rsidRDefault="009A62F9" w:rsidP="00EB537D">
      <w:pPr>
        <w:spacing w:after="0"/>
        <w:jc w:val="both"/>
        <w:rPr>
          <w:rFonts w:ascii="Arial" w:hAnsi="Arial" w:cs="Arial"/>
          <w:b/>
          <w:bCs/>
          <w:sz w:val="20"/>
          <w:szCs w:val="20"/>
        </w:rPr>
      </w:pPr>
    </w:p>
    <w:p w14:paraId="125D5CE7" w14:textId="34BC29BE" w:rsidR="009A62F9" w:rsidRPr="004177A1" w:rsidRDefault="009A62F9" w:rsidP="00EB537D">
      <w:pPr>
        <w:spacing w:after="0"/>
        <w:jc w:val="both"/>
        <w:rPr>
          <w:rFonts w:ascii="Arial" w:hAnsi="Arial" w:cs="Arial"/>
          <w:sz w:val="20"/>
          <w:szCs w:val="20"/>
        </w:rPr>
      </w:pPr>
      <w:r w:rsidRPr="004177A1">
        <w:rPr>
          <w:rFonts w:ascii="Arial" w:hAnsi="Arial" w:cs="Arial"/>
          <w:sz w:val="20"/>
          <w:szCs w:val="20"/>
        </w:rPr>
        <w:t xml:space="preserve">We support Ofgem’s belief that there is greater scope for more strategic and anticipatory investment in electricity distribution networks during the ED3 period, despite DNOs tendency to avoid these types of investments previously. </w:t>
      </w:r>
    </w:p>
    <w:p w14:paraId="04160E32" w14:textId="77777777" w:rsidR="009A62F9" w:rsidRPr="004177A1" w:rsidRDefault="009A62F9" w:rsidP="00EB537D">
      <w:pPr>
        <w:spacing w:after="0"/>
        <w:jc w:val="both"/>
        <w:rPr>
          <w:rFonts w:ascii="Arial" w:hAnsi="Arial" w:cs="Arial"/>
          <w:sz w:val="20"/>
          <w:szCs w:val="20"/>
        </w:rPr>
      </w:pPr>
    </w:p>
    <w:p w14:paraId="3EA8780D" w14:textId="77777777" w:rsidR="00542CD9" w:rsidRPr="004177A1" w:rsidRDefault="00542CD9" w:rsidP="00EB537D">
      <w:pPr>
        <w:spacing w:after="0"/>
        <w:jc w:val="both"/>
        <w:rPr>
          <w:rFonts w:ascii="Arial" w:hAnsi="Arial" w:cs="Arial"/>
          <w:sz w:val="20"/>
          <w:szCs w:val="20"/>
          <w:lang w:val="en-GB"/>
        </w:rPr>
      </w:pPr>
      <w:r w:rsidRPr="004177A1">
        <w:rPr>
          <w:rFonts w:ascii="Arial" w:hAnsi="Arial" w:cs="Arial"/>
          <w:sz w:val="20"/>
          <w:szCs w:val="20"/>
          <w:lang w:val="en-GB"/>
        </w:rPr>
        <w:t xml:space="preserve">However, a significant barrier to more strategic and anticipatory investment is the lack of clarity on the future project pipeline and continuity of this pipeline. This issue is common across the electricity distribution sector </w:t>
      </w:r>
      <w:r w:rsidRPr="004177A1">
        <w:rPr>
          <w:rFonts w:ascii="Arial" w:hAnsi="Arial" w:cs="Arial"/>
          <w:sz w:val="20"/>
          <w:szCs w:val="20"/>
          <w:lang w:val="en-GB"/>
        </w:rPr>
        <w:lastRenderedPageBreak/>
        <w:t>and can lead to uncertainty, often referred to as "boom and bust" cycles. A more strategic and anticipatory approach towards investment can be achieved by ensuring that there is a steady and visible pipeline of electricity distribution network projects.</w:t>
      </w:r>
    </w:p>
    <w:p w14:paraId="3C0C0750" w14:textId="77777777" w:rsidR="00F037AC" w:rsidRPr="004177A1" w:rsidRDefault="00F037AC" w:rsidP="00EB537D">
      <w:pPr>
        <w:spacing w:after="0"/>
        <w:jc w:val="both"/>
        <w:rPr>
          <w:rFonts w:ascii="Arial" w:hAnsi="Arial" w:cs="Arial"/>
          <w:sz w:val="20"/>
          <w:szCs w:val="20"/>
          <w:lang w:val="en-GB"/>
        </w:rPr>
      </w:pPr>
    </w:p>
    <w:p w14:paraId="5E8825D9" w14:textId="07F925D1" w:rsidR="009A62F9" w:rsidRPr="004177A1" w:rsidRDefault="00542CD9" w:rsidP="00EB537D">
      <w:pPr>
        <w:spacing w:after="0"/>
        <w:jc w:val="both"/>
        <w:rPr>
          <w:rFonts w:ascii="Arial" w:hAnsi="Arial" w:cs="Arial"/>
          <w:sz w:val="20"/>
          <w:szCs w:val="20"/>
          <w:lang w:val="en-GB"/>
        </w:rPr>
      </w:pPr>
      <w:r w:rsidRPr="004177A1">
        <w:rPr>
          <w:rFonts w:ascii="Arial" w:hAnsi="Arial" w:cs="Arial"/>
          <w:sz w:val="20"/>
          <w:szCs w:val="20"/>
          <w:lang w:val="en-GB"/>
        </w:rPr>
        <w:t xml:space="preserve">We believe that this approach will help smooth the </w:t>
      </w:r>
      <w:r w:rsidR="0047711E" w:rsidRPr="004177A1">
        <w:rPr>
          <w:rFonts w:ascii="Arial" w:hAnsi="Arial" w:cs="Arial"/>
          <w:sz w:val="20"/>
          <w:szCs w:val="20"/>
          <w:lang w:val="en-GB"/>
        </w:rPr>
        <w:t xml:space="preserve">UK’s </w:t>
      </w:r>
      <w:r w:rsidRPr="004177A1">
        <w:rPr>
          <w:rFonts w:ascii="Arial" w:hAnsi="Arial" w:cs="Arial"/>
          <w:sz w:val="20"/>
          <w:szCs w:val="20"/>
          <w:lang w:val="en-GB"/>
        </w:rPr>
        <w:t>long-term build profile to avoid creating pinch points for the supply chain and workforce. This is because it will boost the UK’s attractiveness to global investors and supply chains by allowing them and the DNOs to plan effectively for the future, as well as to support the sourcing of materials and human resource to meet</w:t>
      </w:r>
      <w:r w:rsidR="0047711E" w:rsidRPr="004177A1">
        <w:rPr>
          <w:rFonts w:ascii="Arial" w:hAnsi="Arial" w:cs="Arial"/>
          <w:sz w:val="20"/>
          <w:szCs w:val="20"/>
          <w:lang w:val="en-GB"/>
        </w:rPr>
        <w:t xml:space="preserve"> project</w:t>
      </w:r>
      <w:r w:rsidRPr="004177A1">
        <w:rPr>
          <w:rFonts w:ascii="Arial" w:hAnsi="Arial" w:cs="Arial"/>
          <w:sz w:val="20"/>
          <w:szCs w:val="20"/>
          <w:lang w:val="en-GB"/>
        </w:rPr>
        <w:t xml:space="preserve"> timelines.</w:t>
      </w:r>
    </w:p>
    <w:p w14:paraId="571EFBBA" w14:textId="77777777" w:rsidR="004B22E1" w:rsidRPr="004177A1" w:rsidRDefault="004B22E1" w:rsidP="00EB537D">
      <w:pPr>
        <w:spacing w:after="0"/>
        <w:jc w:val="both"/>
        <w:rPr>
          <w:rFonts w:ascii="Arial" w:hAnsi="Arial" w:cs="Arial"/>
          <w:b/>
          <w:bCs/>
          <w:sz w:val="20"/>
          <w:szCs w:val="20"/>
        </w:rPr>
      </w:pPr>
    </w:p>
    <w:p w14:paraId="234AA5DC" w14:textId="77777777"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Q19. Do you agree that investment optioneering should aim to reduce the lifetime costs by sizing elements of works for long-term need, including considering the impact of thermal losses?</w:t>
      </w:r>
    </w:p>
    <w:p w14:paraId="15716138" w14:textId="77777777" w:rsidR="00223033" w:rsidRDefault="00223033" w:rsidP="00EB537D">
      <w:pPr>
        <w:spacing w:after="0"/>
        <w:jc w:val="both"/>
        <w:rPr>
          <w:rFonts w:ascii="Arial" w:hAnsi="Arial" w:cs="Arial"/>
          <w:b/>
          <w:bCs/>
          <w:sz w:val="20"/>
          <w:szCs w:val="20"/>
        </w:rPr>
      </w:pPr>
    </w:p>
    <w:p w14:paraId="012EBC6F" w14:textId="5861AAFD" w:rsidR="00223033" w:rsidRPr="00223033" w:rsidRDefault="00223033" w:rsidP="00EB537D">
      <w:pPr>
        <w:spacing w:after="0"/>
        <w:jc w:val="both"/>
        <w:rPr>
          <w:rFonts w:ascii="Arial" w:hAnsi="Arial" w:cs="Arial"/>
          <w:sz w:val="20"/>
          <w:szCs w:val="20"/>
        </w:rPr>
      </w:pPr>
      <w:r>
        <w:rPr>
          <w:rFonts w:ascii="Arial" w:hAnsi="Arial" w:cs="Arial"/>
          <w:sz w:val="20"/>
          <w:szCs w:val="20"/>
        </w:rPr>
        <w:t xml:space="preserve">We agree that investment optioneering should aim to reduce the lifetime costs by sizing elements of works for long-term need. This is because it would be inefficient to have to frequently revisit sections of the distribution network to upgrade them. </w:t>
      </w:r>
    </w:p>
    <w:p w14:paraId="2EDAE2B8" w14:textId="77777777" w:rsidR="004B22E1" w:rsidRPr="004177A1" w:rsidRDefault="004B22E1" w:rsidP="00EB537D">
      <w:pPr>
        <w:spacing w:after="0"/>
        <w:jc w:val="both"/>
        <w:rPr>
          <w:rFonts w:ascii="Arial" w:hAnsi="Arial" w:cs="Arial"/>
          <w:b/>
          <w:bCs/>
          <w:sz w:val="20"/>
          <w:szCs w:val="20"/>
        </w:rPr>
      </w:pPr>
    </w:p>
    <w:p w14:paraId="548694B5" w14:textId="77777777"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Q20. Is a 5-year price control (2028-33) the right duration to achieve the objective of securing timely network capacity for the net zero transition at least cost to consumers over the long run?</w:t>
      </w:r>
    </w:p>
    <w:p w14:paraId="5B35A2FD" w14:textId="77777777" w:rsidR="00223033" w:rsidRDefault="00223033" w:rsidP="00EB537D">
      <w:pPr>
        <w:spacing w:after="0"/>
        <w:jc w:val="both"/>
        <w:rPr>
          <w:rFonts w:ascii="Arial" w:hAnsi="Arial" w:cs="Arial"/>
          <w:b/>
          <w:bCs/>
          <w:sz w:val="20"/>
          <w:szCs w:val="20"/>
        </w:rPr>
      </w:pPr>
    </w:p>
    <w:p w14:paraId="1C0000DE" w14:textId="405D9666" w:rsidR="00223033" w:rsidRDefault="00223033" w:rsidP="00EB537D">
      <w:pPr>
        <w:spacing w:after="0"/>
        <w:jc w:val="both"/>
        <w:rPr>
          <w:rFonts w:ascii="Arial" w:hAnsi="Arial" w:cs="Arial"/>
          <w:sz w:val="20"/>
          <w:szCs w:val="20"/>
        </w:rPr>
      </w:pPr>
      <w:r>
        <w:rPr>
          <w:rFonts w:ascii="Arial" w:hAnsi="Arial" w:cs="Arial"/>
          <w:sz w:val="20"/>
          <w:szCs w:val="20"/>
        </w:rPr>
        <w:t>We believe that it is important that price control periods do not have a slow start or early finish to the</w:t>
      </w:r>
      <w:r w:rsidR="009F4AEA">
        <w:rPr>
          <w:rFonts w:ascii="Arial" w:hAnsi="Arial" w:cs="Arial"/>
          <w:sz w:val="20"/>
          <w:szCs w:val="20"/>
        </w:rPr>
        <w:t xml:space="preserve">ir </w:t>
      </w:r>
      <w:r>
        <w:rPr>
          <w:rFonts w:ascii="Arial" w:hAnsi="Arial" w:cs="Arial"/>
          <w:sz w:val="20"/>
          <w:szCs w:val="20"/>
        </w:rPr>
        <w:t>workload</w:t>
      </w:r>
      <w:r w:rsidR="009F4AEA">
        <w:rPr>
          <w:rFonts w:ascii="Arial" w:hAnsi="Arial" w:cs="Arial"/>
          <w:sz w:val="20"/>
          <w:szCs w:val="20"/>
        </w:rPr>
        <w:t xml:space="preserve">s. </w:t>
      </w:r>
      <w:r>
        <w:rPr>
          <w:rFonts w:ascii="Arial" w:hAnsi="Arial" w:cs="Arial"/>
          <w:sz w:val="20"/>
          <w:szCs w:val="20"/>
        </w:rPr>
        <w:t>Rather, we need a smooth</w:t>
      </w:r>
      <w:r w:rsidR="009F4AEA">
        <w:rPr>
          <w:rFonts w:ascii="Arial" w:hAnsi="Arial" w:cs="Arial"/>
          <w:sz w:val="20"/>
          <w:szCs w:val="20"/>
        </w:rPr>
        <w:t xml:space="preserve"> build</w:t>
      </w:r>
      <w:r>
        <w:rPr>
          <w:rFonts w:ascii="Arial" w:hAnsi="Arial" w:cs="Arial"/>
          <w:sz w:val="20"/>
          <w:szCs w:val="20"/>
        </w:rPr>
        <w:t xml:space="preserve"> profile across the longer term to support supply chain and investor confidence. A smooth profile will increase efficiency, boost deliverability, and lower costs throughout the supply chain. </w:t>
      </w:r>
    </w:p>
    <w:p w14:paraId="7E666C65" w14:textId="77777777" w:rsidR="00223033" w:rsidRDefault="00223033" w:rsidP="00EB537D">
      <w:pPr>
        <w:spacing w:after="0"/>
        <w:jc w:val="both"/>
        <w:rPr>
          <w:rFonts w:ascii="Arial" w:hAnsi="Arial" w:cs="Arial"/>
          <w:sz w:val="20"/>
          <w:szCs w:val="20"/>
        </w:rPr>
      </w:pPr>
    </w:p>
    <w:p w14:paraId="0FB47EDF" w14:textId="22FCF82C" w:rsidR="00223033" w:rsidRPr="00223033" w:rsidRDefault="00223033" w:rsidP="00EB537D">
      <w:pPr>
        <w:spacing w:after="0"/>
        <w:jc w:val="both"/>
        <w:rPr>
          <w:rFonts w:ascii="Arial" w:hAnsi="Arial" w:cs="Arial"/>
          <w:sz w:val="20"/>
          <w:szCs w:val="20"/>
        </w:rPr>
      </w:pPr>
      <w:r>
        <w:rPr>
          <w:rFonts w:ascii="Arial" w:hAnsi="Arial" w:cs="Arial"/>
          <w:sz w:val="20"/>
          <w:szCs w:val="20"/>
        </w:rPr>
        <w:t>As mentioned in our response to Question 17, it is important that Ofgem considers the suitability of the different cycles</w:t>
      </w:r>
      <w:r w:rsidR="009F4AEA">
        <w:rPr>
          <w:rFonts w:ascii="Arial" w:hAnsi="Arial" w:cs="Arial"/>
          <w:sz w:val="20"/>
          <w:szCs w:val="20"/>
        </w:rPr>
        <w:t xml:space="preserve">, including </w:t>
      </w:r>
      <w:r>
        <w:rPr>
          <w:rFonts w:ascii="Arial" w:hAnsi="Arial" w:cs="Arial"/>
          <w:sz w:val="20"/>
          <w:szCs w:val="20"/>
        </w:rPr>
        <w:t xml:space="preserve">the price control periods and associated business plans, </w:t>
      </w:r>
      <w:r w:rsidR="009F4AEA">
        <w:rPr>
          <w:rFonts w:ascii="Arial" w:hAnsi="Arial" w:cs="Arial"/>
          <w:sz w:val="20"/>
          <w:szCs w:val="20"/>
        </w:rPr>
        <w:t>as well as the</w:t>
      </w:r>
      <w:r>
        <w:rPr>
          <w:rFonts w:ascii="Arial" w:hAnsi="Arial" w:cs="Arial"/>
          <w:sz w:val="20"/>
          <w:szCs w:val="20"/>
        </w:rPr>
        <w:t xml:space="preserve"> strategic outputs such as the RESP, Centralised Strategic Network Plan (CSNP), and Strategic Spatial Energy Plan (SSEP). </w:t>
      </w:r>
    </w:p>
    <w:p w14:paraId="0C9E811E" w14:textId="77777777" w:rsidR="004B22E1" w:rsidRPr="004177A1" w:rsidRDefault="004B22E1" w:rsidP="00EB537D">
      <w:pPr>
        <w:spacing w:after="0"/>
        <w:jc w:val="both"/>
        <w:rPr>
          <w:rFonts w:ascii="Arial" w:hAnsi="Arial" w:cs="Arial"/>
          <w:b/>
          <w:bCs/>
          <w:sz w:val="20"/>
          <w:szCs w:val="20"/>
        </w:rPr>
      </w:pPr>
    </w:p>
    <w:p w14:paraId="756F4C01" w14:textId="77777777"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Q21. To what extent should the price control be more directive on specific anticipatory and strategic investments to achieve the ‘networks for net zero’ consumer outcome?</w:t>
      </w:r>
    </w:p>
    <w:p w14:paraId="7339E593" w14:textId="77777777" w:rsidR="00236165" w:rsidRDefault="00236165" w:rsidP="00EB537D">
      <w:pPr>
        <w:spacing w:after="0"/>
        <w:jc w:val="both"/>
        <w:rPr>
          <w:rFonts w:ascii="Arial" w:hAnsi="Arial" w:cs="Arial"/>
          <w:b/>
          <w:bCs/>
          <w:sz w:val="20"/>
          <w:szCs w:val="20"/>
        </w:rPr>
      </w:pPr>
    </w:p>
    <w:p w14:paraId="3C78B7F4" w14:textId="71B1942D" w:rsidR="00236165" w:rsidRPr="00236165" w:rsidRDefault="00236165" w:rsidP="00EB537D">
      <w:pPr>
        <w:spacing w:after="0"/>
        <w:jc w:val="both"/>
        <w:rPr>
          <w:rFonts w:ascii="Arial" w:hAnsi="Arial" w:cs="Arial"/>
          <w:sz w:val="20"/>
          <w:szCs w:val="20"/>
        </w:rPr>
      </w:pPr>
      <w:r>
        <w:rPr>
          <w:rFonts w:ascii="Arial" w:hAnsi="Arial" w:cs="Arial"/>
          <w:sz w:val="20"/>
          <w:szCs w:val="20"/>
        </w:rPr>
        <w:t>The price control should be more directive on digitalisation. This is because DNOs need to be more consistent with the data that they are providing for flexibility services. As it is an area of the distribution network that requires significant transformation, digitalisation needs to be done in a</w:t>
      </w:r>
      <w:r w:rsidR="003508EB">
        <w:rPr>
          <w:rFonts w:ascii="Arial" w:hAnsi="Arial" w:cs="Arial"/>
          <w:sz w:val="20"/>
          <w:szCs w:val="20"/>
        </w:rPr>
        <w:t xml:space="preserve"> more</w:t>
      </w:r>
      <w:r>
        <w:rPr>
          <w:rFonts w:ascii="Arial" w:hAnsi="Arial" w:cs="Arial"/>
          <w:sz w:val="20"/>
          <w:szCs w:val="20"/>
        </w:rPr>
        <w:t xml:space="preserve"> consistent manner. </w:t>
      </w:r>
    </w:p>
    <w:p w14:paraId="72B08D03" w14:textId="77777777" w:rsidR="004B22E1" w:rsidRPr="004177A1" w:rsidRDefault="004B22E1" w:rsidP="00EB537D">
      <w:pPr>
        <w:spacing w:after="0"/>
        <w:jc w:val="both"/>
        <w:rPr>
          <w:rFonts w:ascii="Arial" w:hAnsi="Arial" w:cs="Arial"/>
          <w:b/>
          <w:bCs/>
          <w:sz w:val="20"/>
          <w:szCs w:val="20"/>
        </w:rPr>
      </w:pPr>
    </w:p>
    <w:p w14:paraId="1138B291" w14:textId="77777777"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Q22. Do you agree with our characterisation of strategic and anticipatory investment and our expectation that these activities would have different regulatory drivers and controls?</w:t>
      </w:r>
    </w:p>
    <w:p w14:paraId="15429D24" w14:textId="77777777" w:rsidR="00236165" w:rsidRDefault="00236165" w:rsidP="00EB537D">
      <w:pPr>
        <w:spacing w:after="0"/>
        <w:jc w:val="both"/>
        <w:rPr>
          <w:rFonts w:ascii="Arial" w:hAnsi="Arial" w:cs="Arial"/>
          <w:b/>
          <w:bCs/>
          <w:sz w:val="20"/>
          <w:szCs w:val="20"/>
        </w:rPr>
      </w:pPr>
    </w:p>
    <w:p w14:paraId="212DA543" w14:textId="5DC96AE0" w:rsidR="00236165" w:rsidRPr="00236165" w:rsidRDefault="00D254AC" w:rsidP="00EB537D">
      <w:pPr>
        <w:spacing w:after="0"/>
        <w:jc w:val="both"/>
        <w:rPr>
          <w:rFonts w:ascii="Arial" w:hAnsi="Arial" w:cs="Arial"/>
          <w:sz w:val="20"/>
          <w:szCs w:val="20"/>
        </w:rPr>
      </w:pPr>
      <w:r>
        <w:rPr>
          <w:rFonts w:ascii="Arial" w:hAnsi="Arial" w:cs="Arial"/>
          <w:sz w:val="20"/>
          <w:szCs w:val="20"/>
        </w:rPr>
        <w:t xml:space="preserve">We agree with Ofgem’s characterisation of strategic and anticipatory investment and its </w:t>
      </w:r>
      <w:r w:rsidRPr="00D254AC">
        <w:rPr>
          <w:rFonts w:ascii="Arial" w:hAnsi="Arial" w:cs="Arial"/>
          <w:sz w:val="20"/>
          <w:szCs w:val="20"/>
        </w:rPr>
        <w:t>expectation that these activities would have different regulatory drivers and controls</w:t>
      </w:r>
      <w:r>
        <w:rPr>
          <w:rFonts w:ascii="Arial" w:hAnsi="Arial" w:cs="Arial"/>
          <w:sz w:val="20"/>
          <w:szCs w:val="20"/>
        </w:rPr>
        <w:t xml:space="preserve">. This is because we recognise that strategic and anticipatory investment will become a much more significant part of investment plans. Having defined relevant projects, the price control should ensure effective and timely delivery of these projects. </w:t>
      </w:r>
    </w:p>
    <w:p w14:paraId="42FE7485" w14:textId="77777777" w:rsidR="004B22E1" w:rsidRPr="004177A1" w:rsidRDefault="004B22E1" w:rsidP="00EB537D">
      <w:pPr>
        <w:spacing w:after="0"/>
        <w:jc w:val="both"/>
        <w:rPr>
          <w:rFonts w:ascii="Arial" w:hAnsi="Arial" w:cs="Arial"/>
          <w:b/>
          <w:bCs/>
          <w:sz w:val="20"/>
          <w:szCs w:val="20"/>
        </w:rPr>
      </w:pPr>
    </w:p>
    <w:p w14:paraId="64F0E079" w14:textId="6CFB0322"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t xml:space="preserve">Q23. Should the price control provide more guidance or guardrails around the use of </w:t>
      </w:r>
      <w:proofErr w:type="gramStart"/>
      <w:r w:rsidRPr="004177A1">
        <w:rPr>
          <w:rFonts w:ascii="Arial" w:hAnsi="Arial" w:cs="Arial"/>
          <w:b/>
          <w:bCs/>
          <w:sz w:val="20"/>
          <w:szCs w:val="20"/>
        </w:rPr>
        <w:t>particular network</w:t>
      </w:r>
      <w:proofErr w:type="gramEnd"/>
      <w:r w:rsidRPr="004177A1">
        <w:rPr>
          <w:rFonts w:ascii="Arial" w:hAnsi="Arial" w:cs="Arial"/>
          <w:b/>
          <w:bCs/>
          <w:sz w:val="20"/>
          <w:szCs w:val="20"/>
        </w:rPr>
        <w:t xml:space="preserve"> solutions to achieve the ‘networks for net zero’ consumer outcome</w:t>
      </w:r>
      <w:r w:rsidR="002F15E9">
        <w:rPr>
          <w:rFonts w:ascii="Arial" w:hAnsi="Arial" w:cs="Arial"/>
          <w:b/>
          <w:bCs/>
          <w:sz w:val="20"/>
          <w:szCs w:val="20"/>
        </w:rPr>
        <w:t>?</w:t>
      </w:r>
    </w:p>
    <w:p w14:paraId="75D39D58" w14:textId="77777777" w:rsidR="00236165" w:rsidRDefault="00236165" w:rsidP="00EB537D">
      <w:pPr>
        <w:spacing w:after="0"/>
        <w:jc w:val="both"/>
        <w:rPr>
          <w:rFonts w:ascii="Arial" w:hAnsi="Arial" w:cs="Arial"/>
          <w:b/>
          <w:bCs/>
          <w:sz w:val="20"/>
          <w:szCs w:val="20"/>
        </w:rPr>
      </w:pPr>
    </w:p>
    <w:p w14:paraId="223E1BC3" w14:textId="5AFD883A" w:rsidR="002F15E9" w:rsidRPr="00665B66" w:rsidRDefault="00665B66" w:rsidP="00EB537D">
      <w:pPr>
        <w:spacing w:after="0"/>
        <w:jc w:val="both"/>
        <w:rPr>
          <w:rFonts w:ascii="Arial" w:hAnsi="Arial" w:cs="Arial"/>
          <w:sz w:val="20"/>
          <w:szCs w:val="20"/>
        </w:rPr>
      </w:pPr>
      <w:r w:rsidRPr="006E05DF">
        <w:rPr>
          <w:rFonts w:ascii="Arial" w:hAnsi="Arial" w:cs="Arial"/>
          <w:sz w:val="20"/>
          <w:szCs w:val="20"/>
        </w:rPr>
        <w:t xml:space="preserve">As the scale of the transformation of the network is an emerging area, it could be useful </w:t>
      </w:r>
      <w:r w:rsidR="006E05DF" w:rsidRPr="006E05DF">
        <w:rPr>
          <w:rFonts w:ascii="Arial" w:hAnsi="Arial" w:cs="Arial"/>
          <w:sz w:val="20"/>
          <w:szCs w:val="20"/>
        </w:rPr>
        <w:t>for the price control to</w:t>
      </w:r>
      <w:r w:rsidRPr="006E05DF">
        <w:rPr>
          <w:rFonts w:ascii="Arial" w:hAnsi="Arial" w:cs="Arial"/>
          <w:sz w:val="20"/>
          <w:szCs w:val="20"/>
        </w:rPr>
        <w:t xml:space="preserve"> provide more guidance. </w:t>
      </w:r>
      <w:r w:rsidR="00927BC7">
        <w:rPr>
          <w:rFonts w:ascii="Arial" w:hAnsi="Arial" w:cs="Arial"/>
          <w:sz w:val="20"/>
          <w:szCs w:val="20"/>
        </w:rPr>
        <w:t>D</w:t>
      </w:r>
      <w:r w:rsidRPr="006E05DF">
        <w:rPr>
          <w:rFonts w:ascii="Arial" w:hAnsi="Arial" w:cs="Arial"/>
          <w:sz w:val="20"/>
          <w:szCs w:val="20"/>
        </w:rPr>
        <w:t xml:space="preserve">igitalisation is a key area where more guidance is needed, as </w:t>
      </w:r>
      <w:r w:rsidR="006E05DF" w:rsidRPr="006E05DF">
        <w:rPr>
          <w:rFonts w:ascii="Arial" w:hAnsi="Arial" w:cs="Arial"/>
          <w:sz w:val="20"/>
          <w:szCs w:val="20"/>
        </w:rPr>
        <w:t>discussed in our response to Question 21.</w:t>
      </w:r>
    </w:p>
    <w:p w14:paraId="4667C4AF" w14:textId="77777777" w:rsidR="004B22E1" w:rsidRPr="004177A1" w:rsidRDefault="004B22E1" w:rsidP="00EB537D">
      <w:pPr>
        <w:spacing w:after="0"/>
        <w:jc w:val="both"/>
        <w:rPr>
          <w:rFonts w:ascii="Arial" w:hAnsi="Arial" w:cs="Arial"/>
          <w:b/>
          <w:bCs/>
          <w:sz w:val="20"/>
          <w:szCs w:val="20"/>
        </w:rPr>
      </w:pPr>
    </w:p>
    <w:p w14:paraId="344037A3" w14:textId="2C893501" w:rsidR="004B22E1" w:rsidRDefault="004B22E1" w:rsidP="00EB537D">
      <w:pPr>
        <w:spacing w:after="0"/>
        <w:jc w:val="both"/>
        <w:rPr>
          <w:rFonts w:ascii="Arial" w:hAnsi="Arial" w:cs="Arial"/>
          <w:b/>
          <w:bCs/>
          <w:sz w:val="20"/>
          <w:szCs w:val="20"/>
        </w:rPr>
      </w:pPr>
      <w:r w:rsidRPr="004177A1">
        <w:rPr>
          <w:rFonts w:ascii="Arial" w:hAnsi="Arial" w:cs="Arial"/>
          <w:b/>
          <w:bCs/>
          <w:sz w:val="20"/>
          <w:szCs w:val="20"/>
        </w:rPr>
        <w:lastRenderedPageBreak/>
        <w:t>Q24. Should we consider how we might bring all network capex investment together within the framework, irrespective of driver (</w:t>
      </w:r>
      <w:proofErr w:type="spellStart"/>
      <w:r w:rsidRPr="004177A1">
        <w:rPr>
          <w:rFonts w:ascii="Arial" w:hAnsi="Arial" w:cs="Arial"/>
          <w:b/>
          <w:bCs/>
          <w:sz w:val="20"/>
          <w:szCs w:val="20"/>
        </w:rPr>
        <w:t>eg</w:t>
      </w:r>
      <w:r w:rsidR="00F037AC" w:rsidRPr="004177A1">
        <w:rPr>
          <w:rFonts w:ascii="Arial" w:hAnsi="Arial" w:cs="Arial"/>
          <w:b/>
          <w:bCs/>
          <w:sz w:val="20"/>
          <w:szCs w:val="20"/>
        </w:rPr>
        <w:t>.</w:t>
      </w:r>
      <w:proofErr w:type="spellEnd"/>
      <w:r w:rsidRPr="004177A1">
        <w:rPr>
          <w:rFonts w:ascii="Arial" w:hAnsi="Arial" w:cs="Arial"/>
          <w:b/>
          <w:bCs/>
          <w:sz w:val="20"/>
          <w:szCs w:val="20"/>
        </w:rPr>
        <w:t xml:space="preserve"> load, asset health, resilience), to ensure a common approach to future proofing and delivery?</w:t>
      </w:r>
    </w:p>
    <w:p w14:paraId="64F3B945" w14:textId="77777777" w:rsidR="006E05DF" w:rsidRDefault="006E05DF" w:rsidP="00EB537D">
      <w:pPr>
        <w:spacing w:after="0"/>
        <w:jc w:val="both"/>
        <w:rPr>
          <w:rFonts w:ascii="Arial" w:hAnsi="Arial" w:cs="Arial"/>
          <w:b/>
          <w:bCs/>
          <w:sz w:val="20"/>
          <w:szCs w:val="20"/>
        </w:rPr>
      </w:pPr>
    </w:p>
    <w:p w14:paraId="1F09174F" w14:textId="4B5FF84E" w:rsidR="006E05DF" w:rsidRPr="006E05DF" w:rsidRDefault="009E18EB" w:rsidP="00EB537D">
      <w:pPr>
        <w:spacing w:after="0"/>
        <w:jc w:val="both"/>
        <w:rPr>
          <w:rFonts w:ascii="Arial" w:hAnsi="Arial" w:cs="Arial"/>
          <w:sz w:val="20"/>
          <w:szCs w:val="20"/>
        </w:rPr>
      </w:pPr>
      <w:r>
        <w:rPr>
          <w:rFonts w:ascii="Arial" w:hAnsi="Arial" w:cs="Arial"/>
          <w:sz w:val="20"/>
          <w:szCs w:val="20"/>
        </w:rPr>
        <w:t>We believe</w:t>
      </w:r>
      <w:r w:rsidR="00136768">
        <w:rPr>
          <w:rFonts w:ascii="Arial" w:hAnsi="Arial" w:cs="Arial"/>
          <w:sz w:val="20"/>
          <w:szCs w:val="20"/>
        </w:rPr>
        <w:t xml:space="preserve"> that</w:t>
      </w:r>
      <w:r>
        <w:rPr>
          <w:rFonts w:ascii="Arial" w:hAnsi="Arial" w:cs="Arial"/>
          <w:sz w:val="20"/>
          <w:szCs w:val="20"/>
        </w:rPr>
        <w:t xml:space="preserve"> Ofgem should consider how it </w:t>
      </w:r>
      <w:r w:rsidRPr="009E18EB">
        <w:rPr>
          <w:rFonts w:ascii="Arial" w:hAnsi="Arial" w:cs="Arial"/>
          <w:sz w:val="20"/>
          <w:szCs w:val="20"/>
        </w:rPr>
        <w:t>might bring all network capex investment together within the framework</w:t>
      </w:r>
      <w:r>
        <w:rPr>
          <w:rFonts w:ascii="Arial" w:hAnsi="Arial" w:cs="Arial"/>
          <w:sz w:val="20"/>
          <w:szCs w:val="20"/>
        </w:rPr>
        <w:t xml:space="preserve">. This is </w:t>
      </w:r>
      <w:r w:rsidR="008057C3">
        <w:rPr>
          <w:rFonts w:ascii="Arial" w:hAnsi="Arial" w:cs="Arial"/>
          <w:sz w:val="20"/>
          <w:szCs w:val="20"/>
        </w:rPr>
        <w:t>to</w:t>
      </w:r>
      <w:r>
        <w:rPr>
          <w:rFonts w:ascii="Arial" w:hAnsi="Arial" w:cs="Arial"/>
          <w:sz w:val="20"/>
          <w:szCs w:val="20"/>
        </w:rPr>
        <w:t xml:space="preserve"> ensure </w:t>
      </w:r>
      <w:r w:rsidR="00136768">
        <w:rPr>
          <w:rFonts w:ascii="Arial" w:hAnsi="Arial" w:cs="Arial"/>
          <w:sz w:val="20"/>
          <w:szCs w:val="20"/>
        </w:rPr>
        <w:t>consistency</w:t>
      </w:r>
      <w:r>
        <w:rPr>
          <w:rFonts w:ascii="Arial" w:hAnsi="Arial" w:cs="Arial"/>
          <w:sz w:val="20"/>
          <w:szCs w:val="20"/>
        </w:rPr>
        <w:t xml:space="preserve"> </w:t>
      </w:r>
      <w:r w:rsidR="00136768">
        <w:rPr>
          <w:rFonts w:ascii="Arial" w:hAnsi="Arial" w:cs="Arial"/>
          <w:sz w:val="20"/>
          <w:szCs w:val="20"/>
        </w:rPr>
        <w:t>when it comes to</w:t>
      </w:r>
      <w:r>
        <w:rPr>
          <w:rFonts w:ascii="Arial" w:hAnsi="Arial" w:cs="Arial"/>
          <w:sz w:val="20"/>
          <w:szCs w:val="20"/>
        </w:rPr>
        <w:t xml:space="preserve"> the approach taken towards all network developments.</w:t>
      </w:r>
    </w:p>
    <w:p w14:paraId="0317B6D5" w14:textId="77777777" w:rsidR="0003414D" w:rsidRPr="004177A1" w:rsidRDefault="0003414D" w:rsidP="00991561">
      <w:pPr>
        <w:spacing w:after="0"/>
        <w:jc w:val="both"/>
        <w:rPr>
          <w:rFonts w:ascii="Arial" w:hAnsi="Arial" w:cs="Arial"/>
          <w:b/>
          <w:bCs/>
          <w:i/>
          <w:iCs/>
          <w:sz w:val="20"/>
          <w:szCs w:val="20"/>
          <w:lang w:val="en-GB"/>
        </w:rPr>
      </w:pPr>
    </w:p>
    <w:p w14:paraId="297FFEE4" w14:textId="3077E84E" w:rsidR="00991561" w:rsidRPr="004177A1" w:rsidRDefault="00E70BD4" w:rsidP="00991561">
      <w:pPr>
        <w:spacing w:after="0"/>
        <w:jc w:val="both"/>
        <w:rPr>
          <w:rFonts w:ascii="Arial" w:hAnsi="Arial" w:cs="Arial"/>
          <w:b/>
          <w:bCs/>
          <w:i/>
          <w:iCs/>
          <w:sz w:val="20"/>
          <w:szCs w:val="20"/>
          <w:lang w:val="en-GB"/>
        </w:rPr>
      </w:pPr>
      <w:r w:rsidRPr="004177A1">
        <w:rPr>
          <w:rFonts w:ascii="Arial" w:hAnsi="Arial" w:cs="Arial"/>
          <w:b/>
          <w:bCs/>
          <w:i/>
          <w:iCs/>
          <w:sz w:val="20"/>
          <w:szCs w:val="20"/>
          <w:lang w:val="en-GB"/>
        </w:rPr>
        <w:t xml:space="preserve">Responsible business </w:t>
      </w:r>
    </w:p>
    <w:p w14:paraId="5E57FC46" w14:textId="12D413A3" w:rsidR="00991561" w:rsidRPr="004177A1" w:rsidRDefault="00991561" w:rsidP="00991561">
      <w:pPr>
        <w:spacing w:after="0"/>
        <w:jc w:val="both"/>
        <w:rPr>
          <w:rFonts w:ascii="Arial" w:hAnsi="Arial" w:cs="Arial"/>
          <w:b/>
          <w:bCs/>
          <w:sz w:val="20"/>
          <w:szCs w:val="20"/>
          <w:lang w:val="en-GB"/>
        </w:rPr>
      </w:pPr>
      <w:r w:rsidRPr="004177A1">
        <w:rPr>
          <w:rFonts w:ascii="Arial" w:hAnsi="Arial" w:cs="Arial"/>
          <w:b/>
          <w:bCs/>
          <w:sz w:val="20"/>
          <w:szCs w:val="20"/>
          <w:lang w:val="en-GB"/>
        </w:rPr>
        <w:t>Q41. How should our approach to cost assessment evolve, to enable us to better manage increasingly pronounced trade-offs between consumer protection, efficiency and investment in the distribution network?</w:t>
      </w:r>
    </w:p>
    <w:p w14:paraId="1A5B7BDF" w14:textId="77777777" w:rsidR="00991561" w:rsidRPr="004177A1" w:rsidRDefault="00991561" w:rsidP="00991561">
      <w:pPr>
        <w:spacing w:after="0"/>
        <w:jc w:val="both"/>
        <w:rPr>
          <w:rFonts w:ascii="Arial" w:hAnsi="Arial" w:cs="Arial"/>
          <w:sz w:val="20"/>
          <w:szCs w:val="20"/>
          <w:lang w:val="en-GB"/>
        </w:rPr>
      </w:pPr>
    </w:p>
    <w:p w14:paraId="560519EA" w14:textId="2F4AF3D7" w:rsidR="00991561" w:rsidRPr="004177A1" w:rsidRDefault="00991561" w:rsidP="00991561">
      <w:pPr>
        <w:spacing w:after="0"/>
        <w:jc w:val="both"/>
        <w:rPr>
          <w:rFonts w:ascii="Arial" w:hAnsi="Arial" w:cs="Arial"/>
          <w:sz w:val="20"/>
          <w:szCs w:val="20"/>
        </w:rPr>
      </w:pPr>
      <w:r w:rsidRPr="00927BC7">
        <w:rPr>
          <w:rFonts w:ascii="Arial" w:hAnsi="Arial" w:cs="Arial"/>
          <w:sz w:val="20"/>
          <w:szCs w:val="20"/>
        </w:rPr>
        <w:t>We agree with Ofgem’s proposed cost assessment approach</w:t>
      </w:r>
      <w:r w:rsidR="00E70BD4" w:rsidRPr="00927BC7">
        <w:rPr>
          <w:rFonts w:ascii="Arial" w:hAnsi="Arial" w:cs="Arial"/>
          <w:sz w:val="20"/>
          <w:szCs w:val="20"/>
        </w:rPr>
        <w:t xml:space="preserve"> for capital investment projects</w:t>
      </w:r>
      <w:r w:rsidRPr="00927BC7">
        <w:rPr>
          <w:rFonts w:ascii="Arial" w:hAnsi="Arial" w:cs="Arial"/>
          <w:sz w:val="20"/>
          <w:szCs w:val="20"/>
        </w:rPr>
        <w:t xml:space="preserve">, </w:t>
      </w:r>
      <w:r w:rsidR="00E70BD4" w:rsidRPr="00927BC7">
        <w:rPr>
          <w:rFonts w:ascii="Arial" w:hAnsi="Arial" w:cs="Arial"/>
          <w:sz w:val="20"/>
          <w:szCs w:val="20"/>
        </w:rPr>
        <w:t>including Ofgem’s consideration of the merits of the RIIO-ET3 “stage gates</w:t>
      </w:r>
      <w:r w:rsidR="00EC2E03" w:rsidRPr="00927BC7">
        <w:rPr>
          <w:rFonts w:ascii="Arial" w:hAnsi="Arial" w:cs="Arial"/>
          <w:sz w:val="20"/>
          <w:szCs w:val="20"/>
        </w:rPr>
        <w:t>”</w:t>
      </w:r>
      <w:r w:rsidR="00E70BD4" w:rsidRPr="00927BC7">
        <w:rPr>
          <w:rFonts w:ascii="Arial" w:hAnsi="Arial" w:cs="Arial"/>
          <w:sz w:val="20"/>
          <w:szCs w:val="20"/>
        </w:rPr>
        <w:t xml:space="preserve"> approach as well as ex post or </w:t>
      </w:r>
      <w:r w:rsidR="00823CA5" w:rsidRPr="00927BC7">
        <w:rPr>
          <w:rFonts w:ascii="Arial" w:hAnsi="Arial" w:cs="Arial"/>
          <w:sz w:val="20"/>
          <w:szCs w:val="20"/>
        </w:rPr>
        <w:t>cost-plus</w:t>
      </w:r>
      <w:r w:rsidR="00E70BD4" w:rsidRPr="00927BC7">
        <w:rPr>
          <w:rFonts w:ascii="Arial" w:hAnsi="Arial" w:cs="Arial"/>
          <w:sz w:val="20"/>
          <w:szCs w:val="20"/>
        </w:rPr>
        <w:t xml:space="preserve"> methodologies for this element of the planned capital investments. </w:t>
      </w:r>
      <w:r w:rsidR="00A960EF" w:rsidRPr="00927BC7">
        <w:rPr>
          <w:rFonts w:ascii="Arial" w:hAnsi="Arial" w:cs="Arial"/>
          <w:sz w:val="20"/>
          <w:szCs w:val="20"/>
        </w:rPr>
        <w:t>W</w:t>
      </w:r>
      <w:r w:rsidRPr="00927BC7">
        <w:rPr>
          <w:rFonts w:ascii="Arial" w:hAnsi="Arial" w:cs="Arial"/>
          <w:sz w:val="20"/>
          <w:szCs w:val="20"/>
        </w:rPr>
        <w:t xml:space="preserve">e believe </w:t>
      </w:r>
      <w:r w:rsidR="00823CA5" w:rsidRPr="00927BC7">
        <w:rPr>
          <w:rFonts w:ascii="Arial" w:hAnsi="Arial" w:cs="Arial"/>
          <w:sz w:val="20"/>
          <w:szCs w:val="20"/>
        </w:rPr>
        <w:t xml:space="preserve">this </w:t>
      </w:r>
      <w:r w:rsidR="00292D30" w:rsidRPr="00927BC7">
        <w:rPr>
          <w:rFonts w:ascii="Arial" w:hAnsi="Arial" w:cs="Arial"/>
          <w:sz w:val="20"/>
          <w:szCs w:val="20"/>
        </w:rPr>
        <w:t xml:space="preserve">approach </w:t>
      </w:r>
      <w:r w:rsidRPr="00927BC7">
        <w:rPr>
          <w:rFonts w:ascii="Arial" w:hAnsi="Arial" w:cs="Arial"/>
          <w:sz w:val="20"/>
          <w:szCs w:val="20"/>
        </w:rPr>
        <w:t>will be effective in reflecting changes in market conditions and protecting against delays whilst maintain</w:t>
      </w:r>
      <w:r w:rsidR="00292D30" w:rsidRPr="00927BC7">
        <w:rPr>
          <w:rFonts w:ascii="Arial" w:hAnsi="Arial" w:cs="Arial"/>
          <w:sz w:val="20"/>
          <w:szCs w:val="20"/>
        </w:rPr>
        <w:t>ing</w:t>
      </w:r>
      <w:r w:rsidRPr="00927BC7">
        <w:rPr>
          <w:rFonts w:ascii="Arial" w:hAnsi="Arial" w:cs="Arial"/>
          <w:sz w:val="20"/>
          <w:szCs w:val="20"/>
        </w:rPr>
        <w:t xml:space="preserve"> competition.</w:t>
      </w:r>
      <w:r w:rsidRPr="004177A1">
        <w:rPr>
          <w:rFonts w:ascii="Arial" w:hAnsi="Arial" w:cs="Arial"/>
          <w:sz w:val="20"/>
          <w:szCs w:val="20"/>
        </w:rPr>
        <w:t xml:space="preserve"> </w:t>
      </w:r>
    </w:p>
    <w:p w14:paraId="0A61A49C" w14:textId="77777777" w:rsidR="00991561" w:rsidRPr="004177A1" w:rsidRDefault="00991561" w:rsidP="00991561">
      <w:pPr>
        <w:spacing w:after="0"/>
        <w:jc w:val="both"/>
        <w:rPr>
          <w:rFonts w:ascii="Arial" w:hAnsi="Arial" w:cs="Arial"/>
          <w:b/>
          <w:bCs/>
          <w:i/>
          <w:iCs/>
          <w:sz w:val="20"/>
          <w:szCs w:val="20"/>
          <w:lang w:val="en-GB"/>
        </w:rPr>
      </w:pPr>
    </w:p>
    <w:p w14:paraId="4F8695A2" w14:textId="0614E37B" w:rsidR="004D7060" w:rsidRPr="004177A1" w:rsidRDefault="004D7060" w:rsidP="00991561">
      <w:pPr>
        <w:spacing w:after="0"/>
        <w:jc w:val="both"/>
        <w:rPr>
          <w:rFonts w:ascii="Arial" w:hAnsi="Arial" w:cs="Arial"/>
          <w:b/>
          <w:bCs/>
          <w:i/>
          <w:iCs/>
          <w:sz w:val="20"/>
          <w:szCs w:val="20"/>
          <w:lang w:val="en-GB"/>
        </w:rPr>
      </w:pPr>
      <w:r w:rsidRPr="004177A1">
        <w:rPr>
          <w:rFonts w:ascii="Arial" w:hAnsi="Arial" w:cs="Arial"/>
          <w:b/>
          <w:bCs/>
          <w:i/>
          <w:iCs/>
          <w:sz w:val="20"/>
          <w:szCs w:val="20"/>
          <w:lang w:val="en-GB"/>
        </w:rPr>
        <w:t>Smarter networks</w:t>
      </w:r>
    </w:p>
    <w:p w14:paraId="55868A2D" w14:textId="6DC9DE3C" w:rsidR="00EF7F00" w:rsidRPr="004177A1" w:rsidRDefault="00EF7F00" w:rsidP="00991561">
      <w:pPr>
        <w:spacing w:after="0"/>
        <w:jc w:val="both"/>
        <w:rPr>
          <w:rFonts w:ascii="Arial" w:hAnsi="Arial" w:cs="Arial"/>
          <w:b/>
          <w:bCs/>
          <w:sz w:val="20"/>
          <w:szCs w:val="20"/>
        </w:rPr>
      </w:pPr>
      <w:r w:rsidRPr="004177A1">
        <w:rPr>
          <w:rFonts w:ascii="Arial" w:hAnsi="Arial" w:cs="Arial"/>
          <w:b/>
          <w:bCs/>
          <w:sz w:val="20"/>
          <w:szCs w:val="20"/>
          <w:lang w:val="en-GB"/>
        </w:rPr>
        <w:t>Q5</w:t>
      </w:r>
      <w:r w:rsidR="006163DA" w:rsidRPr="004177A1">
        <w:rPr>
          <w:rFonts w:ascii="Arial" w:hAnsi="Arial" w:cs="Arial"/>
          <w:b/>
          <w:bCs/>
          <w:sz w:val="20"/>
          <w:szCs w:val="20"/>
          <w:lang w:val="en-GB"/>
        </w:rPr>
        <w:t>0</w:t>
      </w:r>
      <w:r w:rsidRPr="004177A1">
        <w:rPr>
          <w:rFonts w:ascii="Arial" w:hAnsi="Arial" w:cs="Arial"/>
          <w:b/>
          <w:bCs/>
          <w:sz w:val="20"/>
          <w:szCs w:val="20"/>
          <w:lang w:val="en-GB"/>
        </w:rPr>
        <w:t xml:space="preserve">. </w:t>
      </w:r>
      <w:r w:rsidRPr="004177A1">
        <w:rPr>
          <w:rFonts w:ascii="Arial" w:hAnsi="Arial" w:cs="Arial"/>
          <w:b/>
          <w:bCs/>
          <w:sz w:val="20"/>
          <w:szCs w:val="20"/>
        </w:rPr>
        <w:t>Our historic approach to publishing and sharing datasets has been stakeholder-led and focused on establishing good digital foundations in the DNOs. With the rapid pace needed for enhanced data and digitalisation, should we instead be considering incentives around strategic priorities, such as network planning, flexibility, and connections?</w:t>
      </w:r>
    </w:p>
    <w:p w14:paraId="05B6495B" w14:textId="77777777" w:rsidR="006163DA" w:rsidRPr="004177A1" w:rsidRDefault="006163DA" w:rsidP="00991561">
      <w:pPr>
        <w:spacing w:after="0"/>
        <w:jc w:val="both"/>
        <w:rPr>
          <w:rFonts w:ascii="Arial" w:hAnsi="Arial" w:cs="Arial"/>
          <w:b/>
          <w:bCs/>
          <w:sz w:val="20"/>
          <w:szCs w:val="20"/>
        </w:rPr>
      </w:pPr>
    </w:p>
    <w:p w14:paraId="22AD3DD5" w14:textId="69783E68" w:rsidR="006163DA" w:rsidRPr="004177A1" w:rsidRDefault="006163DA" w:rsidP="006163DA">
      <w:pPr>
        <w:spacing w:after="0"/>
        <w:jc w:val="both"/>
        <w:rPr>
          <w:rFonts w:ascii="Arial" w:hAnsi="Arial" w:cs="Arial"/>
          <w:sz w:val="20"/>
          <w:szCs w:val="20"/>
          <w:lang w:val="en-GB"/>
        </w:rPr>
      </w:pPr>
      <w:r w:rsidRPr="004177A1">
        <w:rPr>
          <w:rFonts w:ascii="Arial" w:hAnsi="Arial" w:cs="Arial"/>
          <w:sz w:val="20"/>
          <w:szCs w:val="20"/>
          <w:lang w:val="en-GB"/>
        </w:rPr>
        <w:t xml:space="preserve">Grid digitalisation will be key to securing vital </w:t>
      </w:r>
      <w:r w:rsidR="00927BC7">
        <w:rPr>
          <w:rFonts w:ascii="Arial" w:hAnsi="Arial" w:cs="Arial"/>
          <w:sz w:val="20"/>
          <w:szCs w:val="20"/>
          <w:lang w:val="en-GB"/>
        </w:rPr>
        <w:t>capacity</w:t>
      </w:r>
      <w:r w:rsidR="00927BC7" w:rsidRPr="004177A1">
        <w:rPr>
          <w:rFonts w:ascii="Arial" w:hAnsi="Arial" w:cs="Arial"/>
          <w:sz w:val="20"/>
          <w:szCs w:val="20"/>
          <w:lang w:val="en-GB"/>
        </w:rPr>
        <w:t xml:space="preserve"> </w:t>
      </w:r>
      <w:r w:rsidRPr="004177A1">
        <w:rPr>
          <w:rFonts w:ascii="Arial" w:hAnsi="Arial" w:cs="Arial"/>
          <w:sz w:val="20"/>
          <w:szCs w:val="20"/>
          <w:lang w:val="en-GB"/>
        </w:rPr>
        <w:t>in the UK’s power system through effective planning and management. Encouraging much greater digitalisation, particularly in the distribution system, and providing system flexibility</w:t>
      </w:r>
      <w:r w:rsidR="00023DF8">
        <w:rPr>
          <w:rFonts w:ascii="Arial" w:hAnsi="Arial" w:cs="Arial"/>
          <w:sz w:val="20"/>
          <w:szCs w:val="20"/>
          <w:lang w:val="en-GB"/>
        </w:rPr>
        <w:t xml:space="preserve"> </w:t>
      </w:r>
      <w:r w:rsidRPr="004177A1">
        <w:rPr>
          <w:rFonts w:ascii="Arial" w:hAnsi="Arial" w:cs="Arial"/>
          <w:sz w:val="20"/>
          <w:szCs w:val="20"/>
          <w:lang w:val="en-GB"/>
        </w:rPr>
        <w:t>to accommodate the needs of a grid with predominately renewable generation</w:t>
      </w:r>
      <w:r w:rsidR="00023DF8">
        <w:rPr>
          <w:rFonts w:ascii="Arial" w:hAnsi="Arial" w:cs="Arial"/>
          <w:sz w:val="20"/>
          <w:szCs w:val="20"/>
          <w:lang w:val="en-GB"/>
        </w:rPr>
        <w:t>,</w:t>
      </w:r>
      <w:r w:rsidR="00A960EF" w:rsidRPr="004177A1">
        <w:rPr>
          <w:rFonts w:ascii="Arial" w:hAnsi="Arial" w:cs="Arial"/>
          <w:sz w:val="20"/>
          <w:szCs w:val="20"/>
          <w:lang w:val="en-GB"/>
        </w:rPr>
        <w:t xml:space="preserve"> will</w:t>
      </w:r>
      <w:r w:rsidRPr="004177A1">
        <w:rPr>
          <w:rFonts w:ascii="Arial" w:hAnsi="Arial" w:cs="Arial"/>
          <w:sz w:val="20"/>
          <w:szCs w:val="20"/>
          <w:lang w:val="en-GB"/>
        </w:rPr>
        <w:t xml:space="preserve"> minimise the need for building new infrastructure</w:t>
      </w:r>
      <w:r w:rsidR="00A960EF" w:rsidRPr="004177A1">
        <w:rPr>
          <w:rFonts w:ascii="Arial" w:hAnsi="Arial" w:cs="Arial"/>
          <w:sz w:val="20"/>
          <w:szCs w:val="20"/>
          <w:lang w:val="en-GB"/>
        </w:rPr>
        <w:t>. This will</w:t>
      </w:r>
      <w:r w:rsidRPr="004177A1">
        <w:rPr>
          <w:rFonts w:ascii="Arial" w:hAnsi="Arial" w:cs="Arial"/>
          <w:sz w:val="20"/>
          <w:szCs w:val="20"/>
          <w:lang w:val="en-GB"/>
        </w:rPr>
        <w:t xml:space="preserve"> significantly reduce costs and ultimately increase the economic benefits of the transition</w:t>
      </w:r>
      <w:r w:rsidR="00A960EF" w:rsidRPr="004177A1">
        <w:rPr>
          <w:rFonts w:ascii="Arial" w:hAnsi="Arial" w:cs="Arial"/>
          <w:sz w:val="20"/>
          <w:szCs w:val="20"/>
          <w:lang w:val="en-GB"/>
        </w:rPr>
        <w:t xml:space="preserve"> towards a renewables-heavy energy mix</w:t>
      </w:r>
      <w:r w:rsidRPr="004177A1">
        <w:rPr>
          <w:rFonts w:ascii="Arial" w:hAnsi="Arial" w:cs="Arial"/>
          <w:sz w:val="20"/>
          <w:szCs w:val="20"/>
          <w:lang w:val="en-GB"/>
        </w:rPr>
        <w:t xml:space="preserve">. </w:t>
      </w:r>
    </w:p>
    <w:p w14:paraId="11D39761" w14:textId="77777777" w:rsidR="006163DA" w:rsidRPr="004177A1" w:rsidRDefault="006163DA" w:rsidP="006163DA">
      <w:pPr>
        <w:spacing w:after="0"/>
        <w:jc w:val="both"/>
        <w:rPr>
          <w:rFonts w:ascii="Arial" w:hAnsi="Arial" w:cs="Arial"/>
          <w:sz w:val="20"/>
          <w:szCs w:val="20"/>
          <w:lang w:val="en-GB"/>
        </w:rPr>
      </w:pPr>
    </w:p>
    <w:p w14:paraId="6321CC73" w14:textId="15EC8DC4" w:rsidR="006163DA" w:rsidRPr="004177A1" w:rsidRDefault="006163DA" w:rsidP="00991561">
      <w:pPr>
        <w:spacing w:after="0"/>
        <w:jc w:val="both"/>
        <w:rPr>
          <w:rFonts w:ascii="Arial" w:hAnsi="Arial" w:cs="Arial"/>
          <w:sz w:val="20"/>
          <w:szCs w:val="20"/>
          <w:lang w:val="en-GB"/>
        </w:rPr>
      </w:pPr>
      <w:bookmarkStart w:id="0" w:name="_Hlk152938820"/>
      <w:r w:rsidRPr="004177A1">
        <w:rPr>
          <w:rFonts w:ascii="Arial" w:hAnsi="Arial" w:cs="Arial"/>
          <w:sz w:val="20"/>
          <w:szCs w:val="20"/>
          <w:lang w:val="en-GB"/>
        </w:rPr>
        <w:t xml:space="preserve">This higher-capacity and more complex grid needs to be highly automated to maintain resilience. However, </w:t>
      </w:r>
      <w:r w:rsidR="004C1025" w:rsidRPr="004177A1">
        <w:rPr>
          <w:rFonts w:ascii="Arial" w:hAnsi="Arial" w:cs="Arial"/>
          <w:sz w:val="20"/>
          <w:szCs w:val="20"/>
          <w:lang w:val="en-GB"/>
        </w:rPr>
        <w:t>Ofgem</w:t>
      </w:r>
      <w:r w:rsidRPr="004177A1">
        <w:rPr>
          <w:rFonts w:ascii="Arial" w:hAnsi="Arial" w:cs="Arial"/>
          <w:sz w:val="20"/>
          <w:szCs w:val="20"/>
          <w:lang w:val="en-GB"/>
        </w:rPr>
        <w:t xml:space="preserve"> will need to provide stronger and clearer guidance to DNOs the data that they will be required to collect, </w:t>
      </w:r>
      <w:proofErr w:type="gramStart"/>
      <w:r w:rsidRPr="004177A1">
        <w:rPr>
          <w:rFonts w:ascii="Arial" w:hAnsi="Arial" w:cs="Arial"/>
          <w:sz w:val="20"/>
          <w:szCs w:val="20"/>
          <w:lang w:val="en-GB"/>
        </w:rPr>
        <w:t>in order to</w:t>
      </w:r>
      <w:proofErr w:type="gramEnd"/>
      <w:r w:rsidRPr="004177A1">
        <w:rPr>
          <w:rFonts w:ascii="Arial" w:hAnsi="Arial" w:cs="Arial"/>
          <w:sz w:val="20"/>
          <w:szCs w:val="20"/>
          <w:lang w:val="en-GB"/>
        </w:rPr>
        <w:t xml:space="preserve"> make more informed and intelligent decisions for optimising network capacity.</w:t>
      </w:r>
      <w:bookmarkEnd w:id="0"/>
    </w:p>
    <w:p w14:paraId="71C10899" w14:textId="77777777" w:rsidR="00EF7F00" w:rsidRPr="004177A1" w:rsidRDefault="00EF7F00" w:rsidP="00991561">
      <w:pPr>
        <w:spacing w:after="0"/>
        <w:jc w:val="both"/>
        <w:rPr>
          <w:rFonts w:ascii="Arial" w:hAnsi="Arial" w:cs="Arial"/>
          <w:b/>
          <w:bCs/>
          <w:i/>
          <w:iCs/>
          <w:sz w:val="20"/>
          <w:szCs w:val="20"/>
          <w:lang w:val="en-GB"/>
        </w:rPr>
      </w:pPr>
    </w:p>
    <w:p w14:paraId="181F7F01" w14:textId="7359C279" w:rsidR="00677AE7" w:rsidRPr="004177A1" w:rsidRDefault="00677AE7" w:rsidP="00991561">
      <w:pPr>
        <w:spacing w:after="0"/>
        <w:jc w:val="both"/>
        <w:rPr>
          <w:rFonts w:ascii="Arial" w:hAnsi="Arial" w:cs="Arial"/>
          <w:b/>
          <w:bCs/>
          <w:i/>
          <w:iCs/>
          <w:sz w:val="20"/>
          <w:szCs w:val="20"/>
          <w:lang w:val="en-GB"/>
        </w:rPr>
      </w:pPr>
      <w:r w:rsidRPr="004177A1">
        <w:rPr>
          <w:rFonts w:ascii="Arial" w:hAnsi="Arial" w:cs="Arial"/>
          <w:b/>
          <w:bCs/>
          <w:i/>
          <w:iCs/>
          <w:sz w:val="20"/>
          <w:szCs w:val="20"/>
          <w:lang w:val="en-GB"/>
        </w:rPr>
        <w:t>Resilient and sustainable networks</w:t>
      </w:r>
    </w:p>
    <w:p w14:paraId="0EE44EF5" w14:textId="77777777" w:rsidR="00677AE7" w:rsidRPr="004177A1" w:rsidRDefault="00677AE7" w:rsidP="00991561">
      <w:pPr>
        <w:spacing w:after="0"/>
        <w:jc w:val="both"/>
        <w:rPr>
          <w:rFonts w:ascii="Arial" w:hAnsi="Arial" w:cs="Arial"/>
          <w:b/>
          <w:bCs/>
          <w:sz w:val="20"/>
          <w:szCs w:val="20"/>
        </w:rPr>
      </w:pPr>
      <w:r w:rsidRPr="004177A1">
        <w:rPr>
          <w:rFonts w:ascii="Arial" w:hAnsi="Arial" w:cs="Arial"/>
          <w:b/>
          <w:bCs/>
          <w:sz w:val="20"/>
          <w:szCs w:val="20"/>
          <w:lang w:val="en-GB"/>
        </w:rPr>
        <w:t xml:space="preserve">Q56. </w:t>
      </w:r>
      <w:r w:rsidRPr="004177A1">
        <w:rPr>
          <w:rFonts w:ascii="Arial" w:hAnsi="Arial" w:cs="Arial"/>
          <w:b/>
          <w:bCs/>
          <w:sz w:val="20"/>
          <w:szCs w:val="20"/>
        </w:rPr>
        <w:t>Do you agree that we should consider a more integrated approach to managing asset health, together with load-driven expenditure, given the need to future proof for resilience (climate, cyber and physical security) and future demand? What might the risks and benefits of this approach be?</w:t>
      </w:r>
    </w:p>
    <w:p w14:paraId="365BEE7B" w14:textId="61E6FEB3" w:rsidR="00677AE7" w:rsidRPr="004177A1" w:rsidRDefault="00677AE7" w:rsidP="00991561">
      <w:pPr>
        <w:spacing w:after="0"/>
        <w:jc w:val="both"/>
        <w:rPr>
          <w:rFonts w:ascii="Arial" w:hAnsi="Arial" w:cs="Arial"/>
          <w:b/>
          <w:bCs/>
          <w:sz w:val="20"/>
          <w:szCs w:val="20"/>
        </w:rPr>
      </w:pPr>
      <w:r w:rsidRPr="004177A1">
        <w:rPr>
          <w:rFonts w:ascii="Arial" w:hAnsi="Arial" w:cs="Arial"/>
          <w:b/>
          <w:bCs/>
          <w:sz w:val="20"/>
          <w:szCs w:val="20"/>
        </w:rPr>
        <w:t>Q57. In the context of making anticipatory investment decisions, what do network companies and other stakeholders need to enable the planning and delivery of cost-effective network resilience measures</w:t>
      </w:r>
      <w:r w:rsidR="00991561" w:rsidRPr="004177A1">
        <w:rPr>
          <w:rFonts w:ascii="Arial" w:hAnsi="Arial" w:cs="Arial"/>
          <w:b/>
          <w:bCs/>
          <w:sz w:val="20"/>
          <w:szCs w:val="20"/>
        </w:rPr>
        <w:t xml:space="preserve"> </w:t>
      </w:r>
      <w:r w:rsidRPr="004177A1">
        <w:rPr>
          <w:rFonts w:ascii="Arial" w:hAnsi="Arial" w:cs="Arial"/>
          <w:b/>
          <w:bCs/>
          <w:sz w:val="20"/>
          <w:szCs w:val="20"/>
        </w:rPr>
        <w:t>against our changing climate? What risks and opportunities do you see linked to an input-based approach to these investment plans?</w:t>
      </w:r>
    </w:p>
    <w:p w14:paraId="7FC42F43" w14:textId="77777777" w:rsidR="00677AE7" w:rsidRPr="004177A1" w:rsidRDefault="00677AE7" w:rsidP="00991561">
      <w:pPr>
        <w:spacing w:after="0"/>
        <w:jc w:val="both"/>
        <w:rPr>
          <w:rFonts w:ascii="Arial" w:hAnsi="Arial" w:cs="Arial"/>
          <w:b/>
          <w:bCs/>
          <w:sz w:val="20"/>
          <w:szCs w:val="20"/>
        </w:rPr>
      </w:pPr>
      <w:r w:rsidRPr="004177A1">
        <w:rPr>
          <w:rFonts w:ascii="Arial" w:hAnsi="Arial" w:cs="Arial"/>
          <w:b/>
          <w:bCs/>
          <w:sz w:val="20"/>
          <w:szCs w:val="20"/>
        </w:rPr>
        <w:t>Q58. How should we monitor progress on the delivery of climate change resilience? Do you have any specific learnings which can help shape this?</w:t>
      </w:r>
    </w:p>
    <w:p w14:paraId="21F789AF" w14:textId="385714C2" w:rsidR="00492666" w:rsidRPr="004177A1" w:rsidRDefault="00677AE7" w:rsidP="00991561">
      <w:pPr>
        <w:spacing w:after="0"/>
        <w:jc w:val="both"/>
        <w:rPr>
          <w:rFonts w:ascii="Arial" w:hAnsi="Arial" w:cs="Arial"/>
          <w:b/>
          <w:bCs/>
          <w:sz w:val="20"/>
          <w:szCs w:val="20"/>
        </w:rPr>
      </w:pPr>
      <w:r w:rsidRPr="004177A1">
        <w:rPr>
          <w:rFonts w:ascii="Arial" w:hAnsi="Arial" w:cs="Arial"/>
          <w:b/>
          <w:bCs/>
          <w:sz w:val="20"/>
          <w:szCs w:val="20"/>
        </w:rPr>
        <w:t>Q59. Do you have any comments on the suitability of current incentives to ensure that consumers continue to receive a reliable service in the face of climate hazards?</w:t>
      </w:r>
    </w:p>
    <w:p w14:paraId="52FEF9EB" w14:textId="77777777" w:rsidR="00677AE7" w:rsidRPr="004177A1" w:rsidRDefault="00677AE7" w:rsidP="00991561">
      <w:pPr>
        <w:spacing w:after="0"/>
        <w:jc w:val="both"/>
        <w:rPr>
          <w:rFonts w:ascii="Arial" w:hAnsi="Arial" w:cs="Arial"/>
          <w:sz w:val="20"/>
          <w:szCs w:val="20"/>
        </w:rPr>
      </w:pPr>
    </w:p>
    <w:p w14:paraId="74F13D80" w14:textId="2B2CE8ED" w:rsidR="00943F0D" w:rsidRDefault="00AD4D42" w:rsidP="00991561">
      <w:pPr>
        <w:spacing w:after="0"/>
        <w:jc w:val="both"/>
        <w:rPr>
          <w:rFonts w:ascii="Arial" w:hAnsi="Arial" w:cs="Arial"/>
          <w:sz w:val="20"/>
          <w:szCs w:val="20"/>
        </w:rPr>
      </w:pPr>
      <w:r w:rsidRPr="004177A1">
        <w:rPr>
          <w:rFonts w:ascii="Arial" w:hAnsi="Arial" w:cs="Arial"/>
          <w:sz w:val="20"/>
          <w:szCs w:val="20"/>
        </w:rPr>
        <w:t xml:space="preserve">As climate related events become more frequent, </w:t>
      </w:r>
      <w:r w:rsidR="007E6482" w:rsidRPr="004177A1">
        <w:rPr>
          <w:rFonts w:ascii="Arial" w:hAnsi="Arial" w:cs="Arial"/>
          <w:sz w:val="20"/>
          <w:szCs w:val="20"/>
        </w:rPr>
        <w:t>and</w:t>
      </w:r>
      <w:r w:rsidR="00023DF8">
        <w:rPr>
          <w:rFonts w:ascii="Arial" w:hAnsi="Arial" w:cs="Arial"/>
          <w:sz w:val="20"/>
          <w:szCs w:val="20"/>
        </w:rPr>
        <w:t xml:space="preserve"> as electricity demand across the economy increases, </w:t>
      </w:r>
      <w:r w:rsidRPr="004177A1">
        <w:rPr>
          <w:rFonts w:ascii="Arial" w:hAnsi="Arial" w:cs="Arial"/>
          <w:sz w:val="20"/>
          <w:szCs w:val="20"/>
        </w:rPr>
        <w:t xml:space="preserve">it will be essential for the UK’s energy infrastructure to withstand </w:t>
      </w:r>
      <w:r w:rsidR="00023DF8">
        <w:rPr>
          <w:rFonts w:ascii="Arial" w:hAnsi="Arial" w:cs="Arial"/>
          <w:sz w:val="20"/>
          <w:szCs w:val="20"/>
        </w:rPr>
        <w:t>the effects of climate-related events</w:t>
      </w:r>
      <w:r w:rsidRPr="004177A1">
        <w:rPr>
          <w:rFonts w:ascii="Arial" w:hAnsi="Arial" w:cs="Arial"/>
          <w:sz w:val="20"/>
          <w:szCs w:val="20"/>
        </w:rPr>
        <w:t xml:space="preserve">. </w:t>
      </w:r>
      <w:r w:rsidR="00961810" w:rsidRPr="004177A1">
        <w:rPr>
          <w:rFonts w:ascii="Arial" w:hAnsi="Arial" w:cs="Arial"/>
          <w:sz w:val="20"/>
          <w:szCs w:val="20"/>
        </w:rPr>
        <w:t xml:space="preserve">For instance, with regards to asset replacement, it is important to consider longer-term resilience. Meanwhile, load related expansion must consider the need to be resilient </w:t>
      </w:r>
      <w:r w:rsidR="00536B34" w:rsidRPr="004177A1">
        <w:rPr>
          <w:rFonts w:ascii="Arial" w:hAnsi="Arial" w:cs="Arial"/>
          <w:sz w:val="20"/>
          <w:szCs w:val="20"/>
        </w:rPr>
        <w:t>to manage</w:t>
      </w:r>
      <w:r w:rsidR="00961810" w:rsidRPr="004177A1">
        <w:rPr>
          <w:rFonts w:ascii="Arial" w:hAnsi="Arial" w:cs="Arial"/>
          <w:sz w:val="20"/>
          <w:szCs w:val="20"/>
        </w:rPr>
        <w:t xml:space="preserve"> a changing climate. </w:t>
      </w:r>
      <w:r w:rsidRPr="004177A1">
        <w:rPr>
          <w:rFonts w:ascii="Arial" w:hAnsi="Arial" w:cs="Arial"/>
          <w:sz w:val="20"/>
          <w:szCs w:val="20"/>
        </w:rPr>
        <w:t xml:space="preserve">That is why </w:t>
      </w:r>
      <w:r w:rsidRPr="004177A1">
        <w:rPr>
          <w:rFonts w:ascii="Arial" w:hAnsi="Arial" w:cs="Arial"/>
          <w:sz w:val="20"/>
          <w:szCs w:val="20"/>
        </w:rPr>
        <w:lastRenderedPageBreak/>
        <w:t xml:space="preserve">we </w:t>
      </w:r>
      <w:r w:rsidR="00677AE7" w:rsidRPr="004177A1">
        <w:rPr>
          <w:rFonts w:ascii="Arial" w:hAnsi="Arial" w:cs="Arial"/>
          <w:sz w:val="20"/>
          <w:szCs w:val="20"/>
        </w:rPr>
        <w:t xml:space="preserve">support Ofgem’s proposals to increase the resilience of the </w:t>
      </w:r>
      <w:r w:rsidRPr="004177A1">
        <w:rPr>
          <w:rFonts w:ascii="Arial" w:hAnsi="Arial" w:cs="Arial"/>
          <w:sz w:val="20"/>
          <w:szCs w:val="20"/>
        </w:rPr>
        <w:t>network against the effects of climate change</w:t>
      </w:r>
      <w:r w:rsidR="002538B0">
        <w:rPr>
          <w:rFonts w:ascii="Arial" w:hAnsi="Arial" w:cs="Arial"/>
          <w:sz w:val="20"/>
          <w:szCs w:val="20"/>
        </w:rPr>
        <w:t>.</w:t>
      </w:r>
    </w:p>
    <w:p w14:paraId="488360B6" w14:textId="77777777" w:rsidR="000063D0" w:rsidRPr="002538B0" w:rsidRDefault="000063D0" w:rsidP="00991561">
      <w:pPr>
        <w:spacing w:after="0"/>
        <w:jc w:val="both"/>
        <w:rPr>
          <w:rFonts w:ascii="Arial" w:hAnsi="Arial" w:cs="Arial"/>
          <w:sz w:val="20"/>
          <w:szCs w:val="20"/>
        </w:rPr>
      </w:pPr>
    </w:p>
    <w:p w14:paraId="0940BD00" w14:textId="5B0DB539" w:rsidR="00214A92" w:rsidRPr="004177A1" w:rsidRDefault="00214A92" w:rsidP="00214A92">
      <w:pPr>
        <w:spacing w:after="0"/>
        <w:jc w:val="both"/>
        <w:rPr>
          <w:rFonts w:ascii="Arial" w:hAnsi="Arial" w:cs="Arial"/>
          <w:b/>
          <w:bCs/>
          <w:sz w:val="20"/>
          <w:szCs w:val="20"/>
        </w:rPr>
      </w:pPr>
      <w:r w:rsidRPr="004177A1">
        <w:rPr>
          <w:rFonts w:ascii="Arial" w:hAnsi="Arial" w:cs="Arial"/>
          <w:b/>
          <w:bCs/>
          <w:sz w:val="20"/>
          <w:szCs w:val="20"/>
        </w:rPr>
        <w:t xml:space="preserve">Q60. Do stakeholders agree with retaining and strengthening the main components </w:t>
      </w:r>
    </w:p>
    <w:p w14:paraId="27A06E49" w14:textId="4AE046F5" w:rsidR="00943F0D" w:rsidRDefault="00214A92" w:rsidP="00991561">
      <w:pPr>
        <w:spacing w:after="0"/>
        <w:jc w:val="both"/>
        <w:rPr>
          <w:rFonts w:ascii="Arial" w:hAnsi="Arial" w:cs="Arial"/>
          <w:b/>
          <w:bCs/>
          <w:sz w:val="20"/>
          <w:szCs w:val="20"/>
        </w:rPr>
      </w:pPr>
      <w:r w:rsidRPr="004177A1">
        <w:rPr>
          <w:rFonts w:ascii="Arial" w:hAnsi="Arial" w:cs="Arial"/>
          <w:b/>
          <w:bCs/>
          <w:sz w:val="20"/>
          <w:szCs w:val="20"/>
        </w:rPr>
        <w:t>of the environmental framework from RIIO-ED2?</w:t>
      </w:r>
    </w:p>
    <w:p w14:paraId="7AEF2577" w14:textId="77777777" w:rsidR="000063D0" w:rsidRDefault="000063D0" w:rsidP="00991561">
      <w:pPr>
        <w:spacing w:after="0"/>
        <w:jc w:val="both"/>
        <w:rPr>
          <w:rFonts w:ascii="Arial" w:hAnsi="Arial" w:cs="Arial"/>
          <w:b/>
          <w:bCs/>
          <w:sz w:val="20"/>
          <w:szCs w:val="20"/>
        </w:rPr>
      </w:pPr>
    </w:p>
    <w:p w14:paraId="37126CEF" w14:textId="0CA7DD54" w:rsidR="000063D0" w:rsidRDefault="000063D0" w:rsidP="00991561">
      <w:pPr>
        <w:spacing w:after="0"/>
        <w:jc w:val="both"/>
        <w:rPr>
          <w:rFonts w:ascii="Arial" w:hAnsi="Arial" w:cs="Arial"/>
          <w:sz w:val="20"/>
          <w:szCs w:val="20"/>
        </w:rPr>
      </w:pPr>
      <w:r w:rsidRPr="000063D0">
        <w:rPr>
          <w:rFonts w:ascii="Arial" w:hAnsi="Arial" w:cs="Arial"/>
          <w:sz w:val="20"/>
          <w:szCs w:val="20"/>
        </w:rPr>
        <w:t xml:space="preserve">We agree with Ofgem’s proposal to strengthen the environmental framework from RIIO-ED2 with regards to power losses. This is because power loss reduction is a crucial step towards lessening the environmental footprint of the distribution network, particularly during a period whereby the network is undergoing significant reinforcement and expansion. </w:t>
      </w:r>
    </w:p>
    <w:p w14:paraId="2313A119" w14:textId="77777777" w:rsidR="000063D0" w:rsidRDefault="000063D0" w:rsidP="00991561">
      <w:pPr>
        <w:spacing w:after="0"/>
        <w:jc w:val="both"/>
        <w:rPr>
          <w:rFonts w:ascii="Arial" w:hAnsi="Arial" w:cs="Arial"/>
          <w:sz w:val="20"/>
          <w:szCs w:val="20"/>
        </w:rPr>
      </w:pPr>
    </w:p>
    <w:p w14:paraId="0AB536F3" w14:textId="1018BEFD" w:rsidR="000063D0" w:rsidRDefault="000063D0" w:rsidP="00991561">
      <w:pPr>
        <w:spacing w:after="0"/>
        <w:jc w:val="both"/>
        <w:rPr>
          <w:rFonts w:ascii="Arial" w:hAnsi="Arial" w:cs="Arial"/>
          <w:sz w:val="20"/>
          <w:szCs w:val="20"/>
        </w:rPr>
      </w:pPr>
      <w:r>
        <w:rPr>
          <w:rFonts w:ascii="Arial" w:hAnsi="Arial" w:cs="Arial"/>
          <w:sz w:val="20"/>
          <w:szCs w:val="20"/>
        </w:rPr>
        <w:t>However, we believe that Ofgem should introduce stronger incentives for DNOs to transition away from the use of SF6 gas</w:t>
      </w:r>
      <w:r w:rsidR="00136768">
        <w:rPr>
          <w:rFonts w:ascii="Arial" w:hAnsi="Arial" w:cs="Arial"/>
          <w:sz w:val="20"/>
          <w:szCs w:val="20"/>
        </w:rPr>
        <w:t xml:space="preserve"> and</w:t>
      </w:r>
      <w:r>
        <w:rPr>
          <w:rFonts w:ascii="Arial" w:hAnsi="Arial" w:cs="Arial"/>
          <w:sz w:val="20"/>
          <w:szCs w:val="20"/>
        </w:rPr>
        <w:t xml:space="preserve"> towards the purchase of SF6 alternatives as soon as possible. Given that more voltage ranges will be commercially available in SF6 alternatives over the course of the price control period, Ofgem should mandate the purchase of SF6 alternatives where they are available. In addition to the obvious environmental advantages, the transition to SF6 alternatives will benefit the supply chain by inducing greater alignment with the EU, which has already </w:t>
      </w:r>
      <w:r w:rsidR="0080225D">
        <w:rPr>
          <w:rFonts w:ascii="Arial" w:hAnsi="Arial" w:cs="Arial"/>
          <w:sz w:val="20"/>
          <w:szCs w:val="20"/>
        </w:rPr>
        <w:t>acted to phase out</w:t>
      </w:r>
      <w:r w:rsidR="0080225D">
        <w:rPr>
          <w:rFonts w:ascii="Arial" w:hAnsi="Arial" w:cs="Arial"/>
          <w:sz w:val="20"/>
          <w:szCs w:val="20"/>
        </w:rPr>
        <w:t xml:space="preserve"> </w:t>
      </w:r>
      <w:r>
        <w:rPr>
          <w:rFonts w:ascii="Arial" w:hAnsi="Arial" w:cs="Arial"/>
          <w:sz w:val="20"/>
          <w:szCs w:val="20"/>
        </w:rPr>
        <w:t xml:space="preserve">SF6. </w:t>
      </w:r>
      <w:r w:rsidR="0028572E">
        <w:rPr>
          <w:rFonts w:ascii="Arial" w:hAnsi="Arial" w:cs="Arial"/>
          <w:sz w:val="20"/>
          <w:szCs w:val="20"/>
        </w:rPr>
        <w:t xml:space="preserve">Greater alignment with the EU will </w:t>
      </w:r>
      <w:r w:rsidR="00C92376">
        <w:rPr>
          <w:rFonts w:ascii="Arial" w:hAnsi="Arial" w:cs="Arial"/>
          <w:sz w:val="20"/>
          <w:szCs w:val="20"/>
        </w:rPr>
        <w:t xml:space="preserve">increase the UK’s attractiveness to global supply chains and resultant access to the necessary components.  </w:t>
      </w:r>
    </w:p>
    <w:p w14:paraId="2DB55A2B" w14:textId="77777777" w:rsidR="00C92376" w:rsidRDefault="00C92376" w:rsidP="00991561">
      <w:pPr>
        <w:spacing w:after="0"/>
        <w:jc w:val="both"/>
        <w:rPr>
          <w:rFonts w:ascii="Arial" w:hAnsi="Arial" w:cs="Arial"/>
          <w:sz w:val="20"/>
          <w:szCs w:val="20"/>
        </w:rPr>
      </w:pPr>
    </w:p>
    <w:p w14:paraId="3B60464E" w14:textId="223278AC" w:rsidR="00C92376" w:rsidRPr="000063D0" w:rsidRDefault="00C92376" w:rsidP="00991561">
      <w:pPr>
        <w:spacing w:after="0"/>
        <w:jc w:val="both"/>
        <w:rPr>
          <w:rFonts w:ascii="Arial" w:hAnsi="Arial" w:cs="Arial"/>
          <w:sz w:val="20"/>
          <w:szCs w:val="20"/>
        </w:rPr>
      </w:pPr>
      <w:r>
        <w:rPr>
          <w:rFonts w:ascii="Arial" w:hAnsi="Arial" w:cs="Arial"/>
          <w:sz w:val="20"/>
          <w:szCs w:val="20"/>
        </w:rPr>
        <w:t xml:space="preserve">Additionally, we believe that Ofgem should strengthen the environmental reporting framework by standardising reporting requirements for DNOs, which will reduce administrative and financial costs on the supply chain. </w:t>
      </w:r>
    </w:p>
    <w:p w14:paraId="72DB573F" w14:textId="77777777" w:rsidR="00991561" w:rsidRPr="004177A1" w:rsidRDefault="00991561" w:rsidP="00991561">
      <w:pPr>
        <w:spacing w:after="0"/>
        <w:jc w:val="both"/>
        <w:rPr>
          <w:rFonts w:ascii="Arial" w:hAnsi="Arial" w:cs="Arial"/>
          <w:b/>
          <w:bCs/>
          <w:sz w:val="20"/>
          <w:szCs w:val="20"/>
        </w:rPr>
      </w:pPr>
    </w:p>
    <w:p w14:paraId="4D897EDD" w14:textId="6D02024B" w:rsidR="00991561" w:rsidRPr="004177A1" w:rsidRDefault="00991561" w:rsidP="00991561">
      <w:pPr>
        <w:spacing w:after="0"/>
        <w:jc w:val="both"/>
        <w:rPr>
          <w:rFonts w:ascii="Arial" w:hAnsi="Arial" w:cs="Arial"/>
          <w:b/>
          <w:bCs/>
          <w:sz w:val="20"/>
          <w:szCs w:val="20"/>
        </w:rPr>
      </w:pPr>
      <w:r w:rsidRPr="004177A1">
        <w:rPr>
          <w:rFonts w:ascii="Arial" w:hAnsi="Arial" w:cs="Arial"/>
          <w:b/>
          <w:bCs/>
          <w:sz w:val="20"/>
          <w:szCs w:val="20"/>
        </w:rPr>
        <w:t>Q61. Do stakeholders agree with building on the approach taken to cyber resilience in RIIO-3 for ED3?</w:t>
      </w:r>
    </w:p>
    <w:p w14:paraId="151D1B59" w14:textId="77777777" w:rsidR="00991561" w:rsidRPr="004177A1" w:rsidRDefault="00991561" w:rsidP="00991561">
      <w:pPr>
        <w:spacing w:after="0"/>
        <w:jc w:val="both"/>
        <w:rPr>
          <w:rFonts w:ascii="Arial" w:hAnsi="Arial" w:cs="Arial"/>
          <w:sz w:val="20"/>
          <w:szCs w:val="20"/>
        </w:rPr>
      </w:pPr>
    </w:p>
    <w:p w14:paraId="240859BE" w14:textId="5B7D7580" w:rsidR="00C9149D" w:rsidRPr="004177A1" w:rsidRDefault="00E700D0" w:rsidP="006163DA">
      <w:pPr>
        <w:spacing w:after="0"/>
        <w:jc w:val="both"/>
        <w:rPr>
          <w:rFonts w:ascii="Arial" w:hAnsi="Arial" w:cs="Arial"/>
          <w:sz w:val="20"/>
          <w:szCs w:val="20"/>
        </w:rPr>
      </w:pPr>
      <w:r w:rsidRPr="004177A1">
        <w:rPr>
          <w:rFonts w:ascii="Arial" w:hAnsi="Arial" w:cs="Arial"/>
          <w:sz w:val="20"/>
          <w:szCs w:val="20"/>
        </w:rPr>
        <w:t>Hitachi Energy</w:t>
      </w:r>
      <w:r w:rsidR="00991561" w:rsidRPr="004177A1">
        <w:rPr>
          <w:rFonts w:ascii="Arial" w:hAnsi="Arial" w:cs="Arial"/>
          <w:sz w:val="20"/>
          <w:szCs w:val="20"/>
        </w:rPr>
        <w:t xml:space="preserve"> agree</w:t>
      </w:r>
      <w:r w:rsidRPr="004177A1">
        <w:rPr>
          <w:rFonts w:ascii="Arial" w:hAnsi="Arial" w:cs="Arial"/>
          <w:sz w:val="20"/>
          <w:szCs w:val="20"/>
        </w:rPr>
        <w:t>s</w:t>
      </w:r>
      <w:r w:rsidR="00991561" w:rsidRPr="004177A1">
        <w:rPr>
          <w:rFonts w:ascii="Arial" w:hAnsi="Arial" w:cs="Arial"/>
          <w:sz w:val="20"/>
          <w:szCs w:val="20"/>
        </w:rPr>
        <w:t xml:space="preserve"> with Ofgem’s proposals to streamline the cyber resilience framework for distribution network operators (DNOs) by adopting a principles-led approach. This will reduce administrative burdens and costs, reduce the burden on supply chain companies like </w:t>
      </w:r>
      <w:proofErr w:type="gramStart"/>
      <w:r w:rsidR="00991561" w:rsidRPr="004177A1">
        <w:rPr>
          <w:rFonts w:ascii="Arial" w:hAnsi="Arial" w:cs="Arial"/>
          <w:sz w:val="20"/>
          <w:szCs w:val="20"/>
        </w:rPr>
        <w:t>ourselves</w:t>
      </w:r>
      <w:proofErr w:type="gramEnd"/>
      <w:r w:rsidR="00991561" w:rsidRPr="004177A1">
        <w:rPr>
          <w:rFonts w:ascii="Arial" w:hAnsi="Arial" w:cs="Arial"/>
          <w:sz w:val="20"/>
          <w:szCs w:val="20"/>
        </w:rPr>
        <w:t>, and overall bolster the cyber resilience of the electricity distribution network.</w:t>
      </w:r>
    </w:p>
    <w:p w14:paraId="6B1ADE78" w14:textId="77777777" w:rsidR="00961810" w:rsidRPr="004177A1" w:rsidRDefault="00961810" w:rsidP="006163DA">
      <w:pPr>
        <w:spacing w:after="0"/>
        <w:jc w:val="both"/>
        <w:rPr>
          <w:rFonts w:ascii="Arial" w:hAnsi="Arial" w:cs="Arial"/>
          <w:sz w:val="20"/>
          <w:szCs w:val="20"/>
        </w:rPr>
      </w:pPr>
    </w:p>
    <w:p w14:paraId="5008EBFA" w14:textId="78DEC7B9" w:rsidR="00C84E33" w:rsidRPr="004177A1" w:rsidRDefault="00961810" w:rsidP="006163DA">
      <w:pPr>
        <w:spacing w:after="0"/>
        <w:jc w:val="both"/>
        <w:rPr>
          <w:rFonts w:ascii="Arial" w:hAnsi="Arial" w:cs="Arial"/>
          <w:sz w:val="20"/>
          <w:szCs w:val="20"/>
        </w:rPr>
      </w:pPr>
      <w:r w:rsidRPr="004177A1">
        <w:rPr>
          <w:rFonts w:ascii="Arial" w:hAnsi="Arial" w:cs="Arial"/>
          <w:sz w:val="20"/>
          <w:szCs w:val="20"/>
        </w:rPr>
        <w:t>Furthermore, we also believe that it is crucial</w:t>
      </w:r>
      <w:r w:rsidR="00C84E33" w:rsidRPr="004177A1">
        <w:rPr>
          <w:rFonts w:ascii="Arial" w:hAnsi="Arial" w:cs="Arial"/>
          <w:sz w:val="20"/>
          <w:szCs w:val="20"/>
        </w:rPr>
        <w:t xml:space="preserve"> for Ofgem to work in close partnership with technology suppliers </w:t>
      </w:r>
      <w:r w:rsidR="00E700D0" w:rsidRPr="004177A1">
        <w:rPr>
          <w:rFonts w:ascii="Arial" w:hAnsi="Arial" w:cs="Arial"/>
          <w:sz w:val="20"/>
          <w:szCs w:val="20"/>
        </w:rPr>
        <w:t>to</w:t>
      </w:r>
      <w:r w:rsidR="00C84E33" w:rsidRPr="004177A1">
        <w:rPr>
          <w:rFonts w:ascii="Arial" w:hAnsi="Arial" w:cs="Arial"/>
          <w:sz w:val="20"/>
          <w:szCs w:val="20"/>
        </w:rPr>
        <w:t xml:space="preserve"> define an approach towards cyber resilience that focuses on secure outcomes. This approach should ensure that cyber risks are managed by the parties within the supply chain which are most appropriate and able to manage those risks. </w:t>
      </w:r>
    </w:p>
    <w:p w14:paraId="3875F96B" w14:textId="77777777" w:rsidR="00C84E33" w:rsidRPr="004177A1" w:rsidRDefault="00C84E33" w:rsidP="006163DA">
      <w:pPr>
        <w:spacing w:after="0"/>
        <w:jc w:val="both"/>
        <w:rPr>
          <w:rFonts w:ascii="Arial" w:hAnsi="Arial" w:cs="Arial"/>
          <w:sz w:val="20"/>
          <w:szCs w:val="20"/>
        </w:rPr>
      </w:pPr>
    </w:p>
    <w:p w14:paraId="1E0EC7E6" w14:textId="61E3BA73" w:rsidR="00961810" w:rsidRPr="004177A1" w:rsidRDefault="00C84E33" w:rsidP="006163DA">
      <w:pPr>
        <w:spacing w:after="0"/>
        <w:jc w:val="both"/>
        <w:rPr>
          <w:rFonts w:ascii="Arial" w:hAnsi="Arial" w:cs="Arial"/>
          <w:sz w:val="20"/>
          <w:szCs w:val="20"/>
        </w:rPr>
      </w:pPr>
      <w:r w:rsidRPr="004177A1">
        <w:rPr>
          <w:rFonts w:ascii="Arial" w:hAnsi="Arial" w:cs="Arial"/>
          <w:sz w:val="20"/>
          <w:szCs w:val="20"/>
        </w:rPr>
        <w:t xml:space="preserve">More broadly, it is important that the DNOs and other aspects of the supply chain work closely with technology suppliers </w:t>
      </w:r>
      <w:r w:rsidR="003F5580" w:rsidRPr="004177A1">
        <w:rPr>
          <w:rFonts w:ascii="Arial" w:hAnsi="Arial" w:cs="Arial"/>
          <w:sz w:val="20"/>
          <w:szCs w:val="20"/>
        </w:rPr>
        <w:t>to</w:t>
      </w:r>
      <w:r w:rsidRPr="004177A1">
        <w:rPr>
          <w:rFonts w:ascii="Arial" w:hAnsi="Arial" w:cs="Arial"/>
          <w:sz w:val="20"/>
          <w:szCs w:val="20"/>
        </w:rPr>
        <w:t xml:space="preserve"> ensure that systems are as secure as possible against cyber attacks. </w:t>
      </w:r>
    </w:p>
    <w:p w14:paraId="6FAD3DAA" w14:textId="77777777" w:rsidR="004B22E1" w:rsidRPr="004177A1" w:rsidRDefault="004B22E1" w:rsidP="006163DA">
      <w:pPr>
        <w:spacing w:after="0"/>
        <w:jc w:val="both"/>
        <w:rPr>
          <w:rFonts w:ascii="Arial" w:hAnsi="Arial" w:cs="Arial"/>
          <w:b/>
          <w:bCs/>
          <w:sz w:val="20"/>
          <w:szCs w:val="20"/>
        </w:rPr>
      </w:pPr>
    </w:p>
    <w:p w14:paraId="775C9FBE" w14:textId="77777777" w:rsidR="004B22E1" w:rsidRPr="004177A1" w:rsidRDefault="004B22E1" w:rsidP="006163DA">
      <w:pPr>
        <w:spacing w:after="0"/>
        <w:jc w:val="both"/>
        <w:rPr>
          <w:rFonts w:ascii="Arial" w:hAnsi="Arial" w:cs="Arial"/>
          <w:b/>
          <w:bCs/>
          <w:sz w:val="20"/>
          <w:szCs w:val="20"/>
        </w:rPr>
      </w:pPr>
      <w:r w:rsidRPr="004177A1">
        <w:rPr>
          <w:rFonts w:ascii="Arial" w:hAnsi="Arial" w:cs="Arial"/>
          <w:b/>
          <w:bCs/>
          <w:sz w:val="20"/>
          <w:szCs w:val="20"/>
        </w:rPr>
        <w:t xml:space="preserve">Q62. What specific issues are network companies facing in relation to the skills and capacity of their workforce and what measures should we take through the regulatory framework to mitigate these issues? </w:t>
      </w:r>
    </w:p>
    <w:p w14:paraId="0BB64899" w14:textId="77777777" w:rsidR="00C84E33" w:rsidRPr="004177A1" w:rsidRDefault="00C84E33" w:rsidP="006163DA">
      <w:pPr>
        <w:spacing w:after="0"/>
        <w:jc w:val="both"/>
        <w:rPr>
          <w:rFonts w:ascii="Arial" w:hAnsi="Arial" w:cs="Arial"/>
          <w:b/>
          <w:bCs/>
          <w:sz w:val="20"/>
          <w:szCs w:val="20"/>
        </w:rPr>
      </w:pPr>
    </w:p>
    <w:p w14:paraId="415A9186" w14:textId="172C2F3C" w:rsidR="00C84E33" w:rsidRPr="004177A1" w:rsidRDefault="00C84E33" w:rsidP="006163DA">
      <w:pPr>
        <w:spacing w:after="0"/>
        <w:jc w:val="both"/>
        <w:rPr>
          <w:rFonts w:ascii="Arial" w:hAnsi="Arial" w:cs="Arial"/>
          <w:sz w:val="20"/>
          <w:szCs w:val="20"/>
        </w:rPr>
      </w:pPr>
      <w:r w:rsidRPr="004177A1">
        <w:rPr>
          <w:rFonts w:ascii="Arial" w:hAnsi="Arial" w:cs="Arial"/>
          <w:sz w:val="20"/>
          <w:szCs w:val="20"/>
        </w:rPr>
        <w:t>As outlined in our response to Question 11, network companies and the wider sector are facing several challenges posed by workforce and skills shortages.</w:t>
      </w:r>
    </w:p>
    <w:p w14:paraId="405CF197" w14:textId="77777777" w:rsidR="00C84E33" w:rsidRPr="004177A1" w:rsidRDefault="00C84E33" w:rsidP="006163DA">
      <w:pPr>
        <w:spacing w:after="0"/>
        <w:jc w:val="both"/>
        <w:rPr>
          <w:rFonts w:ascii="Arial" w:hAnsi="Arial" w:cs="Arial"/>
          <w:sz w:val="20"/>
          <w:szCs w:val="20"/>
        </w:rPr>
      </w:pPr>
    </w:p>
    <w:p w14:paraId="4CCE1B28" w14:textId="0B74849B" w:rsidR="00155BDD" w:rsidRPr="004177A1" w:rsidRDefault="00E54E7D" w:rsidP="00C84E33">
      <w:pPr>
        <w:spacing w:after="0"/>
        <w:jc w:val="both"/>
        <w:rPr>
          <w:rFonts w:ascii="Arial" w:hAnsi="Arial" w:cs="Arial"/>
          <w:sz w:val="20"/>
          <w:szCs w:val="20"/>
          <w:lang w:val="en-GB"/>
        </w:rPr>
      </w:pPr>
      <w:r w:rsidRPr="004177A1">
        <w:rPr>
          <w:rFonts w:ascii="Arial" w:hAnsi="Arial" w:cs="Arial"/>
          <w:sz w:val="20"/>
          <w:szCs w:val="20"/>
        </w:rPr>
        <w:t>To</w:t>
      </w:r>
      <w:r w:rsidR="00C84E33" w:rsidRPr="004177A1">
        <w:rPr>
          <w:rFonts w:ascii="Arial" w:hAnsi="Arial" w:cs="Arial"/>
          <w:sz w:val="20"/>
          <w:szCs w:val="20"/>
        </w:rPr>
        <w:t xml:space="preserve"> mitigate these issues, </w:t>
      </w:r>
      <w:r w:rsidR="00155BDD" w:rsidRPr="004177A1">
        <w:rPr>
          <w:rFonts w:ascii="Arial" w:hAnsi="Arial" w:cs="Arial"/>
          <w:sz w:val="20"/>
          <w:szCs w:val="20"/>
        </w:rPr>
        <w:t xml:space="preserve">we urge Ofgem to work with the Government and Skills England as they develop </w:t>
      </w:r>
      <w:r w:rsidRPr="004177A1">
        <w:rPr>
          <w:rFonts w:ascii="Arial" w:hAnsi="Arial" w:cs="Arial"/>
          <w:sz w:val="20"/>
          <w:szCs w:val="20"/>
        </w:rPr>
        <w:t xml:space="preserve">the UK’s </w:t>
      </w:r>
      <w:r w:rsidR="00155BDD" w:rsidRPr="004177A1">
        <w:rPr>
          <w:rFonts w:ascii="Arial" w:hAnsi="Arial" w:cs="Arial"/>
          <w:sz w:val="20"/>
          <w:szCs w:val="20"/>
        </w:rPr>
        <w:t xml:space="preserve">skills policy, as well as with devolved authorities as they develop their Local Skills Improvements Plans (LSIPs). </w:t>
      </w:r>
      <w:r w:rsidR="00155BDD" w:rsidRPr="004177A1">
        <w:rPr>
          <w:rFonts w:ascii="Arial" w:hAnsi="Arial" w:cs="Arial"/>
          <w:sz w:val="20"/>
          <w:szCs w:val="20"/>
          <w:lang w:val="en-GB"/>
        </w:rPr>
        <w:t xml:space="preserve">Skills development in the UK is highly fragmented, and Ofgem has a key role in working with central and local government, as well as industry, to unify the UK’s approach towards skills policy and </w:t>
      </w:r>
      <w:r w:rsidR="00155BDD" w:rsidRPr="004177A1">
        <w:rPr>
          <w:rFonts w:ascii="Arial" w:hAnsi="Arial" w:cs="Arial"/>
          <w:sz w:val="20"/>
          <w:szCs w:val="20"/>
          <w:lang w:val="en-GB"/>
        </w:rPr>
        <w:lastRenderedPageBreak/>
        <w:t xml:space="preserve">training. By taking a leading role in green skills development via greater cooperation and its own regulatory framework, Ofgem can help improve access to skills training and funding opportunities. </w:t>
      </w:r>
    </w:p>
    <w:p w14:paraId="54CA4D9C" w14:textId="77777777" w:rsidR="00155BDD" w:rsidRPr="004177A1" w:rsidRDefault="00155BDD" w:rsidP="00C84E33">
      <w:pPr>
        <w:spacing w:after="0"/>
        <w:jc w:val="both"/>
        <w:rPr>
          <w:rFonts w:ascii="Arial" w:hAnsi="Arial" w:cs="Arial"/>
          <w:sz w:val="20"/>
          <w:szCs w:val="20"/>
          <w:lang w:val="en-GB"/>
        </w:rPr>
      </w:pPr>
    </w:p>
    <w:p w14:paraId="097FA93B" w14:textId="66358306" w:rsidR="00155BDD" w:rsidRPr="004177A1" w:rsidRDefault="00155BDD" w:rsidP="00C84E33">
      <w:pPr>
        <w:spacing w:after="0"/>
        <w:jc w:val="both"/>
        <w:rPr>
          <w:rFonts w:ascii="Arial" w:hAnsi="Arial" w:cs="Arial"/>
          <w:sz w:val="20"/>
          <w:szCs w:val="20"/>
          <w:lang w:val="en-GB"/>
        </w:rPr>
      </w:pPr>
      <w:proofErr w:type="gramStart"/>
      <w:r w:rsidRPr="004177A1">
        <w:rPr>
          <w:rFonts w:ascii="Arial" w:hAnsi="Arial" w:cs="Arial"/>
          <w:sz w:val="20"/>
          <w:szCs w:val="20"/>
          <w:lang w:val="en-GB"/>
        </w:rPr>
        <w:t>In particular, we</w:t>
      </w:r>
      <w:proofErr w:type="gramEnd"/>
      <w:r w:rsidRPr="004177A1">
        <w:rPr>
          <w:rFonts w:ascii="Arial" w:hAnsi="Arial" w:cs="Arial"/>
          <w:sz w:val="20"/>
          <w:szCs w:val="20"/>
          <w:lang w:val="en-GB"/>
        </w:rPr>
        <w:t xml:space="preserve"> would welcome Ofgem’s input to the Government as it reforms the Apprenticeship Levy into the Growth and Skills Levy. Currently, the Apprenticeship Levy </w:t>
      </w:r>
      <w:r w:rsidR="00C84E33" w:rsidRPr="004177A1">
        <w:rPr>
          <w:rFonts w:ascii="Arial" w:hAnsi="Arial" w:cs="Arial"/>
          <w:sz w:val="20"/>
          <w:szCs w:val="20"/>
          <w:lang w:val="en-GB"/>
        </w:rPr>
        <w:t xml:space="preserve">does not adequately support the skills needs </w:t>
      </w:r>
      <w:r w:rsidRPr="004177A1">
        <w:rPr>
          <w:rFonts w:ascii="Arial" w:hAnsi="Arial" w:cs="Arial"/>
          <w:sz w:val="20"/>
          <w:szCs w:val="20"/>
          <w:lang w:val="en-GB"/>
        </w:rPr>
        <w:t>of the green transition</w:t>
      </w:r>
      <w:r w:rsidR="00C84E33" w:rsidRPr="004177A1">
        <w:rPr>
          <w:rFonts w:ascii="Arial" w:hAnsi="Arial" w:cs="Arial"/>
          <w:sz w:val="20"/>
          <w:szCs w:val="20"/>
          <w:lang w:val="en-GB"/>
        </w:rPr>
        <w:t xml:space="preserve">, such as attracting talent from diverse backgrounds, supporting early career entrants, facilitating reskilling, and enabling their transition from other sectors. This is a major barrier for </w:t>
      </w:r>
      <w:r w:rsidRPr="004177A1">
        <w:rPr>
          <w:rFonts w:ascii="Arial" w:hAnsi="Arial" w:cs="Arial"/>
          <w:sz w:val="20"/>
          <w:szCs w:val="20"/>
          <w:lang w:val="en-GB"/>
        </w:rPr>
        <w:t>network reinforcement delivery and the development of new electricity distribution infrastructure.</w:t>
      </w:r>
      <w:r w:rsidR="00C84E33" w:rsidRPr="004177A1">
        <w:rPr>
          <w:rFonts w:ascii="Arial" w:hAnsi="Arial" w:cs="Arial"/>
          <w:sz w:val="20"/>
          <w:szCs w:val="20"/>
          <w:lang w:val="en-GB"/>
        </w:rPr>
        <w:t xml:space="preserve"> There is a need for new mechanisms that better align with these demands for reskilling, upskilling and the acquisition of new skilled talent, as the Apprenticeship Levy in its current form does not support this approach.</w:t>
      </w:r>
    </w:p>
    <w:p w14:paraId="30D0AC0E" w14:textId="556D3B7F" w:rsidR="00C84E33" w:rsidRPr="004177A1" w:rsidRDefault="00C84E33" w:rsidP="006163DA">
      <w:pPr>
        <w:spacing w:after="0"/>
        <w:jc w:val="both"/>
        <w:rPr>
          <w:rFonts w:ascii="Arial" w:hAnsi="Arial" w:cs="Arial"/>
          <w:sz w:val="20"/>
          <w:szCs w:val="20"/>
        </w:rPr>
      </w:pPr>
    </w:p>
    <w:p w14:paraId="33A0A5CB" w14:textId="77777777" w:rsidR="004B22E1" w:rsidRPr="004177A1" w:rsidRDefault="004B22E1" w:rsidP="006163DA">
      <w:pPr>
        <w:spacing w:after="0"/>
        <w:jc w:val="both"/>
        <w:rPr>
          <w:rFonts w:ascii="Arial" w:hAnsi="Arial" w:cs="Arial"/>
          <w:b/>
          <w:bCs/>
          <w:sz w:val="20"/>
          <w:szCs w:val="20"/>
        </w:rPr>
      </w:pPr>
      <w:r w:rsidRPr="004177A1">
        <w:rPr>
          <w:rFonts w:ascii="Arial" w:hAnsi="Arial" w:cs="Arial"/>
          <w:b/>
          <w:bCs/>
          <w:sz w:val="20"/>
          <w:szCs w:val="20"/>
        </w:rPr>
        <w:t>Q63. What specific issues are supply chains facing and what measures should we take through the regulatory framework to mitigate these issues?</w:t>
      </w:r>
    </w:p>
    <w:p w14:paraId="71B267F4" w14:textId="77777777" w:rsidR="00CC29CB" w:rsidRPr="004177A1" w:rsidRDefault="00CC29CB" w:rsidP="006163DA">
      <w:pPr>
        <w:spacing w:after="0"/>
        <w:jc w:val="both"/>
        <w:rPr>
          <w:rFonts w:ascii="Arial" w:hAnsi="Arial" w:cs="Arial"/>
          <w:b/>
          <w:bCs/>
          <w:sz w:val="20"/>
          <w:szCs w:val="20"/>
        </w:rPr>
      </w:pPr>
    </w:p>
    <w:p w14:paraId="1D4A440C" w14:textId="4C8F2B1B" w:rsidR="00CC29CB" w:rsidRDefault="00CC29CB" w:rsidP="006163DA">
      <w:pPr>
        <w:spacing w:after="0"/>
        <w:jc w:val="both"/>
        <w:rPr>
          <w:rFonts w:ascii="Arial" w:hAnsi="Arial" w:cs="Arial"/>
          <w:sz w:val="20"/>
          <w:szCs w:val="20"/>
          <w:lang w:val="en-GB"/>
        </w:rPr>
      </w:pPr>
      <w:r w:rsidRPr="004177A1">
        <w:rPr>
          <w:rFonts w:ascii="Arial" w:hAnsi="Arial" w:cs="Arial"/>
          <w:sz w:val="20"/>
          <w:szCs w:val="20"/>
        </w:rPr>
        <w:t xml:space="preserve">As outlined in our response to Question 11, network companies and the wider sector are facing several challenges posed by supply chain constraints. </w:t>
      </w:r>
      <w:r w:rsidR="00E54E7D" w:rsidRPr="004177A1">
        <w:rPr>
          <w:rFonts w:ascii="Arial" w:hAnsi="Arial" w:cs="Arial"/>
          <w:sz w:val="20"/>
          <w:szCs w:val="20"/>
        </w:rPr>
        <w:t>To</w:t>
      </w:r>
      <w:r w:rsidRPr="004177A1">
        <w:rPr>
          <w:rFonts w:ascii="Arial" w:hAnsi="Arial" w:cs="Arial"/>
          <w:sz w:val="20"/>
          <w:szCs w:val="20"/>
        </w:rPr>
        <w:t xml:space="preserve"> mitigate these issues,</w:t>
      </w:r>
      <w:r w:rsidRPr="004177A1">
        <w:rPr>
          <w:rFonts w:ascii="Arial" w:hAnsi="Arial" w:cs="Arial"/>
          <w:sz w:val="20"/>
          <w:szCs w:val="20"/>
          <w:lang w:val="en-GB"/>
        </w:rPr>
        <w:t xml:space="preserve"> it is vital that Ofgem works with the Government, regulators, and industry to ensure that the global supply chain is attracted to UK electricity distribution network projects, whilst at the same time the UK grows its own capabilities and workforce in this sector. </w:t>
      </w:r>
    </w:p>
    <w:p w14:paraId="348F2204" w14:textId="77777777" w:rsidR="00EB59A3" w:rsidRDefault="00EB59A3" w:rsidP="006163DA">
      <w:pPr>
        <w:spacing w:after="0"/>
        <w:jc w:val="both"/>
        <w:rPr>
          <w:rFonts w:ascii="Arial" w:hAnsi="Arial" w:cs="Arial"/>
          <w:sz w:val="20"/>
          <w:szCs w:val="20"/>
          <w:lang w:val="en-GB"/>
        </w:rPr>
      </w:pPr>
    </w:p>
    <w:p w14:paraId="1543926D" w14:textId="4BD07FC0" w:rsidR="00EB59A3" w:rsidRPr="004177A1" w:rsidRDefault="00EB59A3" w:rsidP="00FE1204">
      <w:pPr>
        <w:spacing w:after="0"/>
        <w:jc w:val="both"/>
        <w:rPr>
          <w:rFonts w:ascii="Arial" w:hAnsi="Arial" w:cs="Arial"/>
          <w:sz w:val="20"/>
          <w:szCs w:val="20"/>
          <w:lang w:val="en-GB"/>
        </w:rPr>
      </w:pPr>
      <w:r>
        <w:rPr>
          <w:rFonts w:ascii="Arial" w:hAnsi="Arial" w:cs="Arial"/>
          <w:sz w:val="20"/>
          <w:szCs w:val="20"/>
          <w:lang w:val="en-GB"/>
        </w:rPr>
        <w:t>A significant issue present in the UK market is the lack of standardisation. For many components used in the distribution network, there are no consistent specification</w:t>
      </w:r>
      <w:r w:rsidR="00023DF8">
        <w:rPr>
          <w:rFonts w:ascii="Arial" w:hAnsi="Arial" w:cs="Arial"/>
          <w:sz w:val="20"/>
          <w:szCs w:val="20"/>
          <w:lang w:val="en-GB"/>
        </w:rPr>
        <w:t>s</w:t>
      </w:r>
      <w:r>
        <w:rPr>
          <w:rFonts w:ascii="Arial" w:hAnsi="Arial" w:cs="Arial"/>
          <w:sz w:val="20"/>
          <w:szCs w:val="20"/>
          <w:lang w:val="en-GB"/>
        </w:rPr>
        <w:t xml:space="preserve"> and several variants of product types between DNOs. This inconsistency and variety </w:t>
      </w:r>
      <w:proofErr w:type="gramStart"/>
      <w:r w:rsidR="005C5F96">
        <w:rPr>
          <w:rFonts w:ascii="Arial" w:hAnsi="Arial" w:cs="Arial"/>
          <w:sz w:val="20"/>
          <w:szCs w:val="20"/>
          <w:lang w:val="en-GB"/>
        </w:rPr>
        <w:t>creates</w:t>
      </w:r>
      <w:proofErr w:type="gramEnd"/>
      <w:r>
        <w:rPr>
          <w:rFonts w:ascii="Arial" w:hAnsi="Arial" w:cs="Arial"/>
          <w:sz w:val="20"/>
          <w:szCs w:val="20"/>
          <w:lang w:val="en-GB"/>
        </w:rPr>
        <w:t xml:space="preserve"> additional costs for the manufacturers of these components as well as increased delivery times, which in turn results in the deprioritisation of the UK market by the global supply chain and investors. </w:t>
      </w:r>
    </w:p>
    <w:p w14:paraId="2EC5848C" w14:textId="77777777" w:rsidR="00CC29CB" w:rsidRPr="004177A1" w:rsidRDefault="00CC29CB" w:rsidP="006163DA">
      <w:pPr>
        <w:spacing w:after="0"/>
        <w:jc w:val="both"/>
        <w:rPr>
          <w:rFonts w:ascii="Arial" w:hAnsi="Arial" w:cs="Arial"/>
          <w:sz w:val="20"/>
          <w:szCs w:val="20"/>
          <w:lang w:val="en-GB"/>
        </w:rPr>
      </w:pPr>
    </w:p>
    <w:p w14:paraId="5D31B9F4" w14:textId="3BB3C3FA" w:rsidR="00EB59A3" w:rsidRPr="004177A1" w:rsidRDefault="00FE1204" w:rsidP="00FE1204">
      <w:pPr>
        <w:spacing w:after="0"/>
        <w:jc w:val="both"/>
        <w:rPr>
          <w:rFonts w:ascii="Arial" w:hAnsi="Arial" w:cs="Arial"/>
          <w:sz w:val="20"/>
          <w:szCs w:val="20"/>
          <w:lang w:val="en-GB"/>
        </w:rPr>
      </w:pPr>
      <w:r>
        <w:rPr>
          <w:rFonts w:ascii="Arial" w:hAnsi="Arial" w:cs="Arial"/>
          <w:sz w:val="20"/>
          <w:szCs w:val="20"/>
          <w:lang w:val="en-GB"/>
        </w:rPr>
        <w:t>Furthermore, the</w:t>
      </w:r>
      <w:r w:rsidR="00CC29CB" w:rsidRPr="004177A1">
        <w:rPr>
          <w:rFonts w:ascii="Arial" w:hAnsi="Arial" w:cs="Arial"/>
          <w:sz w:val="20"/>
          <w:szCs w:val="20"/>
          <w:lang w:val="en-GB"/>
        </w:rPr>
        <w:t xml:space="preserve"> current procurement approach </w:t>
      </w:r>
      <w:r>
        <w:rPr>
          <w:rFonts w:ascii="Arial" w:hAnsi="Arial" w:cs="Arial"/>
          <w:sz w:val="20"/>
          <w:szCs w:val="20"/>
          <w:lang w:val="en-GB"/>
        </w:rPr>
        <w:t xml:space="preserve">in the UK is another major issue. The current approach </w:t>
      </w:r>
      <w:r w:rsidR="00CC29CB" w:rsidRPr="004177A1">
        <w:rPr>
          <w:rFonts w:ascii="Arial" w:hAnsi="Arial" w:cs="Arial"/>
          <w:sz w:val="20"/>
          <w:szCs w:val="20"/>
          <w:lang w:val="en-GB"/>
        </w:rPr>
        <w:t xml:space="preserve">significantly reduces the UK’s attractiveness to global supply chains.  Currently, the UK’s approach towards procurement fragments the purchases of supply chain capacity amongst different players in the sector – such as developers, </w:t>
      </w:r>
      <w:r w:rsidR="000209C0" w:rsidRPr="004177A1">
        <w:rPr>
          <w:rFonts w:ascii="Arial" w:hAnsi="Arial" w:cs="Arial"/>
          <w:sz w:val="20"/>
          <w:szCs w:val="20"/>
          <w:lang w:val="en-GB"/>
        </w:rPr>
        <w:t>TOs</w:t>
      </w:r>
      <w:r w:rsidR="00CC29CB" w:rsidRPr="004177A1">
        <w:rPr>
          <w:rFonts w:ascii="Arial" w:hAnsi="Arial" w:cs="Arial"/>
          <w:sz w:val="20"/>
          <w:szCs w:val="20"/>
          <w:lang w:val="en-GB"/>
        </w:rPr>
        <w:t xml:space="preserve">, </w:t>
      </w:r>
      <w:r w:rsidR="000209C0" w:rsidRPr="004177A1">
        <w:rPr>
          <w:rFonts w:ascii="Arial" w:hAnsi="Arial" w:cs="Arial"/>
          <w:sz w:val="20"/>
          <w:szCs w:val="20"/>
          <w:lang w:val="en-GB"/>
        </w:rPr>
        <w:t>ITOs</w:t>
      </w:r>
      <w:r w:rsidR="00CC29CB" w:rsidRPr="004177A1">
        <w:rPr>
          <w:rFonts w:ascii="Arial" w:hAnsi="Arial" w:cs="Arial"/>
          <w:sz w:val="20"/>
          <w:szCs w:val="20"/>
          <w:lang w:val="en-GB"/>
        </w:rPr>
        <w:t xml:space="preserve">, </w:t>
      </w:r>
      <w:r w:rsidR="000209C0" w:rsidRPr="004177A1">
        <w:rPr>
          <w:rFonts w:ascii="Arial" w:hAnsi="Arial" w:cs="Arial"/>
          <w:sz w:val="20"/>
          <w:szCs w:val="20"/>
          <w:lang w:val="en-GB"/>
        </w:rPr>
        <w:t xml:space="preserve">DNOs, </w:t>
      </w:r>
      <w:r w:rsidR="00CC29CB" w:rsidRPr="004177A1">
        <w:rPr>
          <w:rFonts w:ascii="Arial" w:hAnsi="Arial" w:cs="Arial"/>
          <w:sz w:val="20"/>
          <w:szCs w:val="20"/>
          <w:lang w:val="en-GB"/>
        </w:rPr>
        <w:t xml:space="preserve">and </w:t>
      </w:r>
      <w:r w:rsidR="000209C0" w:rsidRPr="004177A1">
        <w:rPr>
          <w:rFonts w:ascii="Arial" w:hAnsi="Arial" w:cs="Arial"/>
          <w:sz w:val="20"/>
          <w:szCs w:val="20"/>
          <w:lang w:val="en-GB"/>
        </w:rPr>
        <w:t>IDNOs</w:t>
      </w:r>
      <w:r w:rsidR="00CC29CB" w:rsidRPr="004177A1">
        <w:rPr>
          <w:rFonts w:ascii="Arial" w:hAnsi="Arial" w:cs="Arial"/>
          <w:b/>
          <w:bCs/>
          <w:sz w:val="20"/>
          <w:szCs w:val="20"/>
          <w:lang w:val="en-GB"/>
        </w:rPr>
        <w:t xml:space="preserve"> – </w:t>
      </w:r>
      <w:r w:rsidR="00CC29CB" w:rsidRPr="004177A1">
        <w:rPr>
          <w:rFonts w:ascii="Arial" w:hAnsi="Arial" w:cs="Arial"/>
          <w:sz w:val="20"/>
          <w:szCs w:val="20"/>
          <w:lang w:val="en-GB"/>
        </w:rPr>
        <w:t>which other countries</w:t>
      </w:r>
      <w:r w:rsidR="00CC29CB" w:rsidRPr="004177A1">
        <w:rPr>
          <w:rFonts w:ascii="Arial" w:hAnsi="Arial" w:cs="Arial"/>
          <w:b/>
          <w:bCs/>
          <w:sz w:val="20"/>
          <w:szCs w:val="20"/>
          <w:lang w:val="en-GB"/>
        </w:rPr>
        <w:t xml:space="preserve"> </w:t>
      </w:r>
      <w:r w:rsidR="00CC29CB" w:rsidRPr="004177A1">
        <w:rPr>
          <w:rFonts w:ascii="Arial" w:hAnsi="Arial" w:cs="Arial"/>
          <w:sz w:val="20"/>
          <w:szCs w:val="20"/>
          <w:lang w:val="en-GB"/>
        </w:rPr>
        <w:t>have addressed by</w:t>
      </w:r>
      <w:r w:rsidR="00CC29CB" w:rsidRPr="004177A1">
        <w:rPr>
          <w:rFonts w:ascii="Arial" w:hAnsi="Arial" w:cs="Arial"/>
          <w:b/>
          <w:bCs/>
          <w:sz w:val="20"/>
          <w:szCs w:val="20"/>
          <w:lang w:val="en-GB"/>
        </w:rPr>
        <w:t xml:space="preserve"> </w:t>
      </w:r>
      <w:r w:rsidR="00CC29CB" w:rsidRPr="004177A1">
        <w:rPr>
          <w:rFonts w:ascii="Arial" w:hAnsi="Arial" w:cs="Arial"/>
          <w:sz w:val="20"/>
          <w:szCs w:val="20"/>
          <w:lang w:val="en-GB"/>
        </w:rPr>
        <w:t>taking</w:t>
      </w:r>
      <w:r w:rsidR="00CC29CB" w:rsidRPr="004177A1">
        <w:rPr>
          <w:rFonts w:ascii="Arial" w:hAnsi="Arial" w:cs="Arial"/>
          <w:b/>
          <w:bCs/>
          <w:sz w:val="20"/>
          <w:szCs w:val="20"/>
          <w:lang w:val="en-GB"/>
        </w:rPr>
        <w:t xml:space="preserve"> </w:t>
      </w:r>
      <w:r w:rsidR="00CC29CB" w:rsidRPr="004177A1">
        <w:rPr>
          <w:rFonts w:ascii="Arial" w:hAnsi="Arial" w:cs="Arial"/>
          <w:sz w:val="20"/>
          <w:szCs w:val="20"/>
          <w:lang w:val="en-GB"/>
        </w:rPr>
        <w:t>a more centralised purchasing approach. Reforming procurement processes</w:t>
      </w:r>
      <w:r w:rsidR="005C5F96">
        <w:rPr>
          <w:rFonts w:ascii="Arial" w:hAnsi="Arial" w:cs="Arial"/>
          <w:sz w:val="20"/>
          <w:szCs w:val="20"/>
          <w:lang w:val="en-GB"/>
        </w:rPr>
        <w:t xml:space="preserve"> will </w:t>
      </w:r>
      <w:r w:rsidR="000209C0" w:rsidRPr="004177A1">
        <w:rPr>
          <w:rFonts w:ascii="Arial" w:hAnsi="Arial" w:cs="Arial"/>
          <w:sz w:val="20"/>
          <w:szCs w:val="20"/>
          <w:lang w:val="en-GB"/>
        </w:rPr>
        <w:t>help alleviate</w:t>
      </w:r>
      <w:r w:rsidR="00CC29CB" w:rsidRPr="004177A1">
        <w:rPr>
          <w:rFonts w:ascii="Arial" w:hAnsi="Arial" w:cs="Arial"/>
          <w:sz w:val="20"/>
          <w:szCs w:val="20"/>
          <w:lang w:val="en-GB"/>
        </w:rPr>
        <w:t xml:space="preserve"> wider supply chain </w:t>
      </w:r>
      <w:r w:rsidR="000209C0" w:rsidRPr="004177A1">
        <w:rPr>
          <w:rFonts w:ascii="Arial" w:hAnsi="Arial" w:cs="Arial"/>
          <w:sz w:val="20"/>
          <w:szCs w:val="20"/>
          <w:lang w:val="en-GB"/>
        </w:rPr>
        <w:t>constraints by</w:t>
      </w:r>
      <w:r w:rsidR="00CC29CB" w:rsidRPr="004177A1">
        <w:rPr>
          <w:rFonts w:ascii="Arial" w:hAnsi="Arial" w:cs="Arial"/>
          <w:sz w:val="20"/>
          <w:szCs w:val="20"/>
          <w:lang w:val="en-GB"/>
        </w:rPr>
        <w:t xml:space="preserve"> provid</w:t>
      </w:r>
      <w:r w:rsidR="000209C0" w:rsidRPr="004177A1">
        <w:rPr>
          <w:rFonts w:ascii="Arial" w:hAnsi="Arial" w:cs="Arial"/>
          <w:sz w:val="20"/>
          <w:szCs w:val="20"/>
          <w:lang w:val="en-GB"/>
        </w:rPr>
        <w:t>ing</w:t>
      </w:r>
      <w:r w:rsidR="00CC29CB" w:rsidRPr="004177A1">
        <w:rPr>
          <w:rFonts w:ascii="Arial" w:hAnsi="Arial" w:cs="Arial"/>
          <w:sz w:val="20"/>
          <w:szCs w:val="20"/>
          <w:lang w:val="en-GB"/>
        </w:rPr>
        <w:t xml:space="preserve"> greater clarity to investors </w:t>
      </w:r>
      <w:r w:rsidR="000209C0" w:rsidRPr="004177A1">
        <w:rPr>
          <w:rFonts w:ascii="Arial" w:hAnsi="Arial" w:cs="Arial"/>
          <w:sz w:val="20"/>
          <w:szCs w:val="20"/>
          <w:lang w:val="en-GB"/>
        </w:rPr>
        <w:t xml:space="preserve">through </w:t>
      </w:r>
      <w:r w:rsidR="00CC29CB" w:rsidRPr="004177A1">
        <w:rPr>
          <w:rFonts w:ascii="Arial" w:hAnsi="Arial" w:cs="Arial"/>
          <w:sz w:val="20"/>
          <w:szCs w:val="20"/>
          <w:lang w:val="en-GB"/>
        </w:rPr>
        <w:t>long</w:t>
      </w:r>
      <w:r w:rsidR="000209C0" w:rsidRPr="004177A1">
        <w:rPr>
          <w:rFonts w:ascii="Arial" w:hAnsi="Arial" w:cs="Arial"/>
          <w:sz w:val="20"/>
          <w:szCs w:val="20"/>
          <w:lang w:val="en-GB"/>
        </w:rPr>
        <w:t>er</w:t>
      </w:r>
      <w:r w:rsidR="00CC29CB" w:rsidRPr="004177A1">
        <w:rPr>
          <w:rFonts w:ascii="Arial" w:hAnsi="Arial" w:cs="Arial"/>
          <w:sz w:val="20"/>
          <w:szCs w:val="20"/>
          <w:lang w:val="en-GB"/>
        </w:rPr>
        <w:t xml:space="preserve">-term visibility of and commitment to projects. Reform can be achieved by </w:t>
      </w:r>
      <w:r w:rsidR="000209C0" w:rsidRPr="004177A1">
        <w:rPr>
          <w:rFonts w:ascii="Arial" w:hAnsi="Arial" w:cs="Arial"/>
          <w:sz w:val="20"/>
          <w:szCs w:val="20"/>
          <w:lang w:val="en-GB"/>
        </w:rPr>
        <w:t>Ofgem</w:t>
      </w:r>
      <w:r w:rsidR="00CC29CB" w:rsidRPr="004177A1">
        <w:rPr>
          <w:rFonts w:ascii="Arial" w:hAnsi="Arial" w:cs="Arial"/>
          <w:sz w:val="20"/>
          <w:szCs w:val="20"/>
          <w:lang w:val="en-GB"/>
        </w:rPr>
        <w:t xml:space="preserve"> via various means, including facilitating longer-term procurement partnerships</w:t>
      </w:r>
      <w:r w:rsidR="000209C0" w:rsidRPr="004177A1">
        <w:rPr>
          <w:rFonts w:ascii="Arial" w:hAnsi="Arial" w:cs="Arial"/>
          <w:sz w:val="20"/>
          <w:szCs w:val="20"/>
          <w:lang w:val="en-GB"/>
        </w:rPr>
        <w:t xml:space="preserve">, encouraging </w:t>
      </w:r>
      <w:r w:rsidR="00CC29CB" w:rsidRPr="004177A1">
        <w:rPr>
          <w:rFonts w:ascii="Arial" w:hAnsi="Arial" w:cs="Arial"/>
          <w:sz w:val="20"/>
          <w:szCs w:val="20"/>
          <w:lang w:val="en-GB"/>
        </w:rPr>
        <w:t>a clear and transparent project pipeline,</w:t>
      </w:r>
      <w:r w:rsidR="000209C0" w:rsidRPr="004177A1">
        <w:rPr>
          <w:rFonts w:ascii="Arial" w:hAnsi="Arial" w:cs="Arial"/>
          <w:sz w:val="20"/>
          <w:szCs w:val="20"/>
          <w:lang w:val="en-GB"/>
        </w:rPr>
        <w:t xml:space="preserve"> and</w:t>
      </w:r>
      <w:r w:rsidR="00CC29CB" w:rsidRPr="004177A1">
        <w:rPr>
          <w:rFonts w:ascii="Arial" w:hAnsi="Arial" w:cs="Arial"/>
          <w:sz w:val="20"/>
          <w:szCs w:val="20"/>
          <w:lang w:val="en-GB"/>
        </w:rPr>
        <w:t xml:space="preserve"> </w:t>
      </w:r>
      <w:r w:rsidR="000209C0" w:rsidRPr="004177A1">
        <w:rPr>
          <w:rFonts w:ascii="Arial" w:hAnsi="Arial" w:cs="Arial"/>
          <w:sz w:val="20"/>
          <w:szCs w:val="20"/>
          <w:lang w:val="en-GB"/>
        </w:rPr>
        <w:t>standardising</w:t>
      </w:r>
      <w:r w:rsidR="00CC29CB" w:rsidRPr="004177A1">
        <w:rPr>
          <w:rFonts w:ascii="Arial" w:hAnsi="Arial" w:cs="Arial"/>
          <w:sz w:val="20"/>
          <w:szCs w:val="20"/>
          <w:lang w:val="en-GB"/>
        </w:rPr>
        <w:t xml:space="preserve"> product solutions</w:t>
      </w:r>
      <w:r w:rsidR="000209C0" w:rsidRPr="004177A1">
        <w:rPr>
          <w:rFonts w:ascii="Arial" w:hAnsi="Arial" w:cs="Arial"/>
          <w:sz w:val="20"/>
          <w:szCs w:val="20"/>
          <w:lang w:val="en-GB"/>
        </w:rPr>
        <w:t xml:space="preserve">. </w:t>
      </w:r>
    </w:p>
    <w:p w14:paraId="075F7235" w14:textId="77777777" w:rsidR="0051601D" w:rsidRPr="004177A1" w:rsidRDefault="0051601D" w:rsidP="006163DA">
      <w:pPr>
        <w:spacing w:after="0"/>
        <w:jc w:val="both"/>
        <w:rPr>
          <w:rFonts w:ascii="Arial" w:hAnsi="Arial" w:cs="Arial"/>
          <w:sz w:val="20"/>
          <w:szCs w:val="20"/>
          <w:lang w:val="en-GB"/>
        </w:rPr>
      </w:pPr>
    </w:p>
    <w:p w14:paraId="01FC9D84" w14:textId="32F19159" w:rsidR="00CC29CB" w:rsidRPr="004177A1" w:rsidRDefault="000209C0" w:rsidP="006163DA">
      <w:pPr>
        <w:spacing w:after="0"/>
        <w:jc w:val="both"/>
        <w:rPr>
          <w:rFonts w:ascii="Arial" w:hAnsi="Arial" w:cs="Arial"/>
          <w:sz w:val="20"/>
          <w:szCs w:val="20"/>
          <w:lang w:val="en-GB"/>
        </w:rPr>
      </w:pPr>
      <w:r w:rsidRPr="004177A1">
        <w:rPr>
          <w:rFonts w:ascii="Arial" w:hAnsi="Arial" w:cs="Arial"/>
          <w:sz w:val="20"/>
          <w:szCs w:val="20"/>
          <w:lang w:val="en-GB"/>
        </w:rPr>
        <w:t xml:space="preserve">Ofgem can play a major </w:t>
      </w:r>
      <w:r w:rsidR="0051601D" w:rsidRPr="004177A1">
        <w:rPr>
          <w:rFonts w:ascii="Arial" w:hAnsi="Arial" w:cs="Arial"/>
          <w:sz w:val="20"/>
          <w:szCs w:val="20"/>
          <w:lang w:val="en-GB"/>
        </w:rPr>
        <w:t>role</w:t>
      </w:r>
      <w:r w:rsidRPr="004177A1">
        <w:rPr>
          <w:rFonts w:ascii="Arial" w:hAnsi="Arial" w:cs="Arial"/>
          <w:sz w:val="20"/>
          <w:szCs w:val="20"/>
          <w:lang w:val="en-GB"/>
        </w:rPr>
        <w:t xml:space="preserve"> in </w:t>
      </w:r>
      <w:r w:rsidR="005C5F96">
        <w:rPr>
          <w:rFonts w:ascii="Arial" w:hAnsi="Arial" w:cs="Arial"/>
          <w:sz w:val="20"/>
          <w:szCs w:val="20"/>
          <w:lang w:val="en-GB"/>
        </w:rPr>
        <w:t xml:space="preserve">market </w:t>
      </w:r>
      <w:r w:rsidRPr="004177A1">
        <w:rPr>
          <w:rFonts w:ascii="Arial" w:hAnsi="Arial" w:cs="Arial"/>
          <w:sz w:val="20"/>
          <w:szCs w:val="20"/>
          <w:lang w:val="en-GB"/>
        </w:rPr>
        <w:t xml:space="preserve">reform by adopting </w:t>
      </w:r>
      <w:r w:rsidR="00CC29CB" w:rsidRPr="004177A1">
        <w:rPr>
          <w:rFonts w:ascii="Arial" w:hAnsi="Arial" w:cs="Arial"/>
          <w:sz w:val="20"/>
          <w:szCs w:val="20"/>
          <w:lang w:val="en-GB"/>
        </w:rPr>
        <w:t>the Advanced Procurement Mechanism (APM)</w:t>
      </w:r>
      <w:r w:rsidRPr="004177A1">
        <w:rPr>
          <w:rFonts w:ascii="Arial" w:hAnsi="Arial" w:cs="Arial"/>
          <w:sz w:val="20"/>
          <w:szCs w:val="20"/>
          <w:lang w:val="en-GB"/>
        </w:rPr>
        <w:t xml:space="preserve"> for procurement in the </w:t>
      </w:r>
      <w:r w:rsidR="005C5F96">
        <w:rPr>
          <w:rFonts w:ascii="Arial" w:hAnsi="Arial" w:cs="Arial"/>
          <w:sz w:val="20"/>
          <w:szCs w:val="20"/>
          <w:lang w:val="en-GB"/>
        </w:rPr>
        <w:t xml:space="preserve">UK </w:t>
      </w:r>
      <w:r w:rsidRPr="004177A1">
        <w:rPr>
          <w:rFonts w:ascii="Arial" w:hAnsi="Arial" w:cs="Arial"/>
          <w:sz w:val="20"/>
          <w:szCs w:val="20"/>
          <w:lang w:val="en-GB"/>
        </w:rPr>
        <w:t xml:space="preserve">electricity transmission sector. As stated in our response to Ofgem’s consultation on </w:t>
      </w:r>
      <w:r w:rsidR="0018010D" w:rsidRPr="004177A1">
        <w:rPr>
          <w:rFonts w:ascii="Arial" w:hAnsi="Arial" w:cs="Arial"/>
          <w:sz w:val="20"/>
          <w:szCs w:val="20"/>
          <w:lang w:val="en-GB"/>
        </w:rPr>
        <w:t xml:space="preserve">the </w:t>
      </w:r>
      <w:r w:rsidRPr="004177A1">
        <w:rPr>
          <w:rFonts w:ascii="Arial" w:hAnsi="Arial" w:cs="Arial"/>
          <w:sz w:val="20"/>
          <w:szCs w:val="20"/>
          <w:lang w:val="en-GB"/>
        </w:rPr>
        <w:t>APM, adoption</w:t>
      </w:r>
      <w:r w:rsidR="00CC29CB" w:rsidRPr="004177A1">
        <w:rPr>
          <w:rFonts w:ascii="Arial" w:hAnsi="Arial" w:cs="Arial"/>
          <w:sz w:val="20"/>
          <w:szCs w:val="20"/>
          <w:lang w:val="en-GB"/>
        </w:rPr>
        <w:t xml:space="preserve"> will assist network companies to secure supplier capacity by allowing them to place orders as early as possible. APM will aim to reduce risks to delivery and mitigate supply chain issues. </w:t>
      </w:r>
      <w:r w:rsidRPr="004177A1">
        <w:rPr>
          <w:rFonts w:ascii="Arial" w:hAnsi="Arial" w:cs="Arial"/>
          <w:sz w:val="20"/>
          <w:szCs w:val="20"/>
          <w:lang w:val="en-GB"/>
        </w:rPr>
        <w:t xml:space="preserve">We believe that Ofgem should consider adopting similar procurement process for the electricity distribution sector, which will help ensure early clarity on project needs. </w:t>
      </w:r>
    </w:p>
    <w:p w14:paraId="6F02490F" w14:textId="77777777" w:rsidR="000209C0" w:rsidRPr="004177A1" w:rsidRDefault="000209C0" w:rsidP="006163DA">
      <w:pPr>
        <w:spacing w:after="0"/>
        <w:jc w:val="both"/>
        <w:rPr>
          <w:rFonts w:ascii="Arial" w:hAnsi="Arial" w:cs="Arial"/>
          <w:sz w:val="20"/>
          <w:szCs w:val="20"/>
          <w:lang w:val="en-GB"/>
        </w:rPr>
      </w:pPr>
    </w:p>
    <w:p w14:paraId="2495E3F5" w14:textId="7A8AC814" w:rsidR="004B22E1" w:rsidRDefault="000209C0" w:rsidP="006163DA">
      <w:pPr>
        <w:spacing w:after="0"/>
        <w:jc w:val="both"/>
        <w:rPr>
          <w:rFonts w:ascii="Arial" w:hAnsi="Arial" w:cs="Arial"/>
          <w:sz w:val="20"/>
          <w:szCs w:val="20"/>
          <w:lang w:val="en-GB"/>
        </w:rPr>
      </w:pPr>
      <w:r w:rsidRPr="004177A1">
        <w:rPr>
          <w:rFonts w:ascii="Arial" w:hAnsi="Arial" w:cs="Arial"/>
          <w:sz w:val="20"/>
          <w:szCs w:val="20"/>
          <w:lang w:val="en-GB"/>
        </w:rPr>
        <w:t xml:space="preserve">In addition to increasing the UK’s attractiveness to global supply chains, it is important that Ofgem uses its regulatory framework to encourage the development of domestic supply chains. Currently, there is no regulatory mechanism for encouraging the use of locally sourced materials or services in the development of electricity distribution infrastructure. For Hitachi Energy, these materials and services include components such as transformers and </w:t>
      </w:r>
      <w:r w:rsidR="0093187B">
        <w:rPr>
          <w:rFonts w:ascii="Arial" w:hAnsi="Arial" w:cs="Arial"/>
          <w:sz w:val="20"/>
          <w:szCs w:val="20"/>
          <w:lang w:val="en-GB"/>
        </w:rPr>
        <w:t>switchgear</w:t>
      </w:r>
      <w:r w:rsidRPr="004177A1">
        <w:rPr>
          <w:rFonts w:ascii="Arial" w:hAnsi="Arial" w:cs="Arial"/>
          <w:sz w:val="20"/>
          <w:szCs w:val="20"/>
          <w:lang w:val="en-GB"/>
        </w:rPr>
        <w:t xml:space="preserve">, and critical minerals such as copper. </w:t>
      </w:r>
    </w:p>
    <w:p w14:paraId="0DFE0D94" w14:textId="77777777" w:rsidR="008D315A" w:rsidRPr="004177A1" w:rsidRDefault="008D315A" w:rsidP="006163DA">
      <w:pPr>
        <w:spacing w:after="0"/>
        <w:jc w:val="both"/>
        <w:rPr>
          <w:rFonts w:ascii="Arial" w:hAnsi="Arial" w:cs="Arial"/>
          <w:sz w:val="20"/>
          <w:szCs w:val="20"/>
          <w:lang w:val="en-GB"/>
        </w:rPr>
      </w:pPr>
    </w:p>
    <w:p w14:paraId="6E749ADE" w14:textId="77777777" w:rsidR="004B22E1" w:rsidRPr="004177A1" w:rsidRDefault="004B22E1" w:rsidP="006163DA">
      <w:pPr>
        <w:spacing w:after="0"/>
        <w:jc w:val="both"/>
        <w:rPr>
          <w:rFonts w:ascii="Arial" w:hAnsi="Arial" w:cs="Arial"/>
          <w:b/>
          <w:bCs/>
          <w:sz w:val="20"/>
          <w:szCs w:val="20"/>
        </w:rPr>
      </w:pPr>
      <w:r w:rsidRPr="004177A1">
        <w:rPr>
          <w:rFonts w:ascii="Arial" w:hAnsi="Arial" w:cs="Arial"/>
          <w:b/>
          <w:bCs/>
          <w:sz w:val="20"/>
          <w:szCs w:val="20"/>
        </w:rPr>
        <w:t>Q64. Given our comments in Chapter 6 around taking a more proactive approach, are there any specific features of a more anticipatory or strategic investment approach that might create risks or opportunities for supply chain and workforce constraints?</w:t>
      </w:r>
    </w:p>
    <w:p w14:paraId="723CE9BC" w14:textId="77777777" w:rsidR="00F037AC" w:rsidRPr="004177A1" w:rsidRDefault="00F037AC" w:rsidP="006163DA">
      <w:pPr>
        <w:spacing w:after="0"/>
        <w:jc w:val="both"/>
        <w:rPr>
          <w:rFonts w:ascii="Arial" w:hAnsi="Arial" w:cs="Arial"/>
          <w:b/>
          <w:bCs/>
          <w:sz w:val="20"/>
          <w:szCs w:val="20"/>
        </w:rPr>
      </w:pPr>
    </w:p>
    <w:p w14:paraId="55992ACC" w14:textId="587BFF7E" w:rsidR="00000CAD" w:rsidRPr="00000CAD" w:rsidRDefault="00F037AC" w:rsidP="006163DA">
      <w:pPr>
        <w:spacing w:after="0"/>
        <w:jc w:val="both"/>
        <w:rPr>
          <w:rFonts w:ascii="Arial" w:hAnsi="Arial" w:cs="Arial"/>
          <w:sz w:val="20"/>
          <w:szCs w:val="20"/>
        </w:rPr>
      </w:pPr>
      <w:r w:rsidRPr="004177A1">
        <w:rPr>
          <w:rFonts w:ascii="Arial" w:hAnsi="Arial" w:cs="Arial"/>
          <w:sz w:val="20"/>
          <w:szCs w:val="20"/>
        </w:rPr>
        <w:t xml:space="preserve">Please refer to our response to Question 18, where it is stated </w:t>
      </w:r>
      <w:r w:rsidR="0018010D" w:rsidRPr="004177A1">
        <w:rPr>
          <w:rFonts w:ascii="Arial" w:hAnsi="Arial" w:cs="Arial"/>
          <w:sz w:val="20"/>
          <w:szCs w:val="20"/>
        </w:rPr>
        <w:t xml:space="preserve">that </w:t>
      </w:r>
      <w:r w:rsidRPr="004177A1">
        <w:rPr>
          <w:rFonts w:ascii="Arial" w:hAnsi="Arial" w:cs="Arial"/>
          <w:sz w:val="20"/>
          <w:szCs w:val="20"/>
        </w:rPr>
        <w:t>we believe that a more strategic and anticipatory approach towards investment will help avoid supply chain and workforce pinch points by smoothing the long-term electricity distribution infrastructure build profile.</w:t>
      </w:r>
      <w:r w:rsidR="00000CAD" w:rsidRPr="00000CAD">
        <w:rPr>
          <w:rFonts w:ascii="Arial" w:hAnsi="Arial" w:cs="Arial"/>
          <w:sz w:val="20"/>
          <w:szCs w:val="20"/>
        </w:rPr>
        <w:t xml:space="preserve"> </w:t>
      </w:r>
    </w:p>
    <w:sectPr w:rsidR="00000CAD" w:rsidRPr="00000CAD" w:rsidSect="0011396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F9043" w14:textId="77777777" w:rsidR="002F36F0" w:rsidRDefault="002F36F0" w:rsidP="00F255A4">
      <w:pPr>
        <w:spacing w:after="0" w:line="240" w:lineRule="auto"/>
      </w:pPr>
      <w:r>
        <w:separator/>
      </w:r>
    </w:p>
  </w:endnote>
  <w:endnote w:type="continuationSeparator" w:id="0">
    <w:p w14:paraId="60844FAA" w14:textId="77777777" w:rsidR="002F36F0" w:rsidRDefault="002F36F0" w:rsidP="00F255A4">
      <w:pPr>
        <w:spacing w:after="0" w:line="240" w:lineRule="auto"/>
      </w:pPr>
      <w:r>
        <w:continuationSeparator/>
      </w:r>
    </w:p>
  </w:endnote>
  <w:endnote w:type="continuationNotice" w:id="1">
    <w:p w14:paraId="11011CF6" w14:textId="77777777" w:rsidR="002F36F0" w:rsidRDefault="002F3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Inter">
    <w:altName w:val="Calibri"/>
    <w:charset w:val="00"/>
    <w:family w:val="auto"/>
    <w:pitch w:val="variable"/>
    <w:sig w:usb0="E00002FF" w:usb1="1200A1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181778"/>
      <w:docPartObj>
        <w:docPartGallery w:val="Page Numbers (Bottom of Page)"/>
        <w:docPartUnique/>
      </w:docPartObj>
    </w:sdtPr>
    <w:sdtEndPr>
      <w:rPr>
        <w:noProof/>
      </w:rPr>
    </w:sdtEndPr>
    <w:sdtContent>
      <w:p w14:paraId="34CC71FF" w14:textId="7BD756DF" w:rsidR="00EE01EB" w:rsidRDefault="00EE01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FB008D" w14:textId="77777777" w:rsidR="00F255A4" w:rsidRDefault="00F25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B814A" w14:textId="77777777" w:rsidR="002F36F0" w:rsidRDefault="002F36F0" w:rsidP="00F255A4">
      <w:pPr>
        <w:spacing w:after="0" w:line="240" w:lineRule="auto"/>
      </w:pPr>
      <w:r>
        <w:separator/>
      </w:r>
    </w:p>
  </w:footnote>
  <w:footnote w:type="continuationSeparator" w:id="0">
    <w:p w14:paraId="4BB32410" w14:textId="77777777" w:rsidR="002F36F0" w:rsidRDefault="002F36F0" w:rsidP="00F255A4">
      <w:pPr>
        <w:spacing w:after="0" w:line="240" w:lineRule="auto"/>
      </w:pPr>
      <w:r>
        <w:continuationSeparator/>
      </w:r>
    </w:p>
  </w:footnote>
  <w:footnote w:type="continuationNotice" w:id="1">
    <w:p w14:paraId="4380DA18" w14:textId="77777777" w:rsidR="002F36F0" w:rsidRDefault="002F3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8E5EF" w14:textId="236D507E" w:rsidR="00F255A4" w:rsidRPr="0011396E" w:rsidRDefault="00F255A4">
    <w:pPr>
      <w:pStyle w:val="Header"/>
      <w:rPr>
        <w:rFonts w:ascii="Inter" w:hAnsi="Inter"/>
        <w:b/>
        <w:bCs/>
        <w:sz w:val="20"/>
        <w:szCs w:val="20"/>
      </w:rPr>
    </w:pPr>
    <w:r>
      <w:rPr>
        <w:noProof/>
      </w:rPr>
      <w:drawing>
        <wp:anchor distT="0" distB="0" distL="114300" distR="114300" simplePos="0" relativeHeight="251658240" behindDoc="0" locked="0" layoutInCell="1" allowOverlap="1" wp14:anchorId="2D01C702" wp14:editId="3E2BED34">
          <wp:simplePos x="0" y="0"/>
          <wp:positionH relativeFrom="margin">
            <wp:posOffset>3649980</wp:posOffset>
          </wp:positionH>
          <wp:positionV relativeFrom="paragraph">
            <wp:posOffset>0</wp:posOffset>
          </wp:positionV>
          <wp:extent cx="2287905" cy="412750"/>
          <wp:effectExtent l="0" t="0" r="0" b="6350"/>
          <wp:wrapSquare wrapText="bothSides"/>
          <wp:docPr id="360921424" name="Picture 1" descr="A red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921424" name="Picture 1" descr="A red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41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0B746" w14:textId="77777777" w:rsidR="00F255A4" w:rsidRDefault="00F255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7664"/>
    <w:multiLevelType w:val="hybridMultilevel"/>
    <w:tmpl w:val="3692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16E8D"/>
    <w:multiLevelType w:val="hybridMultilevel"/>
    <w:tmpl w:val="AAB0D698"/>
    <w:lvl w:ilvl="0" w:tplc="00CAAD7E">
      <w:start w:val="1"/>
      <w:numFmt w:val="bullet"/>
      <w:lvlText w:val=""/>
      <w:lvlJc w:val="left"/>
      <w:pPr>
        <w:ind w:left="1080" w:hanging="360"/>
      </w:pPr>
      <w:rPr>
        <w:rFonts w:ascii="Symbol" w:hAnsi="Symbol"/>
      </w:rPr>
    </w:lvl>
    <w:lvl w:ilvl="1" w:tplc="68C85BFA">
      <w:start w:val="1"/>
      <w:numFmt w:val="bullet"/>
      <w:lvlText w:val=""/>
      <w:lvlJc w:val="left"/>
      <w:pPr>
        <w:ind w:left="1080" w:hanging="360"/>
      </w:pPr>
      <w:rPr>
        <w:rFonts w:ascii="Symbol" w:hAnsi="Symbol"/>
      </w:rPr>
    </w:lvl>
    <w:lvl w:ilvl="2" w:tplc="041CEEF4">
      <w:start w:val="1"/>
      <w:numFmt w:val="bullet"/>
      <w:lvlText w:val=""/>
      <w:lvlJc w:val="left"/>
      <w:pPr>
        <w:ind w:left="1080" w:hanging="360"/>
      </w:pPr>
      <w:rPr>
        <w:rFonts w:ascii="Symbol" w:hAnsi="Symbol"/>
      </w:rPr>
    </w:lvl>
    <w:lvl w:ilvl="3" w:tplc="CC42AB6A">
      <w:start w:val="1"/>
      <w:numFmt w:val="bullet"/>
      <w:lvlText w:val=""/>
      <w:lvlJc w:val="left"/>
      <w:pPr>
        <w:ind w:left="1080" w:hanging="360"/>
      </w:pPr>
      <w:rPr>
        <w:rFonts w:ascii="Symbol" w:hAnsi="Symbol"/>
      </w:rPr>
    </w:lvl>
    <w:lvl w:ilvl="4" w:tplc="902C7612">
      <w:start w:val="1"/>
      <w:numFmt w:val="bullet"/>
      <w:lvlText w:val=""/>
      <w:lvlJc w:val="left"/>
      <w:pPr>
        <w:ind w:left="1080" w:hanging="360"/>
      </w:pPr>
      <w:rPr>
        <w:rFonts w:ascii="Symbol" w:hAnsi="Symbol"/>
      </w:rPr>
    </w:lvl>
    <w:lvl w:ilvl="5" w:tplc="F6A2445A">
      <w:start w:val="1"/>
      <w:numFmt w:val="bullet"/>
      <w:lvlText w:val=""/>
      <w:lvlJc w:val="left"/>
      <w:pPr>
        <w:ind w:left="1080" w:hanging="360"/>
      </w:pPr>
      <w:rPr>
        <w:rFonts w:ascii="Symbol" w:hAnsi="Symbol"/>
      </w:rPr>
    </w:lvl>
    <w:lvl w:ilvl="6" w:tplc="B9766E68">
      <w:start w:val="1"/>
      <w:numFmt w:val="bullet"/>
      <w:lvlText w:val=""/>
      <w:lvlJc w:val="left"/>
      <w:pPr>
        <w:ind w:left="1080" w:hanging="360"/>
      </w:pPr>
      <w:rPr>
        <w:rFonts w:ascii="Symbol" w:hAnsi="Symbol"/>
      </w:rPr>
    </w:lvl>
    <w:lvl w:ilvl="7" w:tplc="1E7858BA">
      <w:start w:val="1"/>
      <w:numFmt w:val="bullet"/>
      <w:lvlText w:val=""/>
      <w:lvlJc w:val="left"/>
      <w:pPr>
        <w:ind w:left="1080" w:hanging="360"/>
      </w:pPr>
      <w:rPr>
        <w:rFonts w:ascii="Symbol" w:hAnsi="Symbol"/>
      </w:rPr>
    </w:lvl>
    <w:lvl w:ilvl="8" w:tplc="2AC88F4A">
      <w:start w:val="1"/>
      <w:numFmt w:val="bullet"/>
      <w:lvlText w:val=""/>
      <w:lvlJc w:val="left"/>
      <w:pPr>
        <w:ind w:left="1080" w:hanging="360"/>
      </w:pPr>
      <w:rPr>
        <w:rFonts w:ascii="Symbol" w:hAnsi="Symbol"/>
      </w:rPr>
    </w:lvl>
  </w:abstractNum>
  <w:abstractNum w:abstractNumId="2" w15:restartNumberingAfterBreak="0">
    <w:nsid w:val="0AF2133B"/>
    <w:multiLevelType w:val="hybridMultilevel"/>
    <w:tmpl w:val="9892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E3C1C"/>
    <w:multiLevelType w:val="hybridMultilevel"/>
    <w:tmpl w:val="7858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70202"/>
    <w:multiLevelType w:val="hybridMultilevel"/>
    <w:tmpl w:val="91108E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EA05DA"/>
    <w:multiLevelType w:val="hybridMultilevel"/>
    <w:tmpl w:val="5CC8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67BC2"/>
    <w:multiLevelType w:val="hybridMultilevel"/>
    <w:tmpl w:val="04547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2159E0"/>
    <w:multiLevelType w:val="hybridMultilevel"/>
    <w:tmpl w:val="3FBE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CF7A15"/>
    <w:multiLevelType w:val="hybridMultilevel"/>
    <w:tmpl w:val="A80C7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125EE"/>
    <w:multiLevelType w:val="hybridMultilevel"/>
    <w:tmpl w:val="9E28D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301EB"/>
    <w:multiLevelType w:val="hybridMultilevel"/>
    <w:tmpl w:val="739A635C"/>
    <w:lvl w:ilvl="0" w:tplc="2012D9AE">
      <w:start w:val="1"/>
      <w:numFmt w:val="bullet"/>
      <w:lvlText w:val=""/>
      <w:lvlJc w:val="left"/>
      <w:pPr>
        <w:ind w:left="1440" w:hanging="360"/>
      </w:pPr>
      <w:rPr>
        <w:rFonts w:ascii="Symbol" w:hAnsi="Symbol"/>
      </w:rPr>
    </w:lvl>
    <w:lvl w:ilvl="1" w:tplc="70865BC0">
      <w:start w:val="1"/>
      <w:numFmt w:val="bullet"/>
      <w:lvlText w:val=""/>
      <w:lvlJc w:val="left"/>
      <w:pPr>
        <w:ind w:left="1440" w:hanging="360"/>
      </w:pPr>
      <w:rPr>
        <w:rFonts w:ascii="Symbol" w:hAnsi="Symbol"/>
      </w:rPr>
    </w:lvl>
    <w:lvl w:ilvl="2" w:tplc="3D507CAC">
      <w:start w:val="1"/>
      <w:numFmt w:val="bullet"/>
      <w:lvlText w:val=""/>
      <w:lvlJc w:val="left"/>
      <w:pPr>
        <w:ind w:left="1440" w:hanging="360"/>
      </w:pPr>
      <w:rPr>
        <w:rFonts w:ascii="Symbol" w:hAnsi="Symbol"/>
      </w:rPr>
    </w:lvl>
    <w:lvl w:ilvl="3" w:tplc="6C86E688">
      <w:start w:val="1"/>
      <w:numFmt w:val="bullet"/>
      <w:lvlText w:val=""/>
      <w:lvlJc w:val="left"/>
      <w:pPr>
        <w:ind w:left="1440" w:hanging="360"/>
      </w:pPr>
      <w:rPr>
        <w:rFonts w:ascii="Symbol" w:hAnsi="Symbol"/>
      </w:rPr>
    </w:lvl>
    <w:lvl w:ilvl="4" w:tplc="6AB05230">
      <w:start w:val="1"/>
      <w:numFmt w:val="bullet"/>
      <w:lvlText w:val=""/>
      <w:lvlJc w:val="left"/>
      <w:pPr>
        <w:ind w:left="1440" w:hanging="360"/>
      </w:pPr>
      <w:rPr>
        <w:rFonts w:ascii="Symbol" w:hAnsi="Symbol"/>
      </w:rPr>
    </w:lvl>
    <w:lvl w:ilvl="5" w:tplc="6A720704">
      <w:start w:val="1"/>
      <w:numFmt w:val="bullet"/>
      <w:lvlText w:val=""/>
      <w:lvlJc w:val="left"/>
      <w:pPr>
        <w:ind w:left="1440" w:hanging="360"/>
      </w:pPr>
      <w:rPr>
        <w:rFonts w:ascii="Symbol" w:hAnsi="Symbol"/>
      </w:rPr>
    </w:lvl>
    <w:lvl w:ilvl="6" w:tplc="978072B6">
      <w:start w:val="1"/>
      <w:numFmt w:val="bullet"/>
      <w:lvlText w:val=""/>
      <w:lvlJc w:val="left"/>
      <w:pPr>
        <w:ind w:left="1440" w:hanging="360"/>
      </w:pPr>
      <w:rPr>
        <w:rFonts w:ascii="Symbol" w:hAnsi="Symbol"/>
      </w:rPr>
    </w:lvl>
    <w:lvl w:ilvl="7" w:tplc="4DAE5B2C">
      <w:start w:val="1"/>
      <w:numFmt w:val="bullet"/>
      <w:lvlText w:val=""/>
      <w:lvlJc w:val="left"/>
      <w:pPr>
        <w:ind w:left="1440" w:hanging="360"/>
      </w:pPr>
      <w:rPr>
        <w:rFonts w:ascii="Symbol" w:hAnsi="Symbol"/>
      </w:rPr>
    </w:lvl>
    <w:lvl w:ilvl="8" w:tplc="1C32F946">
      <w:start w:val="1"/>
      <w:numFmt w:val="bullet"/>
      <w:lvlText w:val=""/>
      <w:lvlJc w:val="left"/>
      <w:pPr>
        <w:ind w:left="1440" w:hanging="360"/>
      </w:pPr>
      <w:rPr>
        <w:rFonts w:ascii="Symbol" w:hAnsi="Symbol"/>
      </w:rPr>
    </w:lvl>
  </w:abstractNum>
  <w:abstractNum w:abstractNumId="11" w15:restartNumberingAfterBreak="0">
    <w:nsid w:val="355069A2"/>
    <w:multiLevelType w:val="hybridMultilevel"/>
    <w:tmpl w:val="72F6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DF7953"/>
    <w:multiLevelType w:val="hybridMultilevel"/>
    <w:tmpl w:val="73561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A04FD8"/>
    <w:multiLevelType w:val="hybridMultilevel"/>
    <w:tmpl w:val="D436A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B55C76"/>
    <w:multiLevelType w:val="hybridMultilevel"/>
    <w:tmpl w:val="D372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B308D"/>
    <w:multiLevelType w:val="hybridMultilevel"/>
    <w:tmpl w:val="A2841AB8"/>
    <w:lvl w:ilvl="0" w:tplc="45A66700">
      <w:start w:val="1"/>
      <w:numFmt w:val="bullet"/>
      <w:lvlText w:val=""/>
      <w:lvlJc w:val="left"/>
      <w:pPr>
        <w:ind w:left="1080" w:hanging="360"/>
      </w:pPr>
      <w:rPr>
        <w:rFonts w:ascii="Symbol" w:hAnsi="Symbol"/>
      </w:rPr>
    </w:lvl>
    <w:lvl w:ilvl="1" w:tplc="F314DF76">
      <w:start w:val="1"/>
      <w:numFmt w:val="bullet"/>
      <w:lvlText w:val=""/>
      <w:lvlJc w:val="left"/>
      <w:pPr>
        <w:ind w:left="1080" w:hanging="360"/>
      </w:pPr>
      <w:rPr>
        <w:rFonts w:ascii="Symbol" w:hAnsi="Symbol"/>
      </w:rPr>
    </w:lvl>
    <w:lvl w:ilvl="2" w:tplc="6F5A4C32">
      <w:start w:val="1"/>
      <w:numFmt w:val="bullet"/>
      <w:lvlText w:val=""/>
      <w:lvlJc w:val="left"/>
      <w:pPr>
        <w:ind w:left="1080" w:hanging="360"/>
      </w:pPr>
      <w:rPr>
        <w:rFonts w:ascii="Symbol" w:hAnsi="Symbol"/>
      </w:rPr>
    </w:lvl>
    <w:lvl w:ilvl="3" w:tplc="B0AAEC9C">
      <w:start w:val="1"/>
      <w:numFmt w:val="bullet"/>
      <w:lvlText w:val=""/>
      <w:lvlJc w:val="left"/>
      <w:pPr>
        <w:ind w:left="1080" w:hanging="360"/>
      </w:pPr>
      <w:rPr>
        <w:rFonts w:ascii="Symbol" w:hAnsi="Symbol"/>
      </w:rPr>
    </w:lvl>
    <w:lvl w:ilvl="4" w:tplc="9C0AB142">
      <w:start w:val="1"/>
      <w:numFmt w:val="bullet"/>
      <w:lvlText w:val=""/>
      <w:lvlJc w:val="left"/>
      <w:pPr>
        <w:ind w:left="1080" w:hanging="360"/>
      </w:pPr>
      <w:rPr>
        <w:rFonts w:ascii="Symbol" w:hAnsi="Symbol"/>
      </w:rPr>
    </w:lvl>
    <w:lvl w:ilvl="5" w:tplc="CBF05A92">
      <w:start w:val="1"/>
      <w:numFmt w:val="bullet"/>
      <w:lvlText w:val=""/>
      <w:lvlJc w:val="left"/>
      <w:pPr>
        <w:ind w:left="1080" w:hanging="360"/>
      </w:pPr>
      <w:rPr>
        <w:rFonts w:ascii="Symbol" w:hAnsi="Symbol"/>
      </w:rPr>
    </w:lvl>
    <w:lvl w:ilvl="6" w:tplc="21F03AD0">
      <w:start w:val="1"/>
      <w:numFmt w:val="bullet"/>
      <w:lvlText w:val=""/>
      <w:lvlJc w:val="left"/>
      <w:pPr>
        <w:ind w:left="1080" w:hanging="360"/>
      </w:pPr>
      <w:rPr>
        <w:rFonts w:ascii="Symbol" w:hAnsi="Symbol"/>
      </w:rPr>
    </w:lvl>
    <w:lvl w:ilvl="7" w:tplc="BCCC5FF8">
      <w:start w:val="1"/>
      <w:numFmt w:val="bullet"/>
      <w:lvlText w:val=""/>
      <w:lvlJc w:val="left"/>
      <w:pPr>
        <w:ind w:left="1080" w:hanging="360"/>
      </w:pPr>
      <w:rPr>
        <w:rFonts w:ascii="Symbol" w:hAnsi="Symbol"/>
      </w:rPr>
    </w:lvl>
    <w:lvl w:ilvl="8" w:tplc="2F403A84">
      <w:start w:val="1"/>
      <w:numFmt w:val="bullet"/>
      <w:lvlText w:val=""/>
      <w:lvlJc w:val="left"/>
      <w:pPr>
        <w:ind w:left="1080" w:hanging="360"/>
      </w:pPr>
      <w:rPr>
        <w:rFonts w:ascii="Symbol" w:hAnsi="Symbol"/>
      </w:rPr>
    </w:lvl>
  </w:abstractNum>
  <w:abstractNum w:abstractNumId="16" w15:restartNumberingAfterBreak="0">
    <w:nsid w:val="42527BB3"/>
    <w:multiLevelType w:val="hybridMultilevel"/>
    <w:tmpl w:val="A02E6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D71C47"/>
    <w:multiLevelType w:val="hybridMultilevel"/>
    <w:tmpl w:val="163A1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8124200">
    <w:abstractNumId w:val="13"/>
  </w:num>
  <w:num w:numId="2" w16cid:durableId="459107767">
    <w:abstractNumId w:val="16"/>
  </w:num>
  <w:num w:numId="3" w16cid:durableId="628246673">
    <w:abstractNumId w:val="8"/>
  </w:num>
  <w:num w:numId="4" w16cid:durableId="533033172">
    <w:abstractNumId w:val="12"/>
  </w:num>
  <w:num w:numId="5" w16cid:durableId="1808811910">
    <w:abstractNumId w:val="7"/>
  </w:num>
  <w:num w:numId="6" w16cid:durableId="2120753614">
    <w:abstractNumId w:val="6"/>
  </w:num>
  <w:num w:numId="7" w16cid:durableId="287592938">
    <w:abstractNumId w:val="14"/>
  </w:num>
  <w:num w:numId="8" w16cid:durableId="278680565">
    <w:abstractNumId w:val="9"/>
  </w:num>
  <w:num w:numId="9" w16cid:durableId="1723676218">
    <w:abstractNumId w:val="2"/>
  </w:num>
  <w:num w:numId="10" w16cid:durableId="102723868">
    <w:abstractNumId w:val="0"/>
  </w:num>
  <w:num w:numId="11" w16cid:durableId="548955202">
    <w:abstractNumId w:val="5"/>
  </w:num>
  <w:num w:numId="12" w16cid:durableId="1064335918">
    <w:abstractNumId w:val="3"/>
  </w:num>
  <w:num w:numId="13" w16cid:durableId="2092004758">
    <w:abstractNumId w:val="17"/>
  </w:num>
  <w:num w:numId="14" w16cid:durableId="908343697">
    <w:abstractNumId w:val="11"/>
  </w:num>
  <w:num w:numId="15" w16cid:durableId="934092543">
    <w:abstractNumId w:val="1"/>
  </w:num>
  <w:num w:numId="16" w16cid:durableId="1199127969">
    <w:abstractNumId w:val="10"/>
  </w:num>
  <w:num w:numId="17" w16cid:durableId="710761086">
    <w:abstractNumId w:val="15"/>
  </w:num>
  <w:num w:numId="18" w16cid:durableId="487786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5A4"/>
    <w:rsid w:val="00000CAD"/>
    <w:rsid w:val="0000311A"/>
    <w:rsid w:val="000062EF"/>
    <w:rsid w:val="000063D0"/>
    <w:rsid w:val="000209C0"/>
    <w:rsid w:val="00023DF8"/>
    <w:rsid w:val="0003414D"/>
    <w:rsid w:val="00040DB0"/>
    <w:rsid w:val="00043AC3"/>
    <w:rsid w:val="00076A78"/>
    <w:rsid w:val="000839D6"/>
    <w:rsid w:val="00084DB8"/>
    <w:rsid w:val="00092637"/>
    <w:rsid w:val="00097BD7"/>
    <w:rsid w:val="000A25AD"/>
    <w:rsid w:val="000D43C4"/>
    <w:rsid w:val="000F61CB"/>
    <w:rsid w:val="00102392"/>
    <w:rsid w:val="0011396E"/>
    <w:rsid w:val="00123F4E"/>
    <w:rsid w:val="00133139"/>
    <w:rsid w:val="0013514D"/>
    <w:rsid w:val="00136768"/>
    <w:rsid w:val="001470B7"/>
    <w:rsid w:val="00155BDD"/>
    <w:rsid w:val="00157DE4"/>
    <w:rsid w:val="0016013C"/>
    <w:rsid w:val="00160907"/>
    <w:rsid w:val="001627DD"/>
    <w:rsid w:val="0018010D"/>
    <w:rsid w:val="00187A4B"/>
    <w:rsid w:val="0019453B"/>
    <w:rsid w:val="001A1FF8"/>
    <w:rsid w:val="001C1E4A"/>
    <w:rsid w:val="001D36E6"/>
    <w:rsid w:val="001D54A9"/>
    <w:rsid w:val="001E0991"/>
    <w:rsid w:val="001E3446"/>
    <w:rsid w:val="001E5564"/>
    <w:rsid w:val="00204DDF"/>
    <w:rsid w:val="002074C4"/>
    <w:rsid w:val="00211196"/>
    <w:rsid w:val="0021153B"/>
    <w:rsid w:val="00214A92"/>
    <w:rsid w:val="00214CD9"/>
    <w:rsid w:val="00223033"/>
    <w:rsid w:val="00227FDA"/>
    <w:rsid w:val="00236165"/>
    <w:rsid w:val="00242370"/>
    <w:rsid w:val="00247B41"/>
    <w:rsid w:val="002528E7"/>
    <w:rsid w:val="00253110"/>
    <w:rsid w:val="002538B0"/>
    <w:rsid w:val="0026124C"/>
    <w:rsid w:val="00267B17"/>
    <w:rsid w:val="002702BC"/>
    <w:rsid w:val="0028572E"/>
    <w:rsid w:val="00286619"/>
    <w:rsid w:val="00292D30"/>
    <w:rsid w:val="00292E45"/>
    <w:rsid w:val="002A4B6B"/>
    <w:rsid w:val="002C4D18"/>
    <w:rsid w:val="002E4FD9"/>
    <w:rsid w:val="002F0045"/>
    <w:rsid w:val="002F15E9"/>
    <w:rsid w:val="002F36F0"/>
    <w:rsid w:val="00317DAC"/>
    <w:rsid w:val="00322279"/>
    <w:rsid w:val="00330773"/>
    <w:rsid w:val="003473E4"/>
    <w:rsid w:val="00350694"/>
    <w:rsid w:val="003508EB"/>
    <w:rsid w:val="00352D94"/>
    <w:rsid w:val="00353BE6"/>
    <w:rsid w:val="00355F00"/>
    <w:rsid w:val="00365037"/>
    <w:rsid w:val="003727BE"/>
    <w:rsid w:val="00395A83"/>
    <w:rsid w:val="003A7AC9"/>
    <w:rsid w:val="003B5764"/>
    <w:rsid w:val="003E0A9E"/>
    <w:rsid w:val="003E0D89"/>
    <w:rsid w:val="003E30F3"/>
    <w:rsid w:val="003F3FEF"/>
    <w:rsid w:val="003F5580"/>
    <w:rsid w:val="00402667"/>
    <w:rsid w:val="00414B85"/>
    <w:rsid w:val="00415F24"/>
    <w:rsid w:val="004177A1"/>
    <w:rsid w:val="00420509"/>
    <w:rsid w:val="00424B20"/>
    <w:rsid w:val="004363CA"/>
    <w:rsid w:val="00436F8A"/>
    <w:rsid w:val="00437D25"/>
    <w:rsid w:val="004453C7"/>
    <w:rsid w:val="00463BD9"/>
    <w:rsid w:val="0047711E"/>
    <w:rsid w:val="00492666"/>
    <w:rsid w:val="004A551B"/>
    <w:rsid w:val="004B22E1"/>
    <w:rsid w:val="004C1025"/>
    <w:rsid w:val="004C2067"/>
    <w:rsid w:val="004C23F0"/>
    <w:rsid w:val="004C6DF0"/>
    <w:rsid w:val="004D6372"/>
    <w:rsid w:val="004D7060"/>
    <w:rsid w:val="004E0A8E"/>
    <w:rsid w:val="004E2719"/>
    <w:rsid w:val="004F09F6"/>
    <w:rsid w:val="004F241E"/>
    <w:rsid w:val="004F30CD"/>
    <w:rsid w:val="00507788"/>
    <w:rsid w:val="0051601D"/>
    <w:rsid w:val="00531F53"/>
    <w:rsid w:val="00533908"/>
    <w:rsid w:val="00533D17"/>
    <w:rsid w:val="00536B34"/>
    <w:rsid w:val="00542CD9"/>
    <w:rsid w:val="0054658B"/>
    <w:rsid w:val="00560335"/>
    <w:rsid w:val="00567523"/>
    <w:rsid w:val="00567DEF"/>
    <w:rsid w:val="00583F9C"/>
    <w:rsid w:val="005B1245"/>
    <w:rsid w:val="005C5F96"/>
    <w:rsid w:val="005D0BF2"/>
    <w:rsid w:val="005E4C5B"/>
    <w:rsid w:val="005F00C1"/>
    <w:rsid w:val="005F2C92"/>
    <w:rsid w:val="005F7BD1"/>
    <w:rsid w:val="00604D81"/>
    <w:rsid w:val="00614624"/>
    <w:rsid w:val="006163DA"/>
    <w:rsid w:val="00656927"/>
    <w:rsid w:val="0065749D"/>
    <w:rsid w:val="00665803"/>
    <w:rsid w:val="00665B66"/>
    <w:rsid w:val="00666374"/>
    <w:rsid w:val="00666804"/>
    <w:rsid w:val="00677AE7"/>
    <w:rsid w:val="00680BF7"/>
    <w:rsid w:val="00682383"/>
    <w:rsid w:val="006907E6"/>
    <w:rsid w:val="006A3B63"/>
    <w:rsid w:val="006B254D"/>
    <w:rsid w:val="006C1BA7"/>
    <w:rsid w:val="006C519A"/>
    <w:rsid w:val="006E05DF"/>
    <w:rsid w:val="006F0A6B"/>
    <w:rsid w:val="006F4528"/>
    <w:rsid w:val="0070094B"/>
    <w:rsid w:val="00705F30"/>
    <w:rsid w:val="00741D15"/>
    <w:rsid w:val="007641E1"/>
    <w:rsid w:val="00786233"/>
    <w:rsid w:val="007915F7"/>
    <w:rsid w:val="00793601"/>
    <w:rsid w:val="007A4352"/>
    <w:rsid w:val="007B16D1"/>
    <w:rsid w:val="007B1FCE"/>
    <w:rsid w:val="007B20F4"/>
    <w:rsid w:val="007B3D89"/>
    <w:rsid w:val="007C1315"/>
    <w:rsid w:val="007D0449"/>
    <w:rsid w:val="007E510D"/>
    <w:rsid w:val="007E6482"/>
    <w:rsid w:val="00800EA1"/>
    <w:rsid w:val="0080225D"/>
    <w:rsid w:val="008057C3"/>
    <w:rsid w:val="00823CA5"/>
    <w:rsid w:val="00825AB4"/>
    <w:rsid w:val="008269EA"/>
    <w:rsid w:val="00846B8D"/>
    <w:rsid w:val="00852C7C"/>
    <w:rsid w:val="00855FC1"/>
    <w:rsid w:val="00865571"/>
    <w:rsid w:val="008765A5"/>
    <w:rsid w:val="008823AC"/>
    <w:rsid w:val="00890286"/>
    <w:rsid w:val="0089394C"/>
    <w:rsid w:val="008A6910"/>
    <w:rsid w:val="008B48F3"/>
    <w:rsid w:val="008C79D0"/>
    <w:rsid w:val="008D315A"/>
    <w:rsid w:val="008D78F8"/>
    <w:rsid w:val="008E7ABA"/>
    <w:rsid w:val="00900019"/>
    <w:rsid w:val="00920456"/>
    <w:rsid w:val="00927BC7"/>
    <w:rsid w:val="00927E65"/>
    <w:rsid w:val="0093187B"/>
    <w:rsid w:val="00936E7A"/>
    <w:rsid w:val="00941CD0"/>
    <w:rsid w:val="0094220C"/>
    <w:rsid w:val="0094289C"/>
    <w:rsid w:val="00943F0D"/>
    <w:rsid w:val="00961810"/>
    <w:rsid w:val="009618DA"/>
    <w:rsid w:val="009820C1"/>
    <w:rsid w:val="00985645"/>
    <w:rsid w:val="00991561"/>
    <w:rsid w:val="009A62F9"/>
    <w:rsid w:val="009A6B57"/>
    <w:rsid w:val="009C2D79"/>
    <w:rsid w:val="009D059A"/>
    <w:rsid w:val="009E0503"/>
    <w:rsid w:val="009E18EB"/>
    <w:rsid w:val="009E1ADB"/>
    <w:rsid w:val="009E425D"/>
    <w:rsid w:val="009F4AEA"/>
    <w:rsid w:val="009F4EEE"/>
    <w:rsid w:val="00A03B68"/>
    <w:rsid w:val="00A11F17"/>
    <w:rsid w:val="00A13AD9"/>
    <w:rsid w:val="00A331DF"/>
    <w:rsid w:val="00A35B43"/>
    <w:rsid w:val="00A521E9"/>
    <w:rsid w:val="00A74F6D"/>
    <w:rsid w:val="00A77AC9"/>
    <w:rsid w:val="00A911D7"/>
    <w:rsid w:val="00A9600D"/>
    <w:rsid w:val="00A960EF"/>
    <w:rsid w:val="00A9640E"/>
    <w:rsid w:val="00AA63A5"/>
    <w:rsid w:val="00AB6F3A"/>
    <w:rsid w:val="00AC0134"/>
    <w:rsid w:val="00AC42EC"/>
    <w:rsid w:val="00AD193E"/>
    <w:rsid w:val="00AD4D42"/>
    <w:rsid w:val="00B30E53"/>
    <w:rsid w:val="00B31731"/>
    <w:rsid w:val="00B35C42"/>
    <w:rsid w:val="00B45F14"/>
    <w:rsid w:val="00B53DFB"/>
    <w:rsid w:val="00B55922"/>
    <w:rsid w:val="00B75E12"/>
    <w:rsid w:val="00B94154"/>
    <w:rsid w:val="00B9554D"/>
    <w:rsid w:val="00BA040C"/>
    <w:rsid w:val="00BA24FF"/>
    <w:rsid w:val="00BA6698"/>
    <w:rsid w:val="00BB17D9"/>
    <w:rsid w:val="00BB315E"/>
    <w:rsid w:val="00BC514B"/>
    <w:rsid w:val="00BD5BC4"/>
    <w:rsid w:val="00BF1E1D"/>
    <w:rsid w:val="00C017C7"/>
    <w:rsid w:val="00C02FDF"/>
    <w:rsid w:val="00C032D5"/>
    <w:rsid w:val="00C037D8"/>
    <w:rsid w:val="00C239FA"/>
    <w:rsid w:val="00C272D9"/>
    <w:rsid w:val="00C30D75"/>
    <w:rsid w:val="00C62A59"/>
    <w:rsid w:val="00C84E33"/>
    <w:rsid w:val="00C9149D"/>
    <w:rsid w:val="00C9202E"/>
    <w:rsid w:val="00C92376"/>
    <w:rsid w:val="00CB05E5"/>
    <w:rsid w:val="00CC29CB"/>
    <w:rsid w:val="00CD174A"/>
    <w:rsid w:val="00CD3E1A"/>
    <w:rsid w:val="00D06ABD"/>
    <w:rsid w:val="00D1059E"/>
    <w:rsid w:val="00D2530D"/>
    <w:rsid w:val="00D2540B"/>
    <w:rsid w:val="00D254AC"/>
    <w:rsid w:val="00D330E1"/>
    <w:rsid w:val="00D5760E"/>
    <w:rsid w:val="00D76839"/>
    <w:rsid w:val="00D80E1D"/>
    <w:rsid w:val="00DA02F5"/>
    <w:rsid w:val="00DB0995"/>
    <w:rsid w:val="00DB2570"/>
    <w:rsid w:val="00DB479B"/>
    <w:rsid w:val="00DD15AB"/>
    <w:rsid w:val="00DD2834"/>
    <w:rsid w:val="00DD529F"/>
    <w:rsid w:val="00DE1DB1"/>
    <w:rsid w:val="00DE24D4"/>
    <w:rsid w:val="00DE79EA"/>
    <w:rsid w:val="00DF75C2"/>
    <w:rsid w:val="00E4260C"/>
    <w:rsid w:val="00E43C06"/>
    <w:rsid w:val="00E54E7D"/>
    <w:rsid w:val="00E66436"/>
    <w:rsid w:val="00E700D0"/>
    <w:rsid w:val="00E70BD4"/>
    <w:rsid w:val="00E83F4B"/>
    <w:rsid w:val="00E84D5A"/>
    <w:rsid w:val="00E9778E"/>
    <w:rsid w:val="00EA4F50"/>
    <w:rsid w:val="00EA6AD7"/>
    <w:rsid w:val="00EB537D"/>
    <w:rsid w:val="00EB59A3"/>
    <w:rsid w:val="00EC2274"/>
    <w:rsid w:val="00EC2E03"/>
    <w:rsid w:val="00EC45D0"/>
    <w:rsid w:val="00EE01EB"/>
    <w:rsid w:val="00EF2606"/>
    <w:rsid w:val="00EF3A0A"/>
    <w:rsid w:val="00EF7F00"/>
    <w:rsid w:val="00F037AC"/>
    <w:rsid w:val="00F05B23"/>
    <w:rsid w:val="00F2176D"/>
    <w:rsid w:val="00F22002"/>
    <w:rsid w:val="00F255A4"/>
    <w:rsid w:val="00F2633E"/>
    <w:rsid w:val="00F45C24"/>
    <w:rsid w:val="00F70A8B"/>
    <w:rsid w:val="00F74BE4"/>
    <w:rsid w:val="00F75F64"/>
    <w:rsid w:val="00F83237"/>
    <w:rsid w:val="00F916EF"/>
    <w:rsid w:val="00FA0C70"/>
    <w:rsid w:val="00FA55B5"/>
    <w:rsid w:val="00FB5342"/>
    <w:rsid w:val="00FC6C89"/>
    <w:rsid w:val="00FE1204"/>
    <w:rsid w:val="00FF1FC6"/>
    <w:rsid w:val="00FF6B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275FB"/>
  <w15:chartTrackingRefBased/>
  <w15:docId w15:val="{66BEF4C7-8C34-4EC8-A086-428F7143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5A4"/>
  </w:style>
  <w:style w:type="paragraph" w:styleId="Footer">
    <w:name w:val="footer"/>
    <w:basedOn w:val="Normal"/>
    <w:link w:val="FooterChar"/>
    <w:uiPriority w:val="99"/>
    <w:unhideWhenUsed/>
    <w:rsid w:val="00F25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5A4"/>
  </w:style>
  <w:style w:type="character" w:styleId="Hyperlink">
    <w:name w:val="Hyperlink"/>
    <w:basedOn w:val="DefaultParagraphFont"/>
    <w:uiPriority w:val="99"/>
    <w:unhideWhenUsed/>
    <w:rsid w:val="00F255A4"/>
    <w:rPr>
      <w:color w:val="0563C1" w:themeColor="hyperlink"/>
      <w:u w:val="single"/>
    </w:rPr>
  </w:style>
  <w:style w:type="character" w:styleId="UnresolvedMention">
    <w:name w:val="Unresolved Mention"/>
    <w:basedOn w:val="DefaultParagraphFont"/>
    <w:uiPriority w:val="99"/>
    <w:semiHidden/>
    <w:unhideWhenUsed/>
    <w:rsid w:val="00F255A4"/>
    <w:rPr>
      <w:color w:val="605E5C"/>
      <w:shd w:val="clear" w:color="auto" w:fill="E1DFDD"/>
    </w:rPr>
  </w:style>
  <w:style w:type="paragraph" w:styleId="ListParagraph">
    <w:name w:val="List Paragraph"/>
    <w:basedOn w:val="Normal"/>
    <w:uiPriority w:val="34"/>
    <w:qFormat/>
    <w:rsid w:val="00365037"/>
    <w:pPr>
      <w:ind w:left="720"/>
      <w:contextualSpacing/>
    </w:pPr>
  </w:style>
  <w:style w:type="table" w:styleId="TableGrid">
    <w:name w:val="Table Grid"/>
    <w:basedOn w:val="TableNormal"/>
    <w:uiPriority w:val="39"/>
    <w:rsid w:val="00EE0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42EC"/>
    <w:pPr>
      <w:autoSpaceDE w:val="0"/>
      <w:autoSpaceDN w:val="0"/>
      <w:adjustRightInd w:val="0"/>
      <w:spacing w:after="0" w:line="240" w:lineRule="auto"/>
    </w:pPr>
    <w:rPr>
      <w:rFonts w:ascii="Verdana" w:hAnsi="Verdana" w:cs="Verdana"/>
      <w:color w:val="000000"/>
      <w:kern w:val="0"/>
      <w:sz w:val="24"/>
      <w:szCs w:val="24"/>
      <w14:ligatures w14:val="none"/>
    </w:rPr>
  </w:style>
  <w:style w:type="character" w:styleId="CommentReference">
    <w:name w:val="annotation reference"/>
    <w:basedOn w:val="DefaultParagraphFont"/>
    <w:uiPriority w:val="99"/>
    <w:semiHidden/>
    <w:unhideWhenUsed/>
    <w:rsid w:val="00BA040C"/>
    <w:rPr>
      <w:sz w:val="16"/>
      <w:szCs w:val="16"/>
    </w:rPr>
  </w:style>
  <w:style w:type="paragraph" w:styleId="CommentText">
    <w:name w:val="annotation text"/>
    <w:basedOn w:val="Normal"/>
    <w:link w:val="CommentTextChar"/>
    <w:uiPriority w:val="99"/>
    <w:unhideWhenUsed/>
    <w:rsid w:val="00BA040C"/>
    <w:pPr>
      <w:spacing w:line="240" w:lineRule="auto"/>
    </w:pPr>
    <w:rPr>
      <w:sz w:val="20"/>
      <w:szCs w:val="20"/>
    </w:rPr>
  </w:style>
  <w:style w:type="character" w:customStyle="1" w:styleId="CommentTextChar">
    <w:name w:val="Comment Text Char"/>
    <w:basedOn w:val="DefaultParagraphFont"/>
    <w:link w:val="CommentText"/>
    <w:uiPriority w:val="99"/>
    <w:rsid w:val="00BA040C"/>
    <w:rPr>
      <w:sz w:val="20"/>
      <w:szCs w:val="20"/>
    </w:rPr>
  </w:style>
  <w:style w:type="paragraph" w:styleId="CommentSubject">
    <w:name w:val="annotation subject"/>
    <w:basedOn w:val="CommentText"/>
    <w:next w:val="CommentText"/>
    <w:link w:val="CommentSubjectChar"/>
    <w:uiPriority w:val="99"/>
    <w:semiHidden/>
    <w:unhideWhenUsed/>
    <w:rsid w:val="00BA040C"/>
    <w:rPr>
      <w:b/>
      <w:bCs/>
    </w:rPr>
  </w:style>
  <w:style w:type="character" w:customStyle="1" w:styleId="CommentSubjectChar">
    <w:name w:val="Comment Subject Char"/>
    <w:basedOn w:val="CommentTextChar"/>
    <w:link w:val="CommentSubject"/>
    <w:uiPriority w:val="99"/>
    <w:semiHidden/>
    <w:rsid w:val="00BA040C"/>
    <w:rPr>
      <w:b/>
      <w:bCs/>
      <w:sz w:val="20"/>
      <w:szCs w:val="20"/>
    </w:rPr>
  </w:style>
  <w:style w:type="paragraph" w:customStyle="1" w:styleId="pf0">
    <w:name w:val="pf0"/>
    <w:basedOn w:val="Normal"/>
    <w:rsid w:val="0098564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cf01">
    <w:name w:val="cf01"/>
    <w:basedOn w:val="DefaultParagraphFont"/>
    <w:rsid w:val="00985645"/>
    <w:rPr>
      <w:rFonts w:ascii="Segoe UI" w:hAnsi="Segoe UI" w:cs="Segoe UI" w:hint="default"/>
      <w:sz w:val="18"/>
      <w:szCs w:val="18"/>
    </w:rPr>
  </w:style>
  <w:style w:type="paragraph" w:styleId="Revision">
    <w:name w:val="Revision"/>
    <w:hidden/>
    <w:uiPriority w:val="99"/>
    <w:semiHidden/>
    <w:rsid w:val="00B75E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84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1A2437B1-0243-4CA4-85CE-5FEEDA9470A0}"/>
</file>

<file path=customXml/itemProps2.xml><?xml version="1.0" encoding="utf-8"?>
<ds:datastoreItem xmlns:ds="http://schemas.openxmlformats.org/officeDocument/2006/customXml" ds:itemID="{1C3C9C9E-D32F-4533-991D-7F4E79A9A1FC}"/>
</file>

<file path=customXml/itemProps3.xml><?xml version="1.0" encoding="utf-8"?>
<ds:datastoreItem xmlns:ds="http://schemas.openxmlformats.org/officeDocument/2006/customXml" ds:itemID="{40EF59DF-63A0-43C0-94D1-72751F33EB1D}"/>
</file>

<file path=docMetadata/LabelInfo.xml><?xml version="1.0" encoding="utf-8"?>
<clbl:labelList xmlns:clbl="http://schemas.microsoft.com/office/2020/mipLabelMetadata">
  <clbl:label id="{7831e6d9-dc6c-4cd1-9ec6-1dc2b4133195}" enabled="0" method="" siteId="{7831e6d9-dc6c-4cd1-9ec6-1dc2b4133195}" removed="1"/>
</clbl:labelList>
</file>

<file path=docProps/app.xml><?xml version="1.0" encoding="utf-8"?>
<Properties xmlns="http://schemas.openxmlformats.org/officeDocument/2006/extended-properties" xmlns:vt="http://schemas.openxmlformats.org/officeDocument/2006/docPropsVTypes">
  <Template>Normal</Template>
  <TotalTime>21</TotalTime>
  <Pages>8</Pages>
  <Words>3829</Words>
  <Characters>21826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Boyle</dc:creator>
  <cp:keywords/>
  <dc:description/>
  <cp:lastModifiedBy>Dai C. Richards</cp:lastModifiedBy>
  <cp:revision>9</cp:revision>
  <dcterms:created xsi:type="dcterms:W3CDTF">2025-01-09T18:07:00Z</dcterms:created>
  <dcterms:modified xsi:type="dcterms:W3CDTF">2025-01-09T18:17:00Z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