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E4773E" w:rsidP="035507EB" w:rsidRDefault="00E4773E" w14:textId="77777777" w14:paraId="08DBBDA4">
      <w:pPr>
        <w:pStyle w:val="Normal"/>
        <w:suppressLineNumbers w:val="0"/>
        <w:bidi w:val="0"/>
        <w:spacing w:before="0" w:beforeAutospacing="off" w:after="220" w:afterAutospacing="off" w:line="240" w:lineRule="auto"/>
        <w:ind w:left="568" w:right="264"/>
        <w:jc w:val="left"/>
        <w:rPr>
          <w:sz w:val="24"/>
          <w:szCs w:val="24"/>
        </w:rPr>
      </w:pPr>
      <w:r>
        <w:rPr>
          <w:noProof/>
          <w:lang w:eastAsia="en-GB"/>
        </w:rPr>
        <mc:AlternateContent>
          <mc:Choice Requires="wps">
            <w:drawing>
              <wp:anchor distT="0" distB="0" distL="114300" distR="114300" simplePos="0" relativeHeight="251658240" behindDoc="0" locked="0" layoutInCell="1" allowOverlap="1" wp14:anchorId="2FF61596" wp14:editId="602AA11E">
                <wp:simplePos x="0" y="0"/>
                <wp:positionH relativeFrom="margin">
                  <wp:posOffset>4248591</wp:posOffset>
                </wp:positionH>
                <wp:positionV relativeFrom="page">
                  <wp:posOffset>542441</wp:posOffset>
                </wp:positionV>
                <wp:extent cx="2149475" cy="945999"/>
                <wp:effectExtent l="0" t="0" r="9525" b="19685"/>
                <wp:wrapNone/>
                <wp:docPr id="6" name="Text Box 6"/>
                <wp:cNvGraphicFramePr/>
                <a:graphic xmlns:a="http://schemas.openxmlformats.org/drawingml/2006/main">
                  <a:graphicData uri="http://schemas.microsoft.com/office/word/2010/wordprocessingShape">
                    <wps:wsp>
                      <wps:cNvSpPr txBox="1"/>
                      <wps:spPr>
                        <a:xfrm>
                          <a:off x="0" y="0"/>
                          <a:ext cx="2149475" cy="945999"/>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Pr="00E4773E" w:rsidR="00E4773E" w:rsidP="001614F9" w:rsidRDefault="00E4773E" w14:paraId="4E82E102" w14:textId="77777777">
                            <w:pPr>
                              <w:pStyle w:val="CoverAuthorDetails"/>
                              <w:rPr>
                                <w:color w:val="000000" w:themeColor="text1"/>
                                <w:sz w:val="20"/>
                                <w:szCs w:val="20"/>
                              </w:rPr>
                            </w:pPr>
                            <w:r w:rsidRPr="00E4773E">
                              <w:rPr>
                                <w:color w:val="000000" w:themeColor="text1"/>
                                <w:sz w:val="20"/>
                                <w:szCs w:val="20"/>
                              </w:rPr>
                              <w:t>Data Communications Company</w:t>
                            </w:r>
                          </w:p>
                          <w:p w:rsidRPr="00E4773E" w:rsidR="00E4773E" w:rsidP="001614F9" w:rsidRDefault="00E4773E" w14:paraId="0DFEFA92" w14:textId="4C6A9345">
                            <w:pPr>
                              <w:pStyle w:val="CoverAuthorDetails"/>
                              <w:rPr>
                                <w:b w:val="0"/>
                                <w:color w:val="000000" w:themeColor="text1"/>
                                <w:sz w:val="20"/>
                                <w:szCs w:val="20"/>
                              </w:rPr>
                            </w:pPr>
                            <w:r w:rsidRPr="00E4773E">
                              <w:rPr>
                                <w:b w:val="0"/>
                                <w:color w:val="000000" w:themeColor="text1"/>
                                <w:sz w:val="20"/>
                                <w:szCs w:val="20"/>
                              </w:rPr>
                              <w:t>2nd Floor, Ibex House, 42-4</w:t>
                            </w:r>
                            <w:r w:rsidR="00CC750F">
                              <w:rPr>
                                <w:b w:val="0"/>
                                <w:color w:val="000000" w:themeColor="text1"/>
                                <w:sz w:val="20"/>
                                <w:szCs w:val="20"/>
                              </w:rPr>
                              <w:t>7</w:t>
                            </w:r>
                            <w:r w:rsidRPr="00E4773E">
                              <w:rPr>
                                <w:b w:val="0"/>
                                <w:color w:val="000000" w:themeColor="text1"/>
                                <w:sz w:val="20"/>
                                <w:szCs w:val="20"/>
                              </w:rPr>
                              <w:t xml:space="preserve"> Minories,</w:t>
                            </w:r>
                          </w:p>
                          <w:p w:rsidRPr="00E4773E" w:rsidR="00E4773E" w:rsidP="001614F9" w:rsidRDefault="00E4773E" w14:paraId="09DF7BA6" w14:textId="77777777">
                            <w:pPr>
                              <w:pStyle w:val="CoverAuthorDetails"/>
                              <w:rPr>
                                <w:b w:val="0"/>
                                <w:color w:val="000000" w:themeColor="text1"/>
                                <w:sz w:val="20"/>
                                <w:szCs w:val="20"/>
                              </w:rPr>
                            </w:pPr>
                            <w:r w:rsidRPr="00E4773E">
                              <w:rPr>
                                <w:b w:val="0"/>
                                <w:color w:val="000000" w:themeColor="text1"/>
                                <w:sz w:val="20"/>
                                <w:szCs w:val="20"/>
                              </w:rPr>
                              <w:t>London EC3N 1DY</w:t>
                            </w:r>
                          </w:p>
                          <w:p w:rsidRPr="00E4773E" w:rsidR="00992B3C" w:rsidP="001614F9" w:rsidRDefault="00E4773E" w14:paraId="78331574" w14:textId="5D974327">
                            <w:pPr>
                              <w:pStyle w:val="CoverAuthorDetails"/>
                              <w:rPr>
                                <w:color w:val="000000" w:themeColor="text1"/>
                                <w:sz w:val="20"/>
                                <w:szCs w:val="20"/>
                              </w:rPr>
                            </w:pPr>
                            <w:r w:rsidRPr="00E4773E">
                              <w:rPr>
                                <w:color w:val="000000" w:themeColor="text1"/>
                                <w:sz w:val="20"/>
                                <w:szCs w:val="20"/>
                              </w:rPr>
                              <w:t>smartdcc.co.uk</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FF61596">
                <v:stroke joinstyle="miter"/>
                <v:path gradientshapeok="t" o:connecttype="rect"/>
              </v:shapetype>
              <v:shape id="Text Box 6" style="position:absolute;left:0;text-align:left;margin-left:334.55pt;margin-top:42.7pt;width:169.25pt;height:74.5pt;z-index:251658240;visibility:visible;mso-wrap-style:non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">
                <v:textbox inset="0,0,0,0">
                  <w:txbxContent>
                    <w:p w:rsidRPr="00E4773E" w:rsidR="00E4773E" w:rsidP="001614F9" w:rsidRDefault="00E4773E" w14:paraId="4E82E102" w14:textId="77777777">
                      <w:pPr>
                        <w:pStyle w:val="CoverAuthorDetails"/>
                        <w:rPr>
                          <w:color w:val="000000" w:themeColor="text1"/>
                          <w:sz w:val="20"/>
                          <w:szCs w:val="20"/>
                        </w:rPr>
                      </w:pPr>
                      <w:r w:rsidRPr="00E4773E">
                        <w:rPr>
                          <w:color w:val="000000" w:themeColor="text1"/>
                          <w:sz w:val="20"/>
                          <w:szCs w:val="20"/>
                        </w:rPr>
                        <w:t>Data Communications Company</w:t>
                      </w:r>
                    </w:p>
                    <w:p w:rsidRPr="00E4773E" w:rsidR="00E4773E" w:rsidP="001614F9" w:rsidRDefault="00E4773E" w14:paraId="0DFEFA92" w14:textId="4C6A9345">
                      <w:pPr>
                        <w:pStyle w:val="CoverAuthorDetails"/>
                        <w:rPr>
                          <w:b w:val="0"/>
                          <w:color w:val="000000" w:themeColor="text1"/>
                          <w:sz w:val="20"/>
                          <w:szCs w:val="20"/>
                        </w:rPr>
                      </w:pPr>
                      <w:r w:rsidRPr="00E4773E">
                        <w:rPr>
                          <w:b w:val="0"/>
                          <w:color w:val="000000" w:themeColor="text1"/>
                          <w:sz w:val="20"/>
                          <w:szCs w:val="20"/>
                        </w:rPr>
                        <w:t>2nd Floor, Ibex House, 42-4</w:t>
                      </w:r>
                      <w:r w:rsidR="00CC750F">
                        <w:rPr>
                          <w:b w:val="0"/>
                          <w:color w:val="000000" w:themeColor="text1"/>
                          <w:sz w:val="20"/>
                          <w:szCs w:val="20"/>
                        </w:rPr>
                        <w:t>7</w:t>
                      </w:r>
                      <w:r w:rsidRPr="00E4773E">
                        <w:rPr>
                          <w:b w:val="0"/>
                          <w:color w:val="000000" w:themeColor="text1"/>
                          <w:sz w:val="20"/>
                          <w:szCs w:val="20"/>
                        </w:rPr>
                        <w:t xml:space="preserve"> </w:t>
                      </w:r>
                      <w:proofErr w:type="spellStart"/>
                      <w:r w:rsidRPr="00E4773E">
                        <w:rPr>
                          <w:b w:val="0"/>
                          <w:color w:val="000000" w:themeColor="text1"/>
                          <w:sz w:val="20"/>
                          <w:szCs w:val="20"/>
                        </w:rPr>
                        <w:t>Minories</w:t>
                      </w:r>
                      <w:proofErr w:type="spellEnd"/>
                      <w:r w:rsidRPr="00E4773E">
                        <w:rPr>
                          <w:b w:val="0"/>
                          <w:color w:val="000000" w:themeColor="text1"/>
                          <w:sz w:val="20"/>
                          <w:szCs w:val="20"/>
                        </w:rPr>
                        <w:t>,</w:t>
                      </w:r>
                    </w:p>
                    <w:p w:rsidRPr="00E4773E" w:rsidR="00E4773E" w:rsidP="001614F9" w:rsidRDefault="00E4773E" w14:paraId="09DF7BA6" w14:textId="77777777">
                      <w:pPr>
                        <w:pStyle w:val="CoverAuthorDetails"/>
                        <w:rPr>
                          <w:b w:val="0"/>
                          <w:color w:val="000000" w:themeColor="text1"/>
                          <w:sz w:val="20"/>
                          <w:szCs w:val="20"/>
                        </w:rPr>
                      </w:pPr>
                      <w:r w:rsidRPr="00E4773E">
                        <w:rPr>
                          <w:b w:val="0"/>
                          <w:color w:val="000000" w:themeColor="text1"/>
                          <w:sz w:val="20"/>
                          <w:szCs w:val="20"/>
                        </w:rPr>
                        <w:t>London EC3N 1DY</w:t>
                      </w:r>
                    </w:p>
                    <w:p w:rsidRPr="00E4773E" w:rsidR="00992B3C" w:rsidP="001614F9" w:rsidRDefault="00E4773E" w14:paraId="78331574" w14:textId="5D974327">
                      <w:pPr>
                        <w:pStyle w:val="CoverAuthorDetails"/>
                        <w:rPr>
                          <w:color w:val="000000" w:themeColor="text1"/>
                          <w:sz w:val="20"/>
                          <w:szCs w:val="20"/>
                        </w:rPr>
                      </w:pPr>
                      <w:r w:rsidRPr="00E4773E">
                        <w:rPr>
                          <w:color w:val="000000" w:themeColor="text1"/>
                          <w:sz w:val="20"/>
                          <w:szCs w:val="20"/>
                        </w:rPr>
                        <w:t>smartdcc.co.uk</w:t>
                      </w:r>
                    </w:p>
                  </w:txbxContent>
                </v:textbox>
                <w10:wrap anchorx="margin" anchory="page"/>
              </v:shape>
            </w:pict>
          </mc:Fallback>
        </mc:AlternateContent>
      </w:r>
    </w:p>
    <w:p w:rsidR="00D473CB" w:rsidP="008D4E3F" w:rsidRDefault="00087EFD" w14:paraId="1C7180D6" w14:textId="5F6FEE48">
      <w:pPr>
        <w:ind w:left="568" w:right="264"/>
        <w:rPr>
          <w:sz w:val="24"/>
          <w:szCs w:val="24"/>
        </w:rPr>
      </w:pPr>
      <w:r>
        <w:rPr>
          <w:sz w:val="24"/>
          <w:szCs w:val="24"/>
        </w:rPr>
        <w:t xml:space="preserve">Marzia Zafar </w:t>
      </w:r>
    </w:p>
    <w:p w:rsidRPr="00463337" w:rsidR="00552C61" w:rsidP="008D4E3F" w:rsidRDefault="00552C61" w14:paraId="05F44553" w14:textId="40A2BD05">
      <w:pPr>
        <w:ind w:left="568" w:right="264"/>
        <w:rPr>
          <w:sz w:val="24"/>
          <w:szCs w:val="24"/>
        </w:rPr>
      </w:pPr>
      <w:r>
        <w:rPr>
          <w:sz w:val="24"/>
          <w:szCs w:val="24"/>
        </w:rPr>
        <w:t xml:space="preserve">Deputy Director </w:t>
      </w:r>
      <w:r w:rsidR="00F9251D">
        <w:rPr>
          <w:sz w:val="24"/>
          <w:szCs w:val="24"/>
        </w:rPr>
        <w:t xml:space="preserve">of </w:t>
      </w:r>
      <w:r>
        <w:rPr>
          <w:sz w:val="24"/>
          <w:szCs w:val="24"/>
        </w:rPr>
        <w:t xml:space="preserve">Governance </w:t>
      </w:r>
      <w:r w:rsidR="00F9251D">
        <w:rPr>
          <w:sz w:val="24"/>
          <w:szCs w:val="24"/>
        </w:rPr>
        <w:t xml:space="preserve">for </w:t>
      </w:r>
      <w:r w:rsidR="007271D8">
        <w:rPr>
          <w:sz w:val="24"/>
          <w:szCs w:val="24"/>
        </w:rPr>
        <w:t>Data &amp; Digitalisation</w:t>
      </w:r>
    </w:p>
    <w:p w:rsidRPr="00463337" w:rsidR="008D4E3F" w:rsidP="00D473CB" w:rsidRDefault="008D4E3F" w14:paraId="4C5EBDE6" w14:textId="7A2C9C34">
      <w:pPr>
        <w:pStyle w:val="NoSpacingLight"/>
        <w:ind w:left="568"/>
        <w:rPr>
          <w:rFonts w:asciiTheme="majorHAnsi" w:hAnsiTheme="majorHAnsi"/>
          <w:sz w:val="24"/>
          <w:szCs w:val="24"/>
        </w:rPr>
      </w:pPr>
      <w:r w:rsidRPr="00463337">
        <w:rPr>
          <w:rFonts w:asciiTheme="majorHAnsi" w:hAnsiTheme="majorHAnsi"/>
          <w:sz w:val="24"/>
          <w:szCs w:val="24"/>
        </w:rPr>
        <w:t>Ofgem</w:t>
      </w:r>
    </w:p>
    <w:p w:rsidRPr="00463337" w:rsidR="008D4E3F" w:rsidP="00D473CB" w:rsidRDefault="008D4E3F" w14:paraId="45CC4859" w14:textId="77777777">
      <w:pPr>
        <w:pStyle w:val="NoSpacingLight"/>
        <w:ind w:left="568"/>
        <w:rPr>
          <w:rFonts w:asciiTheme="majorHAnsi" w:hAnsiTheme="majorHAnsi"/>
          <w:sz w:val="24"/>
          <w:szCs w:val="24"/>
        </w:rPr>
      </w:pPr>
      <w:r w:rsidRPr="00463337">
        <w:rPr>
          <w:rFonts w:asciiTheme="majorHAnsi" w:hAnsiTheme="majorHAnsi"/>
          <w:sz w:val="24"/>
          <w:szCs w:val="24"/>
        </w:rPr>
        <w:t>10 South Colonnade</w:t>
      </w:r>
    </w:p>
    <w:p w:rsidRPr="00463337" w:rsidR="008D4E3F" w:rsidP="00D473CB" w:rsidRDefault="008D4E3F" w14:paraId="490054CD" w14:textId="77777777">
      <w:pPr>
        <w:pStyle w:val="NoSpacingLight"/>
        <w:ind w:left="568"/>
        <w:rPr>
          <w:rFonts w:asciiTheme="majorHAnsi" w:hAnsiTheme="majorHAnsi"/>
          <w:sz w:val="24"/>
          <w:szCs w:val="24"/>
        </w:rPr>
      </w:pPr>
      <w:r w:rsidRPr="00463337">
        <w:rPr>
          <w:rFonts w:asciiTheme="majorHAnsi" w:hAnsiTheme="majorHAnsi"/>
          <w:sz w:val="24"/>
          <w:szCs w:val="24"/>
        </w:rPr>
        <w:t>Canary Wharf</w:t>
      </w:r>
    </w:p>
    <w:p w:rsidRPr="00463337" w:rsidR="008D4E3F" w:rsidP="00D473CB" w:rsidRDefault="008D4E3F" w14:paraId="2CC2077A" w14:textId="77777777">
      <w:pPr>
        <w:pStyle w:val="NoSpacingLight"/>
        <w:ind w:left="568"/>
        <w:rPr>
          <w:rFonts w:asciiTheme="majorHAnsi" w:hAnsiTheme="majorHAnsi"/>
          <w:sz w:val="24"/>
          <w:szCs w:val="24"/>
        </w:rPr>
      </w:pPr>
      <w:r w:rsidRPr="00463337">
        <w:rPr>
          <w:rFonts w:asciiTheme="majorHAnsi" w:hAnsiTheme="majorHAnsi"/>
          <w:sz w:val="24"/>
          <w:szCs w:val="24"/>
        </w:rPr>
        <w:t xml:space="preserve">London </w:t>
      </w:r>
    </w:p>
    <w:p w:rsidRPr="00463337" w:rsidR="00B95FCC" w:rsidP="00D473CB" w:rsidRDefault="008D4E3F" w14:paraId="2AA5A658" w14:textId="77777777">
      <w:pPr>
        <w:pStyle w:val="NoSpacingLight"/>
        <w:ind w:left="568"/>
        <w:rPr>
          <w:rFonts w:asciiTheme="majorHAnsi" w:hAnsiTheme="majorHAnsi"/>
          <w:sz w:val="24"/>
          <w:szCs w:val="24"/>
        </w:rPr>
      </w:pPr>
      <w:r w:rsidRPr="00463337">
        <w:rPr>
          <w:rFonts w:asciiTheme="majorHAnsi" w:hAnsiTheme="majorHAnsi"/>
          <w:sz w:val="24"/>
          <w:szCs w:val="24"/>
        </w:rPr>
        <w:t>E14 4PU</w:t>
      </w:r>
    </w:p>
    <w:p w:rsidR="008D4E3F" w:rsidP="008D4E3F" w:rsidRDefault="008D4E3F" w14:paraId="54DADA08" w14:textId="77777777">
      <w:pPr>
        <w:spacing w:after="0"/>
        <w:ind w:left="568" w:right="264"/>
        <w:rPr>
          <w:sz w:val="24"/>
          <w:szCs w:val="24"/>
        </w:rPr>
      </w:pPr>
    </w:p>
    <w:p w:rsidRPr="00B95FCC" w:rsidR="00B95FCC" w:rsidP="003C65A5" w:rsidRDefault="00C31294" w14:paraId="39EA2F7E" w14:textId="35D2D395">
      <w:pPr>
        <w:spacing w:after="0"/>
        <w:ind w:left="568" w:right="264"/>
        <w:rPr>
          <w:sz w:val="24"/>
          <w:szCs w:val="24"/>
        </w:rPr>
      </w:pPr>
      <w:r>
        <w:rPr>
          <w:sz w:val="24"/>
          <w:szCs w:val="24"/>
        </w:rPr>
        <w:t>26</w:t>
      </w:r>
      <w:r w:rsidR="00B95FCC">
        <w:rPr>
          <w:sz w:val="24"/>
          <w:szCs w:val="24"/>
        </w:rPr>
        <w:t xml:space="preserve"> </w:t>
      </w:r>
      <w:r>
        <w:rPr>
          <w:sz w:val="24"/>
          <w:szCs w:val="24"/>
        </w:rPr>
        <w:t>January</w:t>
      </w:r>
      <w:r w:rsidR="00B95FCC">
        <w:rPr>
          <w:sz w:val="24"/>
          <w:szCs w:val="24"/>
        </w:rPr>
        <w:t xml:space="preserve"> 202</w:t>
      </w:r>
      <w:r>
        <w:rPr>
          <w:sz w:val="24"/>
          <w:szCs w:val="24"/>
        </w:rPr>
        <w:t>4</w:t>
      </w:r>
    </w:p>
    <w:p w:rsidRPr="00B95FCC" w:rsidR="00B95FCC" w:rsidP="003C65A5" w:rsidRDefault="00B95FCC" w14:paraId="34F18553" w14:textId="77777777">
      <w:pPr>
        <w:spacing w:after="0"/>
        <w:ind w:left="568" w:right="264"/>
        <w:rPr>
          <w:sz w:val="24"/>
          <w:szCs w:val="24"/>
        </w:rPr>
      </w:pPr>
    </w:p>
    <w:p w:rsidRPr="00463337" w:rsidR="00E4773E" w:rsidP="003C65A5" w:rsidRDefault="00F2013E" w14:paraId="2548FF9C" w14:textId="6CE9AB89">
      <w:pPr>
        <w:spacing w:after="0"/>
        <w:ind w:left="568" w:right="264"/>
        <w:rPr>
          <w:sz w:val="28"/>
          <w:szCs w:val="28"/>
        </w:rPr>
      </w:pPr>
      <w:r w:rsidRPr="00463337">
        <w:rPr>
          <w:sz w:val="24"/>
          <w:szCs w:val="24"/>
        </w:rPr>
        <w:t>By email to: digitalisation@ofgem.gov.uk</w:t>
      </w:r>
    </w:p>
    <w:p w:rsidR="00F2013E" w:rsidP="003C65A5" w:rsidRDefault="00F2013E" w14:paraId="1D1C4C15" w14:textId="77777777">
      <w:pPr>
        <w:spacing w:after="0"/>
        <w:ind w:left="568" w:right="264"/>
        <w:rPr>
          <w:sz w:val="24"/>
          <w:szCs w:val="24"/>
        </w:rPr>
      </w:pPr>
    </w:p>
    <w:p w:rsidR="00D02138" w:rsidP="00D02138" w:rsidRDefault="00D02138" w14:paraId="3DF7B7C7" w14:textId="4813442B">
      <w:pPr>
        <w:spacing w:after="0"/>
        <w:ind w:left="568" w:right="264"/>
        <w:rPr>
          <w:b/>
          <w:bCs/>
          <w:sz w:val="24"/>
          <w:szCs w:val="24"/>
        </w:rPr>
      </w:pPr>
      <w:r>
        <w:rPr>
          <w:b/>
          <w:bCs/>
          <w:sz w:val="24"/>
          <w:szCs w:val="24"/>
        </w:rPr>
        <w:t>Subject: Responding to Ofgem’s Call for Input</w:t>
      </w:r>
      <w:r w:rsidRPr="0090023A" w:rsidR="0090023A">
        <w:t xml:space="preserve"> </w:t>
      </w:r>
      <w:r w:rsidRPr="0090023A" w:rsidR="0090023A">
        <w:rPr>
          <w:b/>
          <w:bCs/>
        </w:rPr>
        <w:t>D</w:t>
      </w:r>
      <w:r w:rsidRPr="0090023A" w:rsidR="0090023A">
        <w:rPr>
          <w:b/>
          <w:bCs/>
          <w:sz w:val="24"/>
          <w:szCs w:val="24"/>
        </w:rPr>
        <w:t>ata Sharing in a Digital Future: Consumer Consent</w:t>
      </w:r>
      <w:r>
        <w:rPr>
          <w:b/>
          <w:bCs/>
          <w:sz w:val="24"/>
          <w:szCs w:val="24"/>
        </w:rPr>
        <w:t xml:space="preserve"> </w:t>
      </w:r>
    </w:p>
    <w:p w:rsidR="00D02138" w:rsidP="003C65A5" w:rsidRDefault="00D02138" w14:paraId="380E6361" w14:textId="77777777">
      <w:pPr>
        <w:spacing w:after="0"/>
        <w:ind w:left="568" w:right="264"/>
        <w:rPr>
          <w:sz w:val="24"/>
          <w:szCs w:val="24"/>
        </w:rPr>
      </w:pPr>
    </w:p>
    <w:p w:rsidR="00D555B2" w:rsidP="003C65A5" w:rsidRDefault="006E1D32" w14:paraId="19135A21" w14:textId="6F388DD9">
      <w:pPr>
        <w:spacing w:after="0"/>
        <w:ind w:left="568" w:right="264"/>
        <w:rPr>
          <w:sz w:val="24"/>
          <w:szCs w:val="24"/>
        </w:rPr>
      </w:pPr>
      <w:r>
        <w:rPr>
          <w:sz w:val="24"/>
          <w:szCs w:val="24"/>
        </w:rPr>
        <w:t xml:space="preserve">Dear </w:t>
      </w:r>
      <w:r w:rsidR="00087EFD">
        <w:rPr>
          <w:sz w:val="24"/>
          <w:szCs w:val="24"/>
        </w:rPr>
        <w:t xml:space="preserve">Marzia </w:t>
      </w:r>
    </w:p>
    <w:p w:rsidR="0049414C" w:rsidP="006C1735" w:rsidRDefault="0049414C" w14:paraId="2BE1ED1D" w14:textId="77777777">
      <w:pPr>
        <w:spacing w:after="0"/>
        <w:ind w:left="568" w:right="264"/>
        <w:rPr>
          <w:sz w:val="24"/>
          <w:szCs w:val="24"/>
        </w:rPr>
      </w:pPr>
    </w:p>
    <w:p w:rsidR="006C1735" w:rsidP="006C1735" w:rsidRDefault="006C1735" w14:paraId="5274DB21" w14:textId="35F5A5AF">
      <w:pPr>
        <w:spacing w:after="0"/>
        <w:ind w:left="568" w:right="264"/>
        <w:rPr>
          <w:sz w:val="24"/>
          <w:szCs w:val="24"/>
        </w:rPr>
      </w:pPr>
      <w:r>
        <w:rPr>
          <w:sz w:val="24"/>
          <w:szCs w:val="24"/>
        </w:rPr>
        <w:t xml:space="preserve">The Data Communications Company Ltd (DCC) welcomes the opportunity to respond to Ofgem’s </w:t>
      </w:r>
      <w:r w:rsidRPr="0049414C" w:rsidR="0049414C">
        <w:rPr>
          <w:sz w:val="24"/>
          <w:szCs w:val="24"/>
        </w:rPr>
        <w:t>Call for Input Data Sharing in a Digital Future: Consumer Consent</w:t>
      </w:r>
      <w:r w:rsidR="0049414C">
        <w:rPr>
          <w:sz w:val="24"/>
          <w:szCs w:val="24"/>
        </w:rPr>
        <w:t>.</w:t>
      </w:r>
    </w:p>
    <w:p w:rsidR="006C1735" w:rsidP="006C1735" w:rsidRDefault="006C1735" w14:paraId="6807579B" w14:textId="77777777">
      <w:pPr>
        <w:spacing w:after="0"/>
        <w:ind w:left="568" w:right="264"/>
        <w:rPr>
          <w:sz w:val="24"/>
          <w:szCs w:val="24"/>
        </w:rPr>
      </w:pPr>
    </w:p>
    <w:p w:rsidR="006C1735" w:rsidP="006C1735" w:rsidRDefault="006C1735" w14:paraId="7CB8B9B6" w14:textId="77777777">
      <w:pPr>
        <w:spacing w:after="0"/>
        <w:ind w:left="568" w:right="264"/>
        <w:rPr>
          <w:sz w:val="24"/>
          <w:szCs w:val="24"/>
        </w:rPr>
      </w:pPr>
      <w:r>
        <w:rPr>
          <w:sz w:val="24"/>
          <w:szCs w:val="24"/>
        </w:rPr>
        <w:t xml:space="preserve">The smart metering network we operate plays a multi-faceted role in supporting people to efficiently manage their energy usage. Today, smart meters are in over half of Great Britain’s homes, with c.15,000 new meters connected each day, helping consumers to understand their energy consumption and receive accurate bills. </w:t>
      </w:r>
    </w:p>
    <w:p w:rsidR="006E1D32" w:rsidP="003C65A5" w:rsidRDefault="006E1D32" w14:paraId="3BBD95DE" w14:textId="77777777">
      <w:pPr>
        <w:spacing w:after="0"/>
        <w:ind w:left="568" w:right="264"/>
        <w:rPr>
          <w:sz w:val="24"/>
          <w:szCs w:val="24"/>
        </w:rPr>
      </w:pPr>
    </w:p>
    <w:p w:rsidR="00AB229E" w:rsidP="00AB229E" w:rsidRDefault="00AB229E" w14:paraId="267A18E8" w14:textId="77777777">
      <w:pPr>
        <w:spacing w:after="0"/>
        <w:ind w:left="568" w:right="264"/>
        <w:rPr>
          <w:b/>
          <w:bCs/>
          <w:sz w:val="24"/>
          <w:szCs w:val="24"/>
        </w:rPr>
      </w:pPr>
      <w:r>
        <w:rPr>
          <w:b/>
          <w:bCs/>
          <w:sz w:val="24"/>
          <w:szCs w:val="24"/>
        </w:rPr>
        <w:t xml:space="preserve">About DCC </w:t>
      </w:r>
    </w:p>
    <w:p w:rsidR="00AB229E" w:rsidP="00AB229E" w:rsidRDefault="00AB229E" w14:paraId="351A3215" w14:textId="77777777">
      <w:pPr>
        <w:spacing w:after="0"/>
        <w:ind w:left="568" w:right="264"/>
        <w:rPr>
          <w:b/>
          <w:bCs/>
          <w:sz w:val="24"/>
          <w:szCs w:val="24"/>
        </w:rPr>
      </w:pPr>
    </w:p>
    <w:p w:rsidR="00AB229E" w:rsidP="00AB229E" w:rsidRDefault="00AB229E" w14:paraId="49001324" w14:textId="77777777">
      <w:pPr>
        <w:spacing w:after="0"/>
        <w:ind w:left="568" w:right="264"/>
        <w:rPr>
          <w:sz w:val="24"/>
          <w:szCs w:val="24"/>
        </w:rPr>
      </w:pPr>
      <w:r>
        <w:rPr>
          <w:sz w:val="24"/>
          <w:szCs w:val="24"/>
        </w:rPr>
        <w:t>DCC has designed, built, and now manages the technology infrastructure that underpins the smart meter rollout. We operate and maintain the smart metering network on a 24/7 basis, securely transferring energy data from homes and businesses to our customers.</w:t>
      </w:r>
    </w:p>
    <w:p w:rsidR="00AB229E" w:rsidP="00DF6C46" w:rsidRDefault="00AB229E" w14:paraId="5AA66E85" w14:textId="77777777">
      <w:pPr>
        <w:spacing w:after="0"/>
        <w:ind w:right="264"/>
        <w:rPr>
          <w:sz w:val="24"/>
          <w:szCs w:val="24"/>
        </w:rPr>
      </w:pPr>
    </w:p>
    <w:p w:rsidR="00AB229E" w:rsidP="00AB229E" w:rsidRDefault="00AB229E" w14:paraId="3DEABDB5" w14:textId="77777777">
      <w:pPr>
        <w:spacing w:after="0"/>
        <w:ind w:left="568" w:right="264"/>
        <w:rPr>
          <w:sz w:val="24"/>
          <w:szCs w:val="24"/>
        </w:rPr>
      </w:pPr>
      <w:r>
        <w:rPr>
          <w:sz w:val="24"/>
          <w:szCs w:val="24"/>
        </w:rPr>
        <w:t xml:space="preserve">As an organisation, DCC sits at the core of a multi-layered ecosystem, connected to and, in many cases, directly integrated with critical segments of the energy sector (including distribution network operators, energy retailers of all sizes and a fast-growing category of ‘Other User’). At scale, it will support secure messaging across 55 million meters and 100 million devices in 33 million homes. </w:t>
      </w:r>
    </w:p>
    <w:p w:rsidR="00AB229E" w:rsidP="00AB229E" w:rsidRDefault="00AB229E" w14:paraId="717C96FA" w14:textId="77777777">
      <w:pPr>
        <w:spacing w:after="0"/>
        <w:ind w:left="568" w:right="264"/>
        <w:rPr>
          <w:sz w:val="24"/>
          <w:szCs w:val="24"/>
        </w:rPr>
      </w:pPr>
    </w:p>
    <w:p w:rsidR="00AB229E" w:rsidP="00AB229E" w:rsidRDefault="00AB229E" w14:paraId="53B8E6EF" w14:textId="77777777">
      <w:pPr>
        <w:spacing w:after="0"/>
        <w:ind w:left="568" w:right="264"/>
        <w:rPr>
          <w:sz w:val="24"/>
          <w:szCs w:val="24"/>
        </w:rPr>
      </w:pPr>
      <w:r>
        <w:rPr>
          <w:sz w:val="24"/>
          <w:szCs w:val="24"/>
        </w:rPr>
        <w:t xml:space="preserve">The smart metering system is a unique public asset that is available to help meet policy objectives, enable innovation, and deliver public benefit. The system's unique characteristics - GB-wide reach, scale, security and interoperability - can be leveraged as a platform for policy implementation, helping meet the urgent need for progress against our net zero objectives and obligations. </w:t>
      </w:r>
    </w:p>
    <w:p w:rsidR="001537BA" w:rsidP="001537BA" w:rsidRDefault="001537BA" w14:paraId="49E4C951" w14:textId="77777777">
      <w:pPr>
        <w:spacing w:after="0"/>
        <w:ind w:left="568" w:right="264"/>
        <w:rPr>
          <w:b/>
          <w:bCs/>
          <w:sz w:val="24"/>
          <w:szCs w:val="24"/>
        </w:rPr>
      </w:pPr>
    </w:p>
    <w:p w:rsidR="001537BA" w:rsidP="001537BA" w:rsidRDefault="001537BA" w14:paraId="57D71DFA" w14:textId="48FA2E7C">
      <w:pPr>
        <w:spacing w:after="0"/>
        <w:ind w:left="568" w:right="264"/>
        <w:rPr>
          <w:b/>
          <w:bCs/>
          <w:sz w:val="24"/>
          <w:szCs w:val="24"/>
        </w:rPr>
      </w:pPr>
      <w:r>
        <w:rPr>
          <w:b/>
          <w:bCs/>
          <w:sz w:val="24"/>
          <w:szCs w:val="24"/>
        </w:rPr>
        <w:t>Response to Call for Input questions</w:t>
      </w:r>
    </w:p>
    <w:p w:rsidR="001537BA" w:rsidP="001537BA" w:rsidRDefault="001537BA" w14:paraId="72A5E3EC" w14:textId="77777777">
      <w:pPr>
        <w:spacing w:after="0"/>
        <w:ind w:left="568" w:right="264"/>
        <w:rPr>
          <w:sz w:val="24"/>
          <w:szCs w:val="24"/>
        </w:rPr>
      </w:pPr>
    </w:p>
    <w:p w:rsidR="00841BC5" w:rsidP="00841BC5" w:rsidRDefault="001537BA" w14:paraId="5701D50B" w14:textId="7DB5AD50">
      <w:pPr>
        <w:spacing w:after="0"/>
        <w:ind w:left="568" w:right="264"/>
        <w:rPr>
          <w:sz w:val="24"/>
          <w:szCs w:val="24"/>
        </w:rPr>
      </w:pPr>
      <w:r>
        <w:rPr>
          <w:sz w:val="24"/>
          <w:szCs w:val="24"/>
        </w:rPr>
        <w:t xml:space="preserve">Please find below a detailed response to the relevant questions outlined in the Call for Input. </w:t>
      </w:r>
      <w:r w:rsidR="00E96DD8">
        <w:rPr>
          <w:sz w:val="24"/>
          <w:szCs w:val="24"/>
        </w:rPr>
        <w:t xml:space="preserve">Key points </w:t>
      </w:r>
      <w:r w:rsidR="00395F90">
        <w:rPr>
          <w:sz w:val="24"/>
          <w:szCs w:val="24"/>
        </w:rPr>
        <w:t xml:space="preserve">within </w:t>
      </w:r>
      <w:r w:rsidR="00E96DD8">
        <w:rPr>
          <w:sz w:val="24"/>
          <w:szCs w:val="24"/>
        </w:rPr>
        <w:t xml:space="preserve">our response include: </w:t>
      </w:r>
    </w:p>
    <w:p w:rsidR="00841BC5" w:rsidP="00841BC5" w:rsidRDefault="00841BC5" w14:paraId="0110EEEA" w14:textId="54352811">
      <w:pPr>
        <w:pStyle w:val="ListParagraph"/>
        <w:numPr>
          <w:ilvl w:val="0"/>
          <w:numId w:val="0"/>
        </w:numPr>
        <w:spacing w:after="0"/>
        <w:ind w:left="1288" w:right="264"/>
        <w:rPr>
          <w:sz w:val="24"/>
          <w:szCs w:val="24"/>
        </w:rPr>
      </w:pPr>
    </w:p>
    <w:p w:rsidRPr="00D65CEF" w:rsidR="00841BC5" w:rsidP="00841BC5" w:rsidRDefault="00841BC5" w14:paraId="15F89308" w14:textId="0EA6204A">
      <w:pPr>
        <w:pStyle w:val="ListParagraph"/>
        <w:numPr>
          <w:ilvl w:val="0"/>
          <w:numId w:val="32"/>
        </w:numPr>
        <w:spacing w:after="0"/>
        <w:ind w:right="264"/>
        <w:rPr>
          <w:rFonts w:asciiTheme="majorHAnsi" w:hAnsiTheme="majorHAnsi"/>
          <w:sz w:val="24"/>
          <w:szCs w:val="24"/>
        </w:rPr>
      </w:pPr>
      <w:r w:rsidRPr="00D65CEF">
        <w:rPr>
          <w:rFonts w:asciiTheme="majorHAnsi" w:hAnsiTheme="majorHAnsi"/>
          <w:sz w:val="24"/>
          <w:szCs w:val="24"/>
        </w:rPr>
        <w:t xml:space="preserve">Our support for Ofgem’s preferred option of a </w:t>
      </w:r>
      <w:r w:rsidRPr="00D65CEF" w:rsidR="00C81F90">
        <w:rPr>
          <w:rFonts w:asciiTheme="majorHAnsi" w:hAnsiTheme="majorHAnsi"/>
          <w:sz w:val="24"/>
          <w:szCs w:val="24"/>
        </w:rPr>
        <w:t xml:space="preserve">single technical solution and the capabilities available through the DCC </w:t>
      </w:r>
      <w:r w:rsidRPr="00D65CEF" w:rsidR="006269DE">
        <w:rPr>
          <w:rFonts w:asciiTheme="majorHAnsi" w:hAnsiTheme="majorHAnsi"/>
          <w:sz w:val="24"/>
          <w:szCs w:val="24"/>
        </w:rPr>
        <w:t xml:space="preserve">to develop this. </w:t>
      </w:r>
    </w:p>
    <w:p w:rsidRPr="00D65CEF" w:rsidR="006269DE" w:rsidP="00841BC5" w:rsidRDefault="00847B95" w14:paraId="006B415E" w14:textId="54D2BAC7">
      <w:pPr>
        <w:pStyle w:val="ListParagraph"/>
        <w:numPr>
          <w:ilvl w:val="0"/>
          <w:numId w:val="32"/>
        </w:numPr>
        <w:spacing w:after="0"/>
        <w:ind w:right="264"/>
        <w:rPr>
          <w:rFonts w:asciiTheme="majorHAnsi" w:hAnsiTheme="majorHAnsi"/>
          <w:sz w:val="24"/>
          <w:szCs w:val="24"/>
        </w:rPr>
      </w:pPr>
      <w:r w:rsidRPr="00D65CEF">
        <w:rPr>
          <w:rFonts w:asciiTheme="majorHAnsi" w:hAnsiTheme="majorHAnsi"/>
          <w:sz w:val="24"/>
          <w:szCs w:val="24"/>
        </w:rPr>
        <w:t xml:space="preserve">The importance of exploring consumer consent holistically in context with other barriers to development of </w:t>
      </w:r>
      <w:r w:rsidRPr="00D65CEF" w:rsidR="00601079">
        <w:rPr>
          <w:rFonts w:asciiTheme="majorHAnsi" w:hAnsiTheme="majorHAnsi"/>
          <w:sz w:val="24"/>
          <w:szCs w:val="24"/>
        </w:rPr>
        <w:t>digital energy sector</w:t>
      </w:r>
      <w:r w:rsidRPr="00D65CEF" w:rsidR="00962C88">
        <w:rPr>
          <w:rFonts w:asciiTheme="majorHAnsi" w:hAnsiTheme="majorHAnsi"/>
          <w:sz w:val="24"/>
          <w:szCs w:val="24"/>
        </w:rPr>
        <w:t xml:space="preserve"> products and services</w:t>
      </w:r>
      <w:r w:rsidRPr="00D65CEF" w:rsidR="0088367B">
        <w:rPr>
          <w:rFonts w:asciiTheme="majorHAnsi" w:hAnsiTheme="majorHAnsi"/>
          <w:sz w:val="24"/>
          <w:szCs w:val="24"/>
        </w:rPr>
        <w:t xml:space="preserve"> </w:t>
      </w:r>
    </w:p>
    <w:p w:rsidRPr="00D65CEF" w:rsidR="00962C88" w:rsidP="00841BC5" w:rsidRDefault="00FE244C" w14:paraId="0F5A3099" w14:textId="69AFCD1F">
      <w:pPr>
        <w:pStyle w:val="ListParagraph"/>
        <w:numPr>
          <w:ilvl w:val="0"/>
          <w:numId w:val="32"/>
        </w:numPr>
        <w:spacing w:after="0"/>
        <w:ind w:right="264"/>
        <w:rPr>
          <w:rFonts w:asciiTheme="majorHAnsi" w:hAnsiTheme="majorHAnsi"/>
          <w:sz w:val="24"/>
          <w:szCs w:val="24"/>
        </w:rPr>
      </w:pPr>
      <w:r w:rsidRPr="00D65CEF">
        <w:rPr>
          <w:rFonts w:asciiTheme="majorHAnsi" w:hAnsiTheme="majorHAnsi"/>
          <w:sz w:val="24"/>
          <w:szCs w:val="24"/>
        </w:rPr>
        <w:t>Consideration of broader data legislation and data governance considerations including</w:t>
      </w:r>
      <w:r w:rsidRPr="00D65CEF" w:rsidR="00397D87">
        <w:rPr>
          <w:rFonts w:asciiTheme="majorHAnsi" w:hAnsiTheme="majorHAnsi"/>
          <w:sz w:val="24"/>
          <w:szCs w:val="24"/>
        </w:rPr>
        <w:t xml:space="preserve"> other</w:t>
      </w:r>
      <w:r w:rsidRPr="00D65CEF" w:rsidR="00873C07">
        <w:rPr>
          <w:rFonts w:asciiTheme="majorHAnsi" w:hAnsiTheme="majorHAnsi"/>
          <w:sz w:val="24"/>
          <w:szCs w:val="24"/>
        </w:rPr>
        <w:t xml:space="preserve"> lawful bas</w:t>
      </w:r>
      <w:r w:rsidRPr="00D65CEF" w:rsidR="001D401E">
        <w:rPr>
          <w:rFonts w:asciiTheme="majorHAnsi" w:hAnsiTheme="majorHAnsi"/>
          <w:sz w:val="24"/>
          <w:szCs w:val="24"/>
        </w:rPr>
        <w:t>es</w:t>
      </w:r>
      <w:r w:rsidRPr="00D65CEF" w:rsidR="00873C07">
        <w:rPr>
          <w:rFonts w:asciiTheme="majorHAnsi" w:hAnsiTheme="majorHAnsi"/>
          <w:sz w:val="24"/>
          <w:szCs w:val="24"/>
        </w:rPr>
        <w:t xml:space="preserve"> for </w:t>
      </w:r>
      <w:r w:rsidRPr="00D65CEF" w:rsidR="001D401E">
        <w:rPr>
          <w:rFonts w:asciiTheme="majorHAnsi" w:hAnsiTheme="majorHAnsi"/>
          <w:sz w:val="24"/>
          <w:szCs w:val="24"/>
        </w:rPr>
        <w:t>data processing currently</w:t>
      </w:r>
      <w:r w:rsidRPr="00D65CEF" w:rsidR="00D65CEF">
        <w:rPr>
          <w:rFonts w:asciiTheme="majorHAnsi" w:hAnsiTheme="majorHAnsi"/>
          <w:sz w:val="24"/>
          <w:szCs w:val="24"/>
        </w:rPr>
        <w:t xml:space="preserve"> prohibited through the existing smart meter data privacy framework. </w:t>
      </w:r>
    </w:p>
    <w:p w:rsidR="002D5A78" w:rsidP="002D5A78" w:rsidRDefault="002D5A78" w14:paraId="33B36633" w14:textId="77777777">
      <w:pPr>
        <w:spacing w:after="0"/>
        <w:ind w:left="568" w:right="264"/>
        <w:rPr>
          <w:sz w:val="24"/>
          <w:szCs w:val="24"/>
        </w:rPr>
      </w:pPr>
    </w:p>
    <w:p w:rsidR="001537BA" w:rsidP="001537BA" w:rsidRDefault="001537BA" w14:paraId="3B9B4F8D" w14:textId="5A874109">
      <w:pPr>
        <w:spacing w:after="0"/>
        <w:ind w:left="568" w:right="264"/>
        <w:rPr>
          <w:sz w:val="24"/>
          <w:szCs w:val="24"/>
        </w:rPr>
      </w:pPr>
      <w:r>
        <w:rPr>
          <w:sz w:val="24"/>
          <w:szCs w:val="24"/>
        </w:rPr>
        <w:t xml:space="preserve">We would welcome an opportunity to meet to discuss our responses in more detail in due course. In the interim, we are on-hand to respond to any questions or provide any further information on our response. </w:t>
      </w:r>
    </w:p>
    <w:p w:rsidR="006E1D32" w:rsidP="003C65A5" w:rsidRDefault="006E1D32" w14:paraId="75341851" w14:textId="77777777">
      <w:pPr>
        <w:spacing w:after="0"/>
        <w:ind w:left="568" w:right="264"/>
        <w:rPr>
          <w:sz w:val="24"/>
          <w:szCs w:val="24"/>
        </w:rPr>
      </w:pPr>
    </w:p>
    <w:p w:rsidR="006E1D32" w:rsidP="003C65A5" w:rsidRDefault="006E1D32" w14:paraId="6A95E4EB" w14:textId="77777777">
      <w:pPr>
        <w:spacing w:after="0"/>
        <w:ind w:left="568" w:right="264"/>
        <w:rPr>
          <w:sz w:val="24"/>
          <w:szCs w:val="24"/>
        </w:rPr>
      </w:pPr>
    </w:p>
    <w:p w:rsidR="006E1D32" w:rsidP="003C65A5" w:rsidRDefault="00E42F0D" w14:paraId="14E1059A" w14:textId="137A5A42">
      <w:pPr>
        <w:spacing w:after="0"/>
        <w:ind w:left="568" w:right="264"/>
        <w:rPr>
          <w:sz w:val="24"/>
          <w:szCs w:val="24"/>
        </w:rPr>
      </w:pPr>
      <w:r>
        <w:rPr>
          <w:sz w:val="24"/>
          <w:szCs w:val="24"/>
        </w:rPr>
        <w:t xml:space="preserve">Yours </w:t>
      </w:r>
      <w:r w:rsidR="002264DA">
        <w:rPr>
          <w:sz w:val="24"/>
          <w:szCs w:val="24"/>
        </w:rPr>
        <w:t>sincerely</w:t>
      </w:r>
      <w:r w:rsidR="006E1D32">
        <w:rPr>
          <w:sz w:val="24"/>
          <w:szCs w:val="24"/>
        </w:rPr>
        <w:t>,</w:t>
      </w:r>
    </w:p>
    <w:p w:rsidR="0049398D" w:rsidP="003C65A5" w:rsidRDefault="0049398D" w14:paraId="0D364655" w14:textId="77777777">
      <w:pPr>
        <w:spacing w:after="0"/>
        <w:ind w:left="568" w:right="264"/>
        <w:rPr>
          <w:b/>
          <w:color w:val="CA005D" w:themeColor="accent3"/>
          <w:sz w:val="24"/>
          <w:szCs w:val="24"/>
        </w:rPr>
      </w:pPr>
    </w:p>
    <w:p w:rsidR="0049398D" w:rsidP="003C65A5" w:rsidRDefault="00FB2442" w14:paraId="0EB7E98E" w14:textId="41344168">
      <w:pPr>
        <w:spacing w:after="0"/>
        <w:ind w:left="568" w:right="264"/>
        <w:rPr>
          <w:b/>
          <w:color w:val="CA005D" w:themeColor="accent3"/>
          <w:sz w:val="24"/>
          <w:szCs w:val="24"/>
        </w:rPr>
      </w:pPr>
      <w:r>
        <w:rPr>
          <w:noProof/>
        </w:rPr>
        <w:drawing>
          <wp:inline distT="0" distB="0" distL="0" distR="0" wp14:anchorId="0CBDFCE4" wp14:editId="6C398FAB">
            <wp:extent cx="1375257" cy="773646"/>
            <wp:effectExtent l="0" t="0" r="0" b="7620"/>
            <wp:docPr id="8" name="Picture 8" descr="A close 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signature&#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7427" cy="780492"/>
                    </a:xfrm>
                    <a:prstGeom prst="rect">
                      <a:avLst/>
                    </a:prstGeom>
                  </pic:spPr>
                </pic:pic>
              </a:graphicData>
            </a:graphic>
          </wp:inline>
        </w:drawing>
      </w:r>
    </w:p>
    <w:p w:rsidR="0049398D" w:rsidP="003C65A5" w:rsidRDefault="0049398D" w14:paraId="33174A6A" w14:textId="77777777">
      <w:pPr>
        <w:spacing w:after="0"/>
        <w:ind w:left="568" w:right="264"/>
        <w:rPr>
          <w:b/>
          <w:color w:val="CA005D" w:themeColor="accent3"/>
          <w:sz w:val="24"/>
          <w:szCs w:val="24"/>
        </w:rPr>
      </w:pPr>
    </w:p>
    <w:p w:rsidRPr="00380FD7" w:rsidR="006E1D32" w:rsidP="003C65A5" w:rsidRDefault="0049398D" w14:paraId="2400A108" w14:textId="3FEAF073">
      <w:pPr>
        <w:spacing w:after="0"/>
        <w:ind w:left="568" w:right="264"/>
        <w:rPr>
          <w:b/>
          <w:color w:val="CA005D" w:themeColor="accent3"/>
          <w:sz w:val="24"/>
          <w:szCs w:val="24"/>
        </w:rPr>
      </w:pPr>
      <w:r>
        <w:rPr>
          <w:b/>
          <w:color w:val="CA005D" w:themeColor="accent3"/>
          <w:sz w:val="24"/>
          <w:szCs w:val="24"/>
        </w:rPr>
        <w:t>James Ringrow</w:t>
      </w:r>
    </w:p>
    <w:p w:rsidR="006E1D32" w:rsidP="003C65A5" w:rsidRDefault="0049398D" w14:paraId="59A1B888" w14:textId="46CEB94A">
      <w:pPr>
        <w:spacing w:after="0"/>
        <w:ind w:left="568" w:right="264"/>
        <w:rPr>
          <w:sz w:val="24"/>
          <w:szCs w:val="24"/>
        </w:rPr>
      </w:pPr>
      <w:r>
        <w:rPr>
          <w:sz w:val="24"/>
          <w:szCs w:val="24"/>
        </w:rPr>
        <w:t>Director of Strategy</w:t>
      </w:r>
    </w:p>
    <w:p w:rsidRPr="00F83256" w:rsidR="00861CFA" w:rsidP="00F83256" w:rsidRDefault="00481265" w14:paraId="1939D7D4" w14:textId="7979E041">
      <w:pPr>
        <w:spacing w:after="160" w:line="259" w:lineRule="auto"/>
        <w:ind w:left="568"/>
        <w:rPr>
          <w:sz w:val="24"/>
          <w:szCs w:val="24"/>
        </w:rPr>
      </w:pPr>
      <w:r>
        <w:rPr>
          <w:sz w:val="24"/>
          <w:szCs w:val="24"/>
        </w:rPr>
        <w:br w:type="page"/>
      </w:r>
    </w:p>
    <w:p w:rsidR="00BA1E6F" w:rsidP="00BA1E6F" w:rsidRDefault="00F717B7" w14:paraId="2631C37A" w14:textId="04DA2D60">
      <w:pPr>
        <w:pStyle w:val="Heading1"/>
      </w:pPr>
      <w:r>
        <w:t>Yes/No: Do you agree that a Consumer Consent solution is required as per the taskforce's recommendation?</w:t>
      </w:r>
    </w:p>
    <w:p w:rsidR="00CE34DE" w:rsidP="007E1196" w:rsidRDefault="004F050E" w14:paraId="40512AF9" w14:textId="37A2B09D">
      <w:pPr>
        <w:ind w:left="709"/>
      </w:pPr>
      <w:r>
        <w:t xml:space="preserve">Much policy, including the energy digitalisation taskforce report, </w:t>
      </w:r>
      <w:r w:rsidR="00B752DB">
        <w:t xml:space="preserve">emphasises the criticality of </w:t>
      </w:r>
      <w:r w:rsidR="009377C6">
        <w:t xml:space="preserve">consumers </w:t>
      </w:r>
      <w:r w:rsidR="002A26BC">
        <w:t>in the net zero transition</w:t>
      </w:r>
      <w:r w:rsidR="009377C6">
        <w:t xml:space="preserve">– developing the </w:t>
      </w:r>
      <w:r w:rsidR="009E5DE2">
        <w:t xml:space="preserve">energy </w:t>
      </w:r>
      <w:r w:rsidR="009377C6">
        <w:t xml:space="preserve">system in a way that </w:t>
      </w:r>
      <w:r w:rsidR="008D54C4">
        <w:t>meets their requirement</w:t>
      </w:r>
      <w:r w:rsidR="00F94198">
        <w:t>s</w:t>
      </w:r>
      <w:r w:rsidR="008D54C4">
        <w:t xml:space="preserve">, protects their interests, drives their </w:t>
      </w:r>
      <w:r w:rsidR="00107B39">
        <w:t>engagement,</w:t>
      </w:r>
      <w:r w:rsidR="008D54C4">
        <w:t xml:space="preserve"> and </w:t>
      </w:r>
      <w:r w:rsidR="009377C6">
        <w:t>garners their</w:t>
      </w:r>
      <w:r w:rsidR="008D54C4">
        <w:t xml:space="preserve"> trust. </w:t>
      </w:r>
    </w:p>
    <w:p w:rsidR="008D54C4" w:rsidP="007E1196" w:rsidRDefault="00107B39" w14:paraId="401944BA" w14:textId="319BC3DD">
      <w:pPr>
        <w:ind w:left="709"/>
      </w:pPr>
      <w:r>
        <w:t xml:space="preserve">We agree that the </w:t>
      </w:r>
      <w:r w:rsidR="00D56F47">
        <w:t xml:space="preserve">taskforce recommendation for </w:t>
      </w:r>
      <w:r w:rsidR="00090746">
        <w:t xml:space="preserve">a </w:t>
      </w:r>
      <w:r w:rsidR="00D56F47">
        <w:t xml:space="preserve">‘simple consumer consent dashboard’ </w:t>
      </w:r>
      <w:r w:rsidR="002172CD">
        <w:t xml:space="preserve">and ‘simple consent methodology’ </w:t>
      </w:r>
      <w:r w:rsidR="006C79D9">
        <w:t>is</w:t>
      </w:r>
      <w:r w:rsidR="00630983">
        <w:t xml:space="preserve"> a</w:t>
      </w:r>
      <w:r w:rsidR="006C79D9">
        <w:t xml:space="preserve"> key</w:t>
      </w:r>
      <w:r w:rsidR="00423307">
        <w:t xml:space="preserve"> improvement that will </w:t>
      </w:r>
      <w:r w:rsidR="00461B95">
        <w:t xml:space="preserve">help in the </w:t>
      </w:r>
      <w:r w:rsidR="00E62D8A">
        <w:t xml:space="preserve">transition to a digitalised energy system. </w:t>
      </w:r>
      <w:r w:rsidR="00D93413">
        <w:t xml:space="preserve"> </w:t>
      </w:r>
    </w:p>
    <w:p w:rsidRPr="009642AE" w:rsidR="00D93413" w:rsidP="007E1196" w:rsidRDefault="0041744A" w14:paraId="31F483AC" w14:textId="480E1297">
      <w:pPr>
        <w:ind w:left="709"/>
      </w:pPr>
      <w:r>
        <w:t xml:space="preserve">In alignment with the taskforce recommendation, we agree that </w:t>
      </w:r>
      <w:r w:rsidR="00C0498C">
        <w:t>any</w:t>
      </w:r>
      <w:r w:rsidR="0020117F">
        <w:t xml:space="preserve"> solution should start with smart meter data</w:t>
      </w:r>
      <w:r w:rsidR="00C0498C">
        <w:t xml:space="preserve"> and be designed </w:t>
      </w:r>
      <w:r w:rsidR="00146B99">
        <w:t>with applicability for other exi</w:t>
      </w:r>
      <w:r w:rsidR="003A1DAA">
        <w:t>s</w:t>
      </w:r>
      <w:r w:rsidR="00146B99">
        <w:t xml:space="preserve">ting and future energy data categories. </w:t>
      </w:r>
      <w:r w:rsidR="003A1DAA">
        <w:t xml:space="preserve"> </w:t>
      </w:r>
      <w:r w:rsidR="00146B99">
        <w:t xml:space="preserve">We note the taskforce report </w:t>
      </w:r>
      <w:r w:rsidR="008F487A">
        <w:t xml:space="preserve">proposes that the solution could be </w:t>
      </w:r>
      <w:r w:rsidR="0097323D">
        <w:t xml:space="preserve">implemented centrally </w:t>
      </w:r>
      <w:r w:rsidR="00F4667D">
        <w:t>‘</w:t>
      </w:r>
      <w:r w:rsidRPr="00560EEF" w:rsidR="00F4667D">
        <w:rPr>
          <w:i/>
          <w:iCs/>
        </w:rPr>
        <w:t>through an entity such as Smart DCC’</w:t>
      </w:r>
      <w:r w:rsidR="001A7A49">
        <w:t xml:space="preserve">.  We </w:t>
      </w:r>
      <w:r w:rsidR="003F62B6">
        <w:t xml:space="preserve">are on-hand to provide the necessary capabilities </w:t>
      </w:r>
      <w:r w:rsidR="00B062B7">
        <w:t xml:space="preserve">– </w:t>
      </w:r>
      <w:r w:rsidR="001A7A49">
        <w:t xml:space="preserve">proven </w:t>
      </w:r>
      <w:r w:rsidR="00B062B7">
        <w:t>delivery of complex technology solutions,</w:t>
      </w:r>
      <w:r w:rsidR="0023755F">
        <w:t xml:space="preserve"> synergies and efficiencies with our existing operations</w:t>
      </w:r>
      <w:r w:rsidR="00C229A2">
        <w:t xml:space="preserve"> and accountability through our regulatory framework</w:t>
      </w:r>
      <w:r w:rsidR="001318CF">
        <w:t xml:space="preserve"> – </w:t>
      </w:r>
      <w:r w:rsidR="001A7A49">
        <w:t xml:space="preserve">to support this delivery </w:t>
      </w:r>
      <w:r w:rsidRPr="009642AE" w:rsidR="001A7A49">
        <w:t>approach</w:t>
      </w:r>
      <w:r w:rsidRPr="009642AE" w:rsidR="00887661">
        <w:t xml:space="preserve">, whether in part or </w:t>
      </w:r>
      <w:r w:rsidRPr="009642AE" w:rsidR="00883D73">
        <w:t xml:space="preserve">full development of the solution. </w:t>
      </w:r>
    </w:p>
    <w:p w:rsidR="00D857F1" w:rsidP="00A7220F" w:rsidRDefault="00632A3F" w14:paraId="026E68D4" w14:textId="79D5E466">
      <w:pPr>
        <w:ind w:left="709"/>
      </w:pPr>
      <w:r w:rsidRPr="009642AE">
        <w:t xml:space="preserve">Delivering a central solution via DCC would hold potential to take advantage </w:t>
      </w:r>
      <w:r w:rsidRPr="009642AE" w:rsidR="002E334B">
        <w:t>of advances i</w:t>
      </w:r>
      <w:r w:rsidRPr="009642AE" w:rsidR="00B5240E">
        <w:t>n technology development. We are currently in the process of procuring a new Data Service Provider</w:t>
      </w:r>
      <w:r w:rsidRPr="009642AE" w:rsidR="00D77239">
        <w:t xml:space="preserve"> (DSP)</w:t>
      </w:r>
      <w:r w:rsidRPr="009642AE" w:rsidR="00B5240E">
        <w:t xml:space="preserve"> </w:t>
      </w:r>
      <w:r w:rsidRPr="009642AE" w:rsidR="009642AE">
        <w:t xml:space="preserve">- </w:t>
      </w:r>
      <w:r w:rsidRPr="009642AE" w:rsidR="00B5240E">
        <w:t xml:space="preserve">delivery is due for completion by </w:t>
      </w:r>
      <w:r w:rsidRPr="002F0F04" w:rsidR="00792841">
        <w:t>2027</w:t>
      </w:r>
      <w:r w:rsidRPr="002F0F04" w:rsidR="00B5240E">
        <w:t>.</w:t>
      </w:r>
      <w:r w:rsidRPr="009642AE" w:rsidR="00B5240E">
        <w:t xml:space="preserve">  </w:t>
      </w:r>
      <w:r w:rsidRPr="009642AE" w:rsidR="00B5240E">
        <w:rPr>
          <w:rStyle w:val="ui-provider"/>
        </w:rPr>
        <w:t>O</w:t>
      </w:r>
      <w:r w:rsidRPr="009642AE" w:rsidR="00A7220F">
        <w:rPr>
          <w:rStyle w:val="ui-provider"/>
        </w:rPr>
        <w:t xml:space="preserve">nce implemented, </w:t>
      </w:r>
      <w:r w:rsidRPr="009642AE" w:rsidR="00B5240E">
        <w:rPr>
          <w:rStyle w:val="ui-provider"/>
        </w:rPr>
        <w:t>the</w:t>
      </w:r>
      <w:r w:rsidRPr="009642AE" w:rsidR="0022232B">
        <w:rPr>
          <w:rStyle w:val="ui-provider"/>
        </w:rPr>
        <w:t xml:space="preserve"> construct of the technology</w:t>
      </w:r>
      <w:r w:rsidRPr="009642AE" w:rsidR="00B5240E">
        <w:rPr>
          <w:rStyle w:val="ui-provider"/>
        </w:rPr>
        <w:t xml:space="preserve"> </w:t>
      </w:r>
      <w:r w:rsidRPr="009642AE" w:rsidR="00A7220F">
        <w:rPr>
          <w:rStyle w:val="ui-provider"/>
        </w:rPr>
        <w:t>will be more adaptable</w:t>
      </w:r>
      <w:r w:rsidR="00883D8D">
        <w:rPr>
          <w:rStyle w:val="ui-provider"/>
        </w:rPr>
        <w:t xml:space="preserve"> - </w:t>
      </w:r>
      <w:r w:rsidRPr="009642AE" w:rsidR="00A7220F">
        <w:rPr>
          <w:rStyle w:val="ui-provider"/>
        </w:rPr>
        <w:t>delivering change more quickly, more flexibly and more cost effectively than possible with the present DSP system.</w:t>
      </w:r>
      <w:r>
        <w:t xml:space="preserve"> </w:t>
      </w:r>
      <w:r w:rsidR="0022232B">
        <w:t xml:space="preserve"> </w:t>
      </w:r>
    </w:p>
    <w:p w:rsidR="00632A3F" w:rsidP="004E4D83" w:rsidRDefault="009F7CFA" w14:paraId="03BF3FD6" w14:textId="15639E50">
      <w:pPr>
        <w:ind w:left="709"/>
      </w:pPr>
      <w:r w:rsidRPr="00853CCC">
        <w:t xml:space="preserve">From a regulatory perspective, </w:t>
      </w:r>
      <w:r w:rsidRPr="00853CCC" w:rsidR="00853CCC">
        <w:t>DCC’s current licence term will</w:t>
      </w:r>
      <w:r w:rsidR="00853CCC">
        <w:t xml:space="preserve"> end </w:t>
      </w:r>
      <w:r w:rsidR="00A84E56">
        <w:t>by 2028</w:t>
      </w:r>
      <w:r w:rsidR="00853CCC">
        <w:t xml:space="preserve"> (pending a decision on length of extension). Ofgem’s Licence Review activities have resulted in a series of</w:t>
      </w:r>
      <w:r w:rsidR="001E33C2">
        <w:t xml:space="preserve"> likely</w:t>
      </w:r>
      <w:r w:rsidR="00853CCC">
        <w:t xml:space="preserve"> provisions on the future of DCC</w:t>
      </w:r>
      <w:r w:rsidR="001E33C2">
        <w:t>, including for ‘additional mandatory business’</w:t>
      </w:r>
      <w:r w:rsidR="00F27451">
        <w:t>. Embedding the solution into the new licence would ensure</w:t>
      </w:r>
      <w:r w:rsidR="00DC16C7">
        <w:t xml:space="preserve"> governance,</w:t>
      </w:r>
      <w:r w:rsidR="00F27451">
        <w:t xml:space="preserve"> accountability, value for money</w:t>
      </w:r>
      <w:r w:rsidR="00DC16C7">
        <w:t xml:space="preserve"> and</w:t>
      </w:r>
      <w:r w:rsidR="00D77239">
        <w:t xml:space="preserve"> may offer faster deployment </w:t>
      </w:r>
      <w:r w:rsidR="00A84E56">
        <w:t>compared to</w:t>
      </w:r>
      <w:r w:rsidR="00D77239">
        <w:t xml:space="preserve"> </w:t>
      </w:r>
      <w:r w:rsidR="00DC16C7">
        <w:t>alternate development routes</w:t>
      </w:r>
      <w:r w:rsidR="00D77239">
        <w:t xml:space="preserve">. </w:t>
      </w:r>
      <w:r w:rsidR="00DC16C7">
        <w:t xml:space="preserve"> </w:t>
      </w:r>
    </w:p>
    <w:p w:rsidR="009A650F" w:rsidP="004777A1" w:rsidRDefault="001C3AA6" w14:paraId="3EA42435" w14:textId="76D599FE">
      <w:pPr>
        <w:ind w:left="709"/>
      </w:pPr>
      <w:r>
        <w:t>Irrespective of who delivers the solution, i</w:t>
      </w:r>
      <w:r w:rsidR="00010688">
        <w:t>nherent</w:t>
      </w:r>
      <w:r w:rsidR="009A650F">
        <w:t xml:space="preserve"> technical functionality </w:t>
      </w:r>
      <w:r w:rsidR="00424029">
        <w:t>within</w:t>
      </w:r>
      <w:r w:rsidR="00010688">
        <w:t xml:space="preserve"> the</w:t>
      </w:r>
      <w:r w:rsidR="00F142D3">
        <w:t xml:space="preserve"> smart meter</w:t>
      </w:r>
      <w:r w:rsidR="00010688">
        <w:t xml:space="preserve"> system</w:t>
      </w:r>
      <w:r w:rsidR="00A363D9">
        <w:t xml:space="preserve"> and the data</w:t>
      </w:r>
      <w:r w:rsidR="00DB26D2">
        <w:t xml:space="preserve"> are already available today and </w:t>
      </w:r>
      <w:r w:rsidR="00F142D3">
        <w:t xml:space="preserve">could form part of a solution to </w:t>
      </w:r>
      <w:r w:rsidR="004777A1">
        <w:t>avoid duplication and</w:t>
      </w:r>
      <w:r w:rsidR="003F7046">
        <w:t xml:space="preserve"> to</w:t>
      </w:r>
      <w:r w:rsidR="004777A1">
        <w:t xml:space="preserve"> maximis</w:t>
      </w:r>
      <w:r w:rsidR="003F7046">
        <w:t>e</w:t>
      </w:r>
      <w:r w:rsidR="004777A1">
        <w:t xml:space="preserve"> efficiency.  For example, smart meter ‘system data’</w:t>
      </w:r>
      <w:r w:rsidR="003F7046">
        <w:t xml:space="preserve"> </w:t>
      </w:r>
      <w:r w:rsidR="004777A1">
        <w:t xml:space="preserve">provides a dynamic audit trail of </w:t>
      </w:r>
      <w:r w:rsidR="00BA7D4A">
        <w:t>which entities have accessed which MPAN</w:t>
      </w:r>
      <w:r w:rsidR="009237DF">
        <w:rPr>
          <w:rStyle w:val="FootnoteReference"/>
        </w:rPr>
        <w:footnoteReference w:id="2"/>
      </w:r>
      <w:r w:rsidR="00BA7D4A">
        <w:t xml:space="preserve"> to retrieve energy data</w:t>
      </w:r>
      <w:r w:rsidR="004777A1">
        <w:t xml:space="preserve"> and the Retail Energy Location addressing data (which forms part of the Central Switching Service), could help to triangulate the accuracy and validity of </w:t>
      </w:r>
      <w:r w:rsidR="00281AB8">
        <w:t xml:space="preserve">consent from a particular premise. </w:t>
      </w:r>
    </w:p>
    <w:p w:rsidR="000457F7" w:rsidP="001C6997" w:rsidRDefault="00EC70C3" w14:paraId="01ECA939" w14:textId="02AEF5E5">
      <w:pPr>
        <w:ind w:left="709"/>
      </w:pPr>
      <w:r>
        <w:t xml:space="preserve">In relation to </w:t>
      </w:r>
      <w:r w:rsidR="006E38E6">
        <w:t xml:space="preserve">smart </w:t>
      </w:r>
      <w:r>
        <w:t xml:space="preserve">data access, </w:t>
      </w:r>
      <w:r w:rsidR="00091F14">
        <w:t xml:space="preserve">we would also emphasise the importance of </w:t>
      </w:r>
      <w:r w:rsidR="005E6F55">
        <w:t>assessing</w:t>
      </w:r>
      <w:r w:rsidR="00091F14">
        <w:t xml:space="preserve"> the </w:t>
      </w:r>
      <w:r w:rsidR="005E6F55">
        <w:t>need for</w:t>
      </w:r>
      <w:r w:rsidR="000457F7">
        <w:t>,</w:t>
      </w:r>
      <w:r w:rsidR="005E6F55">
        <w:t xml:space="preserve"> a</w:t>
      </w:r>
      <w:r w:rsidR="000457F7">
        <w:t>nd impact of, a</w:t>
      </w:r>
      <w:r w:rsidR="005E6F55">
        <w:t xml:space="preserve"> </w:t>
      </w:r>
      <w:r w:rsidR="00091F14">
        <w:t>consumer consent solution</w:t>
      </w:r>
      <w:r w:rsidR="006E66BD">
        <w:t xml:space="preserve"> holistically</w:t>
      </w:r>
      <w:r w:rsidR="00091F14">
        <w:t xml:space="preserve"> </w:t>
      </w:r>
      <w:r w:rsidR="00FE2A7B">
        <w:t xml:space="preserve">in </w:t>
      </w:r>
      <w:r w:rsidR="005E6F55">
        <w:t xml:space="preserve">conjunction with a broader suite of considerations. </w:t>
      </w:r>
      <w:r w:rsidR="008C12A6">
        <w:t>Many of these are addressed in a recent paper produced by the Energy Systems Catapult and DCC ‘Data for Good’</w:t>
      </w:r>
      <w:r w:rsidR="008C12A6">
        <w:rPr>
          <w:rStyle w:val="FootnoteReference"/>
        </w:rPr>
        <w:footnoteReference w:id="3"/>
      </w:r>
      <w:r w:rsidR="008C12A6">
        <w:t xml:space="preserve"> but of particular importance: </w:t>
      </w:r>
    </w:p>
    <w:p w:rsidRPr="009642AE" w:rsidR="00F61954" w:rsidP="00F61954" w:rsidRDefault="00072191" w14:paraId="1436F021" w14:textId="42CA779E">
      <w:pPr>
        <w:pStyle w:val="ListParagraph"/>
        <w:numPr>
          <w:ilvl w:val="0"/>
          <w:numId w:val="25"/>
        </w:numPr>
        <w:rPr>
          <w:rFonts w:asciiTheme="majorHAnsi" w:hAnsiTheme="majorHAnsi"/>
        </w:rPr>
      </w:pPr>
      <w:r w:rsidRPr="009642AE">
        <w:rPr>
          <w:rFonts w:asciiTheme="majorHAnsi" w:hAnsiTheme="majorHAnsi"/>
        </w:rPr>
        <w:t>I</w:t>
      </w:r>
      <w:r w:rsidRPr="009642AE" w:rsidR="0009297E">
        <w:rPr>
          <w:rFonts w:asciiTheme="majorHAnsi" w:hAnsiTheme="majorHAnsi"/>
        </w:rPr>
        <w:t xml:space="preserve">mprovements to streamline </w:t>
      </w:r>
      <w:r w:rsidRPr="009642AE" w:rsidR="00002847">
        <w:rPr>
          <w:rFonts w:asciiTheme="majorHAnsi" w:hAnsiTheme="majorHAnsi"/>
        </w:rPr>
        <w:t>t</w:t>
      </w:r>
      <w:r w:rsidRPr="009642AE" w:rsidR="0009297E">
        <w:rPr>
          <w:rFonts w:asciiTheme="majorHAnsi" w:hAnsiTheme="majorHAnsi"/>
        </w:rPr>
        <w:t xml:space="preserve">he on-boarding approach for Other Users. </w:t>
      </w:r>
      <w:r w:rsidRPr="009642AE" w:rsidR="00002847">
        <w:rPr>
          <w:rFonts w:asciiTheme="majorHAnsi" w:hAnsiTheme="majorHAnsi"/>
        </w:rPr>
        <w:t xml:space="preserve">Data privacy </w:t>
      </w:r>
      <w:r w:rsidRPr="009642AE" w:rsidR="00AC621F">
        <w:rPr>
          <w:rFonts w:asciiTheme="majorHAnsi" w:hAnsiTheme="majorHAnsi"/>
        </w:rPr>
        <w:t xml:space="preserve">is a key element </w:t>
      </w:r>
      <w:r w:rsidRPr="009642AE" w:rsidR="00220F57">
        <w:rPr>
          <w:rFonts w:asciiTheme="majorHAnsi" w:hAnsiTheme="majorHAnsi"/>
        </w:rPr>
        <w:t xml:space="preserve">of this but there are other factors </w:t>
      </w:r>
      <w:r w:rsidRPr="009642AE" w:rsidR="00AE0D31">
        <w:rPr>
          <w:rFonts w:asciiTheme="majorHAnsi" w:hAnsiTheme="majorHAnsi"/>
        </w:rPr>
        <w:t>that drive</w:t>
      </w:r>
      <w:r w:rsidRPr="009642AE" w:rsidR="00220F57">
        <w:rPr>
          <w:rFonts w:asciiTheme="majorHAnsi" w:hAnsiTheme="majorHAnsi"/>
        </w:rPr>
        <w:t xml:space="preserve"> complexity and </w:t>
      </w:r>
      <w:r w:rsidRPr="009642AE" w:rsidR="003C2532">
        <w:rPr>
          <w:rFonts w:asciiTheme="majorHAnsi" w:hAnsiTheme="majorHAnsi"/>
        </w:rPr>
        <w:t xml:space="preserve">extend </w:t>
      </w:r>
      <w:r w:rsidRPr="009642AE" w:rsidR="00220F57">
        <w:rPr>
          <w:rFonts w:asciiTheme="majorHAnsi" w:hAnsiTheme="majorHAnsi"/>
        </w:rPr>
        <w:t>duration</w:t>
      </w:r>
      <w:r w:rsidRPr="009642AE" w:rsidR="003C2532">
        <w:rPr>
          <w:rFonts w:asciiTheme="majorHAnsi" w:hAnsiTheme="majorHAnsi"/>
        </w:rPr>
        <w:t xml:space="preserve"> which ultimately inhibit</w:t>
      </w:r>
      <w:r w:rsidRPr="009642AE" w:rsidR="002746B9">
        <w:rPr>
          <w:rFonts w:asciiTheme="majorHAnsi" w:hAnsiTheme="majorHAnsi"/>
        </w:rPr>
        <w:t xml:space="preserve"> </w:t>
      </w:r>
      <w:r w:rsidRPr="009642AE" w:rsidR="0052464F">
        <w:rPr>
          <w:rFonts w:asciiTheme="majorHAnsi" w:hAnsiTheme="majorHAnsi"/>
        </w:rPr>
        <w:t xml:space="preserve">take up. </w:t>
      </w:r>
      <w:r w:rsidRPr="009642AE" w:rsidR="00A94F27">
        <w:rPr>
          <w:rFonts w:asciiTheme="majorHAnsi" w:hAnsiTheme="majorHAnsi"/>
        </w:rPr>
        <w:t xml:space="preserve">These </w:t>
      </w:r>
      <w:r w:rsidRPr="009642AE">
        <w:rPr>
          <w:rFonts w:asciiTheme="majorHAnsi" w:hAnsiTheme="majorHAnsi"/>
        </w:rPr>
        <w:t xml:space="preserve">factors are being addressed through work undertaken </w:t>
      </w:r>
      <w:r w:rsidR="002143BA">
        <w:rPr>
          <w:rFonts w:asciiTheme="majorHAnsi" w:hAnsiTheme="majorHAnsi"/>
        </w:rPr>
        <w:t xml:space="preserve">by </w:t>
      </w:r>
      <w:r w:rsidRPr="009642AE">
        <w:rPr>
          <w:rFonts w:asciiTheme="majorHAnsi" w:hAnsiTheme="majorHAnsi"/>
        </w:rPr>
        <w:t>the DCC</w:t>
      </w:r>
      <w:r w:rsidR="002143BA">
        <w:rPr>
          <w:rFonts w:asciiTheme="majorHAnsi" w:hAnsiTheme="majorHAnsi"/>
        </w:rPr>
        <w:t>, the Department for Energy Security and Net Zero</w:t>
      </w:r>
      <w:r w:rsidR="002C4BD6">
        <w:rPr>
          <w:rFonts w:asciiTheme="majorHAnsi" w:hAnsiTheme="majorHAnsi"/>
        </w:rPr>
        <w:t xml:space="preserve"> and the Smart Energy Code</w:t>
      </w:r>
      <w:r w:rsidR="002143BA">
        <w:rPr>
          <w:rFonts w:asciiTheme="majorHAnsi" w:hAnsiTheme="majorHAnsi"/>
        </w:rPr>
        <w:t xml:space="preserve">.  These activities </w:t>
      </w:r>
      <w:r w:rsidRPr="009642AE" w:rsidR="00982C24">
        <w:rPr>
          <w:rFonts w:asciiTheme="majorHAnsi" w:hAnsiTheme="majorHAnsi"/>
        </w:rPr>
        <w:t xml:space="preserve">will require alignment with any future </w:t>
      </w:r>
      <w:r w:rsidRPr="009642AE" w:rsidR="003C2532">
        <w:rPr>
          <w:rFonts w:asciiTheme="majorHAnsi" w:hAnsiTheme="majorHAnsi"/>
        </w:rPr>
        <w:t xml:space="preserve">consent solutions. </w:t>
      </w:r>
    </w:p>
    <w:p w:rsidRPr="009642AE" w:rsidR="004777A1" w:rsidP="00901F96" w:rsidRDefault="006009A7" w14:paraId="3C3250F3" w14:textId="498C9F24">
      <w:pPr>
        <w:pStyle w:val="ListParagraph"/>
        <w:numPr>
          <w:ilvl w:val="0"/>
          <w:numId w:val="25"/>
        </w:numPr>
        <w:rPr>
          <w:rFonts w:asciiTheme="majorHAnsi" w:hAnsiTheme="majorHAnsi"/>
        </w:rPr>
      </w:pPr>
      <w:r w:rsidRPr="009642AE">
        <w:rPr>
          <w:rFonts w:asciiTheme="majorHAnsi" w:hAnsiTheme="majorHAnsi"/>
        </w:rPr>
        <w:t>Broader data privacy and data governance considerations i</w:t>
      </w:r>
      <w:r w:rsidRPr="009642AE" w:rsidR="003D290F">
        <w:rPr>
          <w:rFonts w:asciiTheme="majorHAnsi" w:hAnsiTheme="majorHAnsi"/>
        </w:rPr>
        <w:t>ncluding the ability to enable standardised and scalable access to</w:t>
      </w:r>
      <w:r w:rsidRPr="009642AE" w:rsidR="00671C5B">
        <w:rPr>
          <w:rFonts w:asciiTheme="majorHAnsi" w:hAnsiTheme="majorHAnsi"/>
        </w:rPr>
        <w:t xml:space="preserve"> aggregated smart meter data</w:t>
      </w:r>
      <w:r w:rsidRPr="009642AE" w:rsidR="00877D04">
        <w:rPr>
          <w:rFonts w:asciiTheme="majorHAnsi" w:hAnsiTheme="majorHAnsi"/>
        </w:rPr>
        <w:t xml:space="preserve"> </w:t>
      </w:r>
      <w:r w:rsidRPr="009642AE" w:rsidR="004B2F5F">
        <w:rPr>
          <w:rFonts w:asciiTheme="majorHAnsi" w:hAnsiTheme="majorHAnsi"/>
        </w:rPr>
        <w:t xml:space="preserve">(and </w:t>
      </w:r>
      <w:r w:rsidRPr="009642AE" w:rsidR="002A3D3E">
        <w:rPr>
          <w:rFonts w:asciiTheme="majorHAnsi" w:hAnsiTheme="majorHAnsi"/>
        </w:rPr>
        <w:t>system data</w:t>
      </w:r>
      <w:r w:rsidRPr="009642AE" w:rsidR="004B2F5F">
        <w:rPr>
          <w:rFonts w:asciiTheme="majorHAnsi" w:hAnsiTheme="majorHAnsi"/>
        </w:rPr>
        <w:t xml:space="preserve">) and the potential for inclusion of other lawful </w:t>
      </w:r>
      <w:r w:rsidRPr="009642AE" w:rsidR="003C2532">
        <w:rPr>
          <w:rFonts w:asciiTheme="majorHAnsi" w:hAnsiTheme="majorHAnsi"/>
        </w:rPr>
        <w:t>bases</w:t>
      </w:r>
      <w:r w:rsidRPr="009642AE" w:rsidR="004B2F5F">
        <w:rPr>
          <w:rFonts w:asciiTheme="majorHAnsi" w:hAnsiTheme="majorHAnsi"/>
        </w:rPr>
        <w:t xml:space="preserve"> for data processing (</w:t>
      </w:r>
      <w:r w:rsidRPr="009642AE" w:rsidR="00C61440">
        <w:rPr>
          <w:rFonts w:asciiTheme="majorHAnsi" w:hAnsiTheme="majorHAnsi"/>
        </w:rPr>
        <w:t>other than consent)</w:t>
      </w:r>
      <w:r w:rsidRPr="009642AE" w:rsidR="00802E84">
        <w:rPr>
          <w:rFonts w:asciiTheme="majorHAnsi" w:hAnsiTheme="majorHAnsi"/>
        </w:rPr>
        <w:t xml:space="preserve">. </w:t>
      </w:r>
      <w:r w:rsidRPr="009642AE" w:rsidR="00E0776D">
        <w:rPr>
          <w:rFonts w:asciiTheme="majorHAnsi" w:hAnsiTheme="majorHAnsi"/>
        </w:rPr>
        <w:t xml:space="preserve"> </w:t>
      </w:r>
      <w:r w:rsidRPr="009642AE" w:rsidR="003E2CA1">
        <w:rPr>
          <w:rFonts w:asciiTheme="majorHAnsi" w:hAnsiTheme="majorHAnsi"/>
        </w:rPr>
        <w:t>W</w:t>
      </w:r>
      <w:r w:rsidRPr="009642AE" w:rsidR="00CB1C10">
        <w:rPr>
          <w:rFonts w:asciiTheme="majorHAnsi" w:hAnsiTheme="majorHAnsi"/>
        </w:rPr>
        <w:t>e</w:t>
      </w:r>
      <w:r w:rsidRPr="009642AE" w:rsidR="00AA0464">
        <w:rPr>
          <w:rFonts w:asciiTheme="majorHAnsi" w:hAnsiTheme="majorHAnsi"/>
        </w:rPr>
        <w:t xml:space="preserve"> believe that broader regulatory change in these areas can unlock </w:t>
      </w:r>
      <w:r w:rsidRPr="009642AE" w:rsidR="00CB1C10">
        <w:rPr>
          <w:rFonts w:asciiTheme="majorHAnsi" w:hAnsiTheme="majorHAnsi"/>
        </w:rPr>
        <w:t xml:space="preserve">several public benefit use cases </w:t>
      </w:r>
      <w:r w:rsidRPr="009642AE" w:rsidR="00AA0464">
        <w:rPr>
          <w:rFonts w:asciiTheme="majorHAnsi" w:hAnsiTheme="majorHAnsi"/>
        </w:rPr>
        <w:t xml:space="preserve">relating to </w:t>
      </w:r>
      <w:r w:rsidRPr="009642AE" w:rsidR="00CB1C10">
        <w:rPr>
          <w:rFonts w:asciiTheme="majorHAnsi" w:hAnsiTheme="majorHAnsi"/>
        </w:rPr>
        <w:t>energy theft, fuel p</w:t>
      </w:r>
      <w:r w:rsidRPr="009642AE" w:rsidR="00856DCC">
        <w:rPr>
          <w:rFonts w:asciiTheme="majorHAnsi" w:hAnsiTheme="majorHAnsi"/>
        </w:rPr>
        <w:t>overty reduction</w:t>
      </w:r>
      <w:r w:rsidRPr="009642AE" w:rsidR="00AA0464">
        <w:rPr>
          <w:rFonts w:asciiTheme="majorHAnsi" w:hAnsiTheme="majorHAnsi"/>
        </w:rPr>
        <w:t xml:space="preserve"> and </w:t>
      </w:r>
      <w:r w:rsidRPr="009642AE" w:rsidR="00856DCC">
        <w:rPr>
          <w:rFonts w:asciiTheme="majorHAnsi" w:hAnsiTheme="majorHAnsi"/>
        </w:rPr>
        <w:t>acceleration of low carbon technology adoption</w:t>
      </w:r>
      <w:r w:rsidRPr="009642AE" w:rsidR="00AA0464">
        <w:rPr>
          <w:rFonts w:asciiTheme="majorHAnsi" w:hAnsiTheme="majorHAnsi"/>
        </w:rPr>
        <w:t xml:space="preserve"> for example. </w:t>
      </w:r>
    </w:p>
    <w:p w:rsidR="004777A1" w:rsidP="004777A1" w:rsidRDefault="004777A1" w14:paraId="62556EF3" w14:textId="77777777">
      <w:pPr>
        <w:ind w:left="709"/>
      </w:pPr>
    </w:p>
    <w:p w:rsidR="00AC4503" w:rsidP="00AC4503" w:rsidRDefault="00AC4503" w14:paraId="74B1A7A9" w14:textId="04E1FE04">
      <w:pPr>
        <w:pStyle w:val="Heading1"/>
      </w:pPr>
      <w:r>
        <w:t>Could you please provide any reasons why the current methods for obtaining consent from a consumer might be ineffective or inefficient?</w:t>
      </w:r>
    </w:p>
    <w:p w:rsidRPr="005C7730" w:rsidR="00074F55" w:rsidP="00074F55" w:rsidRDefault="00921872" w14:paraId="629D64B0" w14:textId="72FF0882">
      <w:pPr>
        <w:ind w:left="709"/>
        <w:rPr>
          <w:rFonts w:asciiTheme="majorHAnsi" w:hAnsiTheme="majorHAnsi"/>
        </w:rPr>
      </w:pPr>
      <w:r w:rsidRPr="005C7730">
        <w:rPr>
          <w:rFonts w:asciiTheme="majorHAnsi" w:hAnsiTheme="majorHAnsi"/>
        </w:rPr>
        <w:t xml:space="preserve">In context with smart metering, a key area of growth in access to smart meter data relates to the ‘Other User’ </w:t>
      </w:r>
      <w:r w:rsidRPr="005C7730" w:rsidR="00FC575B">
        <w:rPr>
          <w:rFonts w:asciiTheme="majorHAnsi" w:hAnsiTheme="majorHAnsi"/>
        </w:rPr>
        <w:t xml:space="preserve">(OU) </w:t>
      </w:r>
      <w:r w:rsidRPr="005C7730">
        <w:rPr>
          <w:rFonts w:asciiTheme="majorHAnsi" w:hAnsiTheme="majorHAnsi"/>
        </w:rPr>
        <w:t>role (broadly, any organisation other than an energy supplier or distribution network)</w:t>
      </w:r>
      <w:r w:rsidRPr="005C7730" w:rsidR="00DC6F12">
        <w:rPr>
          <w:rFonts w:asciiTheme="majorHAnsi" w:hAnsiTheme="majorHAnsi"/>
        </w:rPr>
        <w:t xml:space="preserve">. </w:t>
      </w:r>
    </w:p>
    <w:p w:rsidRPr="005C7730" w:rsidR="00074F55" w:rsidP="00074F55" w:rsidRDefault="00074F55" w14:paraId="1061B97A" w14:textId="74518775">
      <w:pPr>
        <w:ind w:left="709"/>
        <w:rPr>
          <w:rFonts w:asciiTheme="majorHAnsi" w:hAnsiTheme="majorHAnsi"/>
        </w:rPr>
      </w:pPr>
      <w:r w:rsidRPr="005C7730">
        <w:rPr>
          <w:rFonts w:asciiTheme="majorHAnsi" w:hAnsiTheme="majorHAnsi"/>
        </w:rPr>
        <w:t xml:space="preserve">Within the </w:t>
      </w:r>
      <w:r w:rsidRPr="005C7730" w:rsidR="00F02480">
        <w:rPr>
          <w:rFonts w:asciiTheme="majorHAnsi" w:hAnsiTheme="majorHAnsi"/>
        </w:rPr>
        <w:t>S</w:t>
      </w:r>
      <w:r w:rsidR="00E326A3">
        <w:rPr>
          <w:rFonts w:asciiTheme="majorHAnsi" w:hAnsiTheme="majorHAnsi"/>
        </w:rPr>
        <w:t xml:space="preserve">mart </w:t>
      </w:r>
      <w:r w:rsidRPr="005C7730" w:rsidR="00F02480">
        <w:rPr>
          <w:rFonts w:asciiTheme="majorHAnsi" w:hAnsiTheme="majorHAnsi"/>
        </w:rPr>
        <w:t>E</w:t>
      </w:r>
      <w:r w:rsidR="00E326A3">
        <w:rPr>
          <w:rFonts w:asciiTheme="majorHAnsi" w:hAnsiTheme="majorHAnsi"/>
        </w:rPr>
        <w:t xml:space="preserve">nergy </w:t>
      </w:r>
      <w:r w:rsidRPr="005C7730" w:rsidR="00F02480">
        <w:rPr>
          <w:rFonts w:asciiTheme="majorHAnsi" w:hAnsiTheme="majorHAnsi"/>
        </w:rPr>
        <w:t>C</w:t>
      </w:r>
      <w:r w:rsidR="00E326A3">
        <w:rPr>
          <w:rFonts w:asciiTheme="majorHAnsi" w:hAnsiTheme="majorHAnsi"/>
        </w:rPr>
        <w:t>ode</w:t>
      </w:r>
      <w:r w:rsidR="00667EB8">
        <w:rPr>
          <w:rFonts w:asciiTheme="majorHAnsi" w:hAnsiTheme="majorHAnsi"/>
        </w:rPr>
        <w:t xml:space="preserve"> (SEC)</w:t>
      </w:r>
      <w:r w:rsidRPr="005C7730" w:rsidR="00F02480">
        <w:rPr>
          <w:rFonts w:asciiTheme="majorHAnsi" w:hAnsiTheme="majorHAnsi"/>
        </w:rPr>
        <w:t xml:space="preserve">, </w:t>
      </w:r>
      <w:r w:rsidRPr="005C7730" w:rsidR="00F71F11">
        <w:rPr>
          <w:rFonts w:asciiTheme="majorHAnsi" w:hAnsiTheme="majorHAnsi"/>
        </w:rPr>
        <w:t xml:space="preserve">principles and requirements for consumer consent </w:t>
      </w:r>
      <w:r w:rsidRPr="005C7730" w:rsidR="0048465B">
        <w:rPr>
          <w:rFonts w:asciiTheme="majorHAnsi" w:hAnsiTheme="majorHAnsi"/>
        </w:rPr>
        <w:t xml:space="preserve">capture and management are set out in </w:t>
      </w:r>
      <w:r w:rsidRPr="005C7730" w:rsidR="00A77077">
        <w:rPr>
          <w:rFonts w:asciiTheme="majorHAnsi" w:hAnsiTheme="majorHAnsi"/>
        </w:rPr>
        <w:t>SEC Section I and the</w:t>
      </w:r>
      <w:r w:rsidRPr="005C7730" w:rsidR="00FC575B">
        <w:rPr>
          <w:rFonts w:asciiTheme="majorHAnsi" w:hAnsiTheme="majorHAnsi"/>
        </w:rPr>
        <w:t xml:space="preserve"> SEC Privacy Controls Framework</w:t>
      </w:r>
      <w:r w:rsidRPr="005C7730" w:rsidR="005C05FC">
        <w:rPr>
          <w:rFonts w:asciiTheme="majorHAnsi" w:hAnsiTheme="majorHAnsi"/>
        </w:rPr>
        <w:t xml:space="preserve">. </w:t>
      </w:r>
      <w:r w:rsidRPr="005C7730" w:rsidR="00D667F0">
        <w:rPr>
          <w:rFonts w:asciiTheme="majorHAnsi" w:hAnsiTheme="majorHAnsi"/>
        </w:rPr>
        <w:t>The framework is not a prescriptive process, rather a</w:t>
      </w:r>
      <w:r w:rsidRPr="005C7730" w:rsidR="00FC575B">
        <w:rPr>
          <w:rFonts w:asciiTheme="majorHAnsi" w:hAnsiTheme="majorHAnsi"/>
        </w:rPr>
        <w:t xml:space="preserve">n extensive </w:t>
      </w:r>
      <w:r w:rsidRPr="005C7730" w:rsidR="00D667F0">
        <w:rPr>
          <w:rFonts w:asciiTheme="majorHAnsi" w:hAnsiTheme="majorHAnsi"/>
        </w:rPr>
        <w:t xml:space="preserve">set of </w:t>
      </w:r>
      <w:r w:rsidRPr="005C7730" w:rsidR="00E71758">
        <w:rPr>
          <w:rFonts w:asciiTheme="majorHAnsi" w:hAnsiTheme="majorHAnsi"/>
        </w:rPr>
        <w:t>principles</w:t>
      </w:r>
      <w:r w:rsidRPr="005C7730" w:rsidR="00D667F0">
        <w:rPr>
          <w:rFonts w:asciiTheme="majorHAnsi" w:hAnsiTheme="majorHAnsi"/>
        </w:rPr>
        <w:t xml:space="preserve"> that prospective OU’s must consider </w:t>
      </w:r>
      <w:r w:rsidRPr="005C7730" w:rsidR="00247957">
        <w:rPr>
          <w:rFonts w:asciiTheme="majorHAnsi" w:hAnsiTheme="majorHAnsi"/>
        </w:rPr>
        <w:t xml:space="preserve">before submitting a proposed approach to the SEC panel. </w:t>
      </w:r>
    </w:p>
    <w:p w:rsidRPr="005C7730" w:rsidR="006A317F" w:rsidP="006A317F" w:rsidRDefault="004E7064" w14:paraId="0344CF5D" w14:textId="59943E71">
      <w:pPr>
        <w:ind w:left="709"/>
        <w:rPr>
          <w:rFonts w:asciiTheme="majorHAnsi" w:hAnsiTheme="majorHAnsi"/>
        </w:rPr>
      </w:pPr>
      <w:r w:rsidRPr="005C7730">
        <w:rPr>
          <w:rFonts w:asciiTheme="majorHAnsi" w:hAnsiTheme="majorHAnsi"/>
        </w:rPr>
        <w:t>There is</w:t>
      </w:r>
      <w:r w:rsidRPr="005C7730" w:rsidR="00A46B93">
        <w:rPr>
          <w:rFonts w:asciiTheme="majorHAnsi" w:hAnsiTheme="majorHAnsi"/>
        </w:rPr>
        <w:t xml:space="preserve"> currently</w:t>
      </w:r>
      <w:r w:rsidRPr="005C7730">
        <w:rPr>
          <w:rFonts w:asciiTheme="majorHAnsi" w:hAnsiTheme="majorHAnsi"/>
        </w:rPr>
        <w:t xml:space="preserve"> no technical mechanism </w:t>
      </w:r>
      <w:r w:rsidRPr="005C7730" w:rsidR="00A46B93">
        <w:rPr>
          <w:rFonts w:asciiTheme="majorHAnsi" w:hAnsiTheme="majorHAnsi"/>
        </w:rPr>
        <w:t>through which consent for smart meter data can be assured through the smart meter system</w:t>
      </w:r>
      <w:r w:rsidRPr="005C7730" w:rsidR="00A3229B">
        <w:rPr>
          <w:rFonts w:asciiTheme="majorHAnsi" w:hAnsiTheme="majorHAnsi"/>
        </w:rPr>
        <w:t xml:space="preserve">. Instead, the process is undertaken through retrospective audit by a SEC appointed independent auditor. </w:t>
      </w:r>
      <w:r w:rsidRPr="005C7730" w:rsidR="006A317F">
        <w:rPr>
          <w:rFonts w:asciiTheme="majorHAnsi" w:hAnsiTheme="majorHAnsi"/>
        </w:rPr>
        <w:t>In our experience, in engaging many prospective organisations</w:t>
      </w:r>
      <w:r w:rsidRPr="005C7730" w:rsidR="00D95309">
        <w:rPr>
          <w:rFonts w:asciiTheme="majorHAnsi" w:hAnsiTheme="majorHAnsi"/>
        </w:rPr>
        <w:t xml:space="preserve"> (</w:t>
      </w:r>
      <w:r w:rsidRPr="005C7730" w:rsidR="006024BE">
        <w:rPr>
          <w:rFonts w:asciiTheme="majorHAnsi" w:hAnsiTheme="majorHAnsi"/>
        </w:rPr>
        <w:t>80</w:t>
      </w:r>
      <w:r w:rsidR="004E6C9B">
        <w:rPr>
          <w:rFonts w:asciiTheme="majorHAnsi" w:hAnsiTheme="majorHAnsi"/>
        </w:rPr>
        <w:t xml:space="preserve"> </w:t>
      </w:r>
      <w:r w:rsidRPr="005C7730" w:rsidR="006024BE">
        <w:rPr>
          <w:rFonts w:asciiTheme="majorHAnsi" w:hAnsiTheme="majorHAnsi"/>
        </w:rPr>
        <w:t>during the year to 31 March 2023</w:t>
      </w:r>
      <w:r w:rsidRPr="005C7730" w:rsidR="00D95309">
        <w:rPr>
          <w:rFonts w:asciiTheme="majorHAnsi" w:hAnsiTheme="majorHAnsi"/>
        </w:rPr>
        <w:t>)</w:t>
      </w:r>
      <w:r w:rsidRPr="005C7730" w:rsidR="000730B8">
        <w:rPr>
          <w:rFonts w:asciiTheme="majorHAnsi" w:hAnsiTheme="majorHAnsi"/>
        </w:rPr>
        <w:t xml:space="preserve"> and conducting research </w:t>
      </w:r>
      <w:r w:rsidRPr="005C7730" w:rsidR="003A7353">
        <w:rPr>
          <w:rFonts w:asciiTheme="majorHAnsi" w:hAnsiTheme="majorHAnsi"/>
        </w:rPr>
        <w:t xml:space="preserve">for improvements the DCC on-boarding process, we have heard that: </w:t>
      </w:r>
    </w:p>
    <w:p w:rsidRPr="005C7730" w:rsidR="00BC4EF3" w:rsidP="00BC4EF3" w:rsidRDefault="00BC4EF3" w14:paraId="7C91CE4D" w14:textId="1E2937B6">
      <w:pPr>
        <w:pStyle w:val="ListParagraph"/>
        <w:numPr>
          <w:ilvl w:val="0"/>
          <w:numId w:val="19"/>
        </w:numPr>
        <w:rPr>
          <w:rFonts w:asciiTheme="majorHAnsi" w:hAnsiTheme="majorHAnsi"/>
        </w:rPr>
      </w:pPr>
      <w:r w:rsidRPr="005C7730">
        <w:rPr>
          <w:rFonts w:asciiTheme="majorHAnsi" w:hAnsiTheme="majorHAnsi"/>
        </w:rPr>
        <w:t xml:space="preserve">The </w:t>
      </w:r>
      <w:r w:rsidRPr="005C7730" w:rsidR="003F5B09">
        <w:rPr>
          <w:rFonts w:asciiTheme="majorHAnsi" w:hAnsiTheme="majorHAnsi"/>
        </w:rPr>
        <w:t xml:space="preserve">framework itself is </w:t>
      </w:r>
      <w:r w:rsidRPr="005C7730" w:rsidR="00F025DA">
        <w:rPr>
          <w:rFonts w:asciiTheme="majorHAnsi" w:hAnsiTheme="majorHAnsi"/>
        </w:rPr>
        <w:t xml:space="preserve">regarded </w:t>
      </w:r>
      <w:r w:rsidR="0083263A">
        <w:rPr>
          <w:rFonts w:asciiTheme="majorHAnsi" w:hAnsiTheme="majorHAnsi"/>
        </w:rPr>
        <w:t xml:space="preserve">as </w:t>
      </w:r>
      <w:r w:rsidRPr="005C7730" w:rsidR="003F5B09">
        <w:rPr>
          <w:rFonts w:asciiTheme="majorHAnsi" w:hAnsiTheme="majorHAnsi"/>
        </w:rPr>
        <w:t xml:space="preserve">complex to navigate and </w:t>
      </w:r>
      <w:r w:rsidRPr="005C7730">
        <w:rPr>
          <w:rFonts w:asciiTheme="majorHAnsi" w:hAnsiTheme="majorHAnsi"/>
        </w:rPr>
        <w:t>interpret;</w:t>
      </w:r>
      <w:r w:rsidRPr="005C7730" w:rsidR="003F5B09">
        <w:rPr>
          <w:rFonts w:asciiTheme="majorHAnsi" w:hAnsiTheme="majorHAnsi"/>
        </w:rPr>
        <w:t xml:space="preserve"> and unique t</w:t>
      </w:r>
      <w:r w:rsidRPr="005C7730" w:rsidR="002121C5">
        <w:rPr>
          <w:rFonts w:asciiTheme="majorHAnsi" w:hAnsiTheme="majorHAnsi"/>
        </w:rPr>
        <w:t xml:space="preserve">o </w:t>
      </w:r>
      <w:r w:rsidRPr="005C7730" w:rsidR="009D128E">
        <w:rPr>
          <w:rFonts w:asciiTheme="majorHAnsi" w:hAnsiTheme="majorHAnsi"/>
        </w:rPr>
        <w:t xml:space="preserve">the energy sector </w:t>
      </w:r>
      <w:r w:rsidRPr="005C7730" w:rsidR="002D6071">
        <w:rPr>
          <w:rFonts w:asciiTheme="majorHAnsi" w:hAnsiTheme="majorHAnsi"/>
        </w:rPr>
        <w:t xml:space="preserve">which </w:t>
      </w:r>
      <w:r w:rsidRPr="005C7730" w:rsidR="00800B02">
        <w:rPr>
          <w:rFonts w:asciiTheme="majorHAnsi" w:hAnsiTheme="majorHAnsi"/>
        </w:rPr>
        <w:t>creates</w:t>
      </w:r>
      <w:r w:rsidRPr="005C7730" w:rsidR="00A554DD">
        <w:rPr>
          <w:rFonts w:asciiTheme="majorHAnsi" w:hAnsiTheme="majorHAnsi"/>
        </w:rPr>
        <w:t xml:space="preserve"> </w:t>
      </w:r>
      <w:r w:rsidRPr="005C7730" w:rsidR="004008C3">
        <w:rPr>
          <w:rFonts w:asciiTheme="majorHAnsi" w:hAnsiTheme="majorHAnsi"/>
        </w:rPr>
        <w:t>inefficiency</w:t>
      </w:r>
      <w:r w:rsidRPr="005C7730">
        <w:rPr>
          <w:rFonts w:asciiTheme="majorHAnsi" w:hAnsiTheme="majorHAnsi"/>
        </w:rPr>
        <w:t xml:space="preserve"> as organisations must assess the implications and devise new processes</w:t>
      </w:r>
      <w:r w:rsidRPr="005C7730" w:rsidR="00CA20E4">
        <w:rPr>
          <w:rFonts w:asciiTheme="majorHAnsi" w:hAnsiTheme="majorHAnsi"/>
        </w:rPr>
        <w:t xml:space="preserve">. </w:t>
      </w:r>
    </w:p>
    <w:p w:rsidRPr="005C7730" w:rsidR="00D95309" w:rsidP="00BC4EF3" w:rsidRDefault="00BC4EF3" w14:paraId="41C42299" w14:textId="42DFFD25">
      <w:pPr>
        <w:pStyle w:val="ListParagraph"/>
        <w:numPr>
          <w:ilvl w:val="0"/>
          <w:numId w:val="19"/>
        </w:numPr>
        <w:rPr>
          <w:rFonts w:asciiTheme="majorHAnsi" w:hAnsiTheme="majorHAnsi"/>
        </w:rPr>
      </w:pPr>
      <w:r w:rsidRPr="005C7730">
        <w:rPr>
          <w:rFonts w:asciiTheme="majorHAnsi" w:hAnsiTheme="majorHAnsi"/>
        </w:rPr>
        <w:t>The absence of automated verification of consumer consent results in</w:t>
      </w:r>
      <w:r w:rsidR="004E6C9B">
        <w:rPr>
          <w:rFonts w:asciiTheme="majorHAnsi" w:hAnsiTheme="majorHAnsi"/>
        </w:rPr>
        <w:t xml:space="preserve"> extensive</w:t>
      </w:r>
      <w:r w:rsidRPr="005C7730" w:rsidR="009B7EB7">
        <w:rPr>
          <w:rFonts w:asciiTheme="majorHAnsi" w:hAnsiTheme="majorHAnsi"/>
        </w:rPr>
        <w:t xml:space="preserve"> manual auditing</w:t>
      </w:r>
      <w:r w:rsidR="004E6C9B">
        <w:rPr>
          <w:rFonts w:asciiTheme="majorHAnsi" w:hAnsiTheme="majorHAnsi"/>
        </w:rPr>
        <w:t>. T</w:t>
      </w:r>
      <w:r w:rsidRPr="005C7730" w:rsidR="009B7EB7">
        <w:rPr>
          <w:rFonts w:asciiTheme="majorHAnsi" w:hAnsiTheme="majorHAnsi"/>
        </w:rPr>
        <w:t>his is resource intensive both on the part of the OU and the auditor</w:t>
      </w:r>
      <w:r w:rsidRPr="005C7730" w:rsidR="009B2149">
        <w:rPr>
          <w:rFonts w:asciiTheme="majorHAnsi" w:hAnsiTheme="majorHAnsi"/>
        </w:rPr>
        <w:t xml:space="preserve">, leading to unnecessary cost. </w:t>
      </w:r>
    </w:p>
    <w:p w:rsidRPr="005C7730" w:rsidR="00D9233D" w:rsidP="00BC4EF3" w:rsidRDefault="00D9233D" w14:paraId="143FE3F9" w14:textId="6A782F49">
      <w:pPr>
        <w:pStyle w:val="ListParagraph"/>
        <w:numPr>
          <w:ilvl w:val="0"/>
          <w:numId w:val="19"/>
        </w:numPr>
        <w:rPr>
          <w:rFonts w:asciiTheme="majorHAnsi" w:hAnsiTheme="majorHAnsi"/>
        </w:rPr>
      </w:pPr>
      <w:r w:rsidRPr="005C7730">
        <w:rPr>
          <w:rFonts w:asciiTheme="majorHAnsi" w:hAnsiTheme="majorHAnsi"/>
        </w:rPr>
        <w:t xml:space="preserve">The ability </w:t>
      </w:r>
      <w:r w:rsidRPr="005C7730" w:rsidR="003E4A25">
        <w:rPr>
          <w:rFonts w:asciiTheme="majorHAnsi" w:hAnsiTheme="majorHAnsi"/>
        </w:rPr>
        <w:t xml:space="preserve">for an organisation to </w:t>
      </w:r>
      <w:r w:rsidRPr="005C7730">
        <w:rPr>
          <w:rFonts w:asciiTheme="majorHAnsi" w:hAnsiTheme="majorHAnsi"/>
        </w:rPr>
        <w:t>make changes to the consent management approach can result in</w:t>
      </w:r>
      <w:r w:rsidRPr="005C7730" w:rsidR="00D54DF7">
        <w:rPr>
          <w:rFonts w:asciiTheme="majorHAnsi" w:hAnsiTheme="majorHAnsi"/>
        </w:rPr>
        <w:t xml:space="preserve"> a requirement for a further audit and review by the SEC panel, which is costly and takes time. </w:t>
      </w:r>
    </w:p>
    <w:p w:rsidR="00CF75B4" w:rsidP="00050375" w:rsidRDefault="00C45949" w14:paraId="5B5D2382" w14:textId="003A7690">
      <w:pPr>
        <w:pStyle w:val="ListParagraph"/>
        <w:numPr>
          <w:ilvl w:val="0"/>
          <w:numId w:val="19"/>
        </w:numPr>
        <w:rPr>
          <w:rFonts w:asciiTheme="majorHAnsi" w:hAnsiTheme="majorHAnsi"/>
        </w:rPr>
      </w:pPr>
      <w:r w:rsidRPr="005C7730">
        <w:rPr>
          <w:rFonts w:asciiTheme="majorHAnsi" w:hAnsiTheme="majorHAnsi"/>
        </w:rPr>
        <w:t>The flow of obligations</w:t>
      </w:r>
      <w:r w:rsidRPr="005C7730" w:rsidR="00D94300">
        <w:rPr>
          <w:rFonts w:asciiTheme="majorHAnsi" w:hAnsiTheme="majorHAnsi"/>
        </w:rPr>
        <w:t xml:space="preserve"> on consumer consent</w:t>
      </w:r>
      <w:r w:rsidRPr="005C7730">
        <w:rPr>
          <w:rFonts w:asciiTheme="majorHAnsi" w:hAnsiTheme="majorHAnsi"/>
        </w:rPr>
        <w:t xml:space="preserve"> between OU’s</w:t>
      </w:r>
      <w:r w:rsidRPr="005C7730" w:rsidR="00531041">
        <w:rPr>
          <w:rFonts w:asciiTheme="majorHAnsi" w:hAnsiTheme="majorHAnsi"/>
        </w:rPr>
        <w:t xml:space="preserve">, </w:t>
      </w:r>
      <w:r w:rsidRPr="005C7730">
        <w:rPr>
          <w:rFonts w:asciiTheme="majorHAnsi" w:hAnsiTheme="majorHAnsi"/>
        </w:rPr>
        <w:t xml:space="preserve">Managed Service </w:t>
      </w:r>
      <w:r w:rsidRPr="005C7730" w:rsidR="00531041">
        <w:rPr>
          <w:rFonts w:asciiTheme="majorHAnsi" w:hAnsiTheme="majorHAnsi"/>
        </w:rPr>
        <w:t>P</w:t>
      </w:r>
      <w:r w:rsidRPr="005C7730">
        <w:rPr>
          <w:rFonts w:asciiTheme="majorHAnsi" w:hAnsiTheme="majorHAnsi"/>
        </w:rPr>
        <w:t>roviders (</w:t>
      </w:r>
      <w:r w:rsidRPr="005C7730" w:rsidR="006761E7">
        <w:rPr>
          <w:rFonts w:asciiTheme="majorHAnsi" w:hAnsiTheme="majorHAnsi"/>
        </w:rPr>
        <w:t>third party intermediaries that provide services to help organisation on-board and integrate</w:t>
      </w:r>
      <w:r w:rsidRPr="005C7730" w:rsidR="00D94300">
        <w:rPr>
          <w:rFonts w:asciiTheme="majorHAnsi" w:hAnsiTheme="majorHAnsi"/>
        </w:rPr>
        <w:t xml:space="preserve"> with the smart meter system</w:t>
      </w:r>
      <w:r w:rsidRPr="005C7730" w:rsidR="006761E7">
        <w:rPr>
          <w:rFonts w:asciiTheme="majorHAnsi" w:hAnsiTheme="majorHAnsi"/>
        </w:rPr>
        <w:t>)</w:t>
      </w:r>
      <w:r w:rsidRPr="005C7730" w:rsidR="005B17A4">
        <w:rPr>
          <w:rFonts w:asciiTheme="majorHAnsi" w:hAnsiTheme="majorHAnsi"/>
        </w:rPr>
        <w:t xml:space="preserve"> and the customers that they provide</w:t>
      </w:r>
      <w:r w:rsidRPr="005C7730" w:rsidR="006761E7">
        <w:rPr>
          <w:rFonts w:asciiTheme="majorHAnsi" w:hAnsiTheme="majorHAnsi"/>
        </w:rPr>
        <w:t xml:space="preserve"> </w:t>
      </w:r>
      <w:r w:rsidRPr="005C7730" w:rsidR="00D94300">
        <w:rPr>
          <w:rFonts w:asciiTheme="majorHAnsi" w:hAnsiTheme="majorHAnsi"/>
        </w:rPr>
        <w:t>is reported as complex and uncertain in some cases</w:t>
      </w:r>
      <w:r w:rsidRPr="005C7730" w:rsidR="00CF75B4">
        <w:rPr>
          <w:rFonts w:asciiTheme="majorHAnsi" w:hAnsiTheme="majorHAnsi"/>
        </w:rPr>
        <w:t xml:space="preserve"> (i.e. </w:t>
      </w:r>
      <w:r w:rsidRPr="005C7730" w:rsidR="00D54DF7">
        <w:rPr>
          <w:rFonts w:asciiTheme="majorHAnsi" w:hAnsiTheme="majorHAnsi"/>
        </w:rPr>
        <w:t xml:space="preserve">the certainty and accuracy of consumer consent and the purpose for which data is being processed, becomes more ambiguous as data passes down the chain away from the </w:t>
      </w:r>
      <w:r w:rsidRPr="005C7730" w:rsidR="00136C70">
        <w:rPr>
          <w:rFonts w:asciiTheme="majorHAnsi" w:hAnsiTheme="majorHAnsi"/>
        </w:rPr>
        <w:t>authorised Other User</w:t>
      </w:r>
      <w:r w:rsidRPr="005C7730" w:rsidR="00D54DF7">
        <w:rPr>
          <w:rFonts w:asciiTheme="majorHAnsi" w:hAnsiTheme="majorHAnsi"/>
        </w:rPr>
        <w:t>)</w:t>
      </w:r>
    </w:p>
    <w:p w:rsidRPr="005C7730" w:rsidR="00632924" w:rsidP="00C83BC0" w:rsidRDefault="00087085" w14:paraId="0D2057B2" w14:textId="5215D26E">
      <w:pPr>
        <w:ind w:firstLine="709"/>
        <w:rPr>
          <w:rFonts w:asciiTheme="majorHAnsi" w:hAnsiTheme="majorHAnsi"/>
        </w:rPr>
      </w:pPr>
      <w:r w:rsidRPr="005C7730">
        <w:rPr>
          <w:rFonts w:asciiTheme="majorHAnsi" w:hAnsiTheme="majorHAnsi"/>
        </w:rPr>
        <w:t>Broader observations</w:t>
      </w:r>
      <w:r w:rsidRPr="005C7730" w:rsidR="00C83BC0">
        <w:rPr>
          <w:rFonts w:asciiTheme="majorHAnsi" w:hAnsiTheme="majorHAnsi"/>
        </w:rPr>
        <w:t xml:space="preserve"> around system ineffectiveness and</w:t>
      </w:r>
      <w:r w:rsidRPr="005C7730" w:rsidR="00ED7CAA">
        <w:rPr>
          <w:rFonts w:asciiTheme="majorHAnsi" w:hAnsiTheme="majorHAnsi"/>
        </w:rPr>
        <w:t xml:space="preserve"> </w:t>
      </w:r>
      <w:r w:rsidRPr="005C7730" w:rsidR="00632924">
        <w:rPr>
          <w:rFonts w:asciiTheme="majorHAnsi" w:hAnsiTheme="majorHAnsi"/>
        </w:rPr>
        <w:t xml:space="preserve">inefficiencies </w:t>
      </w:r>
      <w:r w:rsidRPr="005C7730" w:rsidR="00C83BC0">
        <w:rPr>
          <w:rFonts w:asciiTheme="majorHAnsi" w:hAnsiTheme="majorHAnsi"/>
        </w:rPr>
        <w:t xml:space="preserve">include: </w:t>
      </w:r>
    </w:p>
    <w:p w:rsidRPr="005C7730" w:rsidR="00C83BC0" w:rsidP="005C7730" w:rsidRDefault="008E0DBB" w14:paraId="3AD1B1B0" w14:textId="01E2BD16">
      <w:pPr>
        <w:pStyle w:val="ListParagraph"/>
        <w:numPr>
          <w:ilvl w:val="0"/>
          <w:numId w:val="28"/>
        </w:numPr>
        <w:rPr>
          <w:rFonts w:asciiTheme="majorHAnsi" w:hAnsiTheme="majorHAnsi"/>
        </w:rPr>
      </w:pPr>
      <w:r w:rsidRPr="005C7730">
        <w:rPr>
          <w:rFonts w:asciiTheme="majorHAnsi" w:hAnsiTheme="majorHAnsi"/>
        </w:rPr>
        <w:t>The frequency of duplicated</w:t>
      </w:r>
      <w:r w:rsidRPr="005C7730" w:rsidR="0090531C">
        <w:rPr>
          <w:rFonts w:asciiTheme="majorHAnsi" w:hAnsiTheme="majorHAnsi"/>
        </w:rPr>
        <w:t xml:space="preserve"> requests for access</w:t>
      </w:r>
      <w:r w:rsidRPr="005C7730" w:rsidR="00772284">
        <w:rPr>
          <w:rFonts w:asciiTheme="majorHAnsi" w:hAnsiTheme="majorHAnsi"/>
        </w:rPr>
        <w:t>. In some</w:t>
      </w:r>
      <w:r w:rsidRPr="005C7730" w:rsidR="000E33E0">
        <w:rPr>
          <w:rFonts w:asciiTheme="majorHAnsi" w:hAnsiTheme="majorHAnsi"/>
        </w:rPr>
        <w:t xml:space="preserve"> </w:t>
      </w:r>
      <w:r w:rsidRPr="005C7730" w:rsidR="00971F2F">
        <w:rPr>
          <w:rFonts w:asciiTheme="majorHAnsi" w:hAnsiTheme="majorHAnsi"/>
        </w:rPr>
        <w:t>cases,</w:t>
      </w:r>
      <w:r w:rsidRPr="005C7730" w:rsidR="000E33E0">
        <w:rPr>
          <w:rFonts w:asciiTheme="majorHAnsi" w:hAnsiTheme="majorHAnsi"/>
        </w:rPr>
        <w:t xml:space="preserve"> this includes requests by different parts of the same entity – with </w:t>
      </w:r>
      <w:r w:rsidRPr="005C7730" w:rsidR="00A44B98">
        <w:rPr>
          <w:rFonts w:asciiTheme="majorHAnsi" w:hAnsiTheme="majorHAnsi"/>
        </w:rPr>
        <w:t>inde</w:t>
      </w:r>
      <w:r w:rsidRPr="005C7730" w:rsidR="007E4737">
        <w:rPr>
          <w:rFonts w:asciiTheme="majorHAnsi" w:hAnsiTheme="majorHAnsi"/>
        </w:rPr>
        <w:t xml:space="preserve">pendent consent management solutions and storage. </w:t>
      </w:r>
      <w:r w:rsidR="00971F2F">
        <w:rPr>
          <w:rFonts w:asciiTheme="majorHAnsi" w:hAnsiTheme="majorHAnsi"/>
        </w:rPr>
        <w:t xml:space="preserve"> Interoperability of consent data is not a common feature of the energy sector </w:t>
      </w:r>
      <w:r w:rsidR="00E66B5A">
        <w:rPr>
          <w:rFonts w:asciiTheme="majorHAnsi" w:hAnsiTheme="majorHAnsi"/>
        </w:rPr>
        <w:t xml:space="preserve">which limits portability and drives additional efforts both for industry and consumers. </w:t>
      </w:r>
    </w:p>
    <w:p w:rsidRPr="005C7730" w:rsidR="00ED7CAA" w:rsidP="005C7730" w:rsidRDefault="00ED7CAA" w14:paraId="0CEDC987" w14:textId="7013252E">
      <w:pPr>
        <w:pStyle w:val="ListParagraph"/>
        <w:numPr>
          <w:ilvl w:val="0"/>
          <w:numId w:val="28"/>
        </w:numPr>
        <w:rPr>
          <w:rFonts w:asciiTheme="majorHAnsi" w:hAnsiTheme="majorHAnsi"/>
        </w:rPr>
      </w:pPr>
      <w:r w:rsidRPr="005C7730">
        <w:rPr>
          <w:rFonts w:asciiTheme="majorHAnsi" w:hAnsiTheme="majorHAnsi"/>
        </w:rPr>
        <w:t>General lack of standardisation</w:t>
      </w:r>
      <w:r w:rsidRPr="005C7730" w:rsidR="00271721">
        <w:rPr>
          <w:rFonts w:asciiTheme="majorHAnsi" w:hAnsiTheme="majorHAnsi"/>
        </w:rPr>
        <w:t xml:space="preserve"> in communicating consent</w:t>
      </w:r>
      <w:r w:rsidRPr="005C7730" w:rsidR="00552684">
        <w:rPr>
          <w:rFonts w:asciiTheme="majorHAnsi" w:hAnsiTheme="majorHAnsi"/>
        </w:rPr>
        <w:t xml:space="preserve"> to consumers. </w:t>
      </w:r>
      <w:r w:rsidRPr="005C7730" w:rsidR="00513600">
        <w:rPr>
          <w:rFonts w:asciiTheme="majorHAnsi" w:hAnsiTheme="majorHAnsi"/>
        </w:rPr>
        <w:t xml:space="preserve">Consent requests and privacy policies are rarely </w:t>
      </w:r>
      <w:r w:rsidRPr="005C7730" w:rsidR="003D30FA">
        <w:rPr>
          <w:rFonts w:asciiTheme="majorHAnsi" w:hAnsiTheme="majorHAnsi"/>
        </w:rPr>
        <w:t>comparable</w:t>
      </w:r>
      <w:r w:rsidRPr="005C7730" w:rsidR="00136C70">
        <w:rPr>
          <w:rFonts w:asciiTheme="majorHAnsi" w:hAnsiTheme="majorHAnsi"/>
        </w:rPr>
        <w:t xml:space="preserve"> across the sector</w:t>
      </w:r>
      <w:r w:rsidRPr="005C7730" w:rsidR="003D30FA">
        <w:rPr>
          <w:rFonts w:asciiTheme="majorHAnsi" w:hAnsiTheme="majorHAnsi"/>
        </w:rPr>
        <w:t xml:space="preserve"> even when the underlying data processing may be. </w:t>
      </w:r>
    </w:p>
    <w:p w:rsidR="00C7625E" w:rsidP="00C7625E" w:rsidRDefault="00C7625E" w14:paraId="0728E882" w14:textId="77777777"/>
    <w:p w:rsidRPr="00C7625E" w:rsidR="00C7625E" w:rsidP="00C7625E" w:rsidRDefault="00C7625E" w14:paraId="2912520B" w14:textId="1B3C9319">
      <w:pPr>
        <w:pStyle w:val="Heading1"/>
      </w:pPr>
      <w:r>
        <w:t>Do you believe that consumers are sufficiently motivated to engage with the consent solutions proposed in this Call for Input? Please elaborate on your answer.</w:t>
      </w:r>
    </w:p>
    <w:p w:rsidRPr="00DE30D5" w:rsidR="00346A11" w:rsidP="00346A11" w:rsidRDefault="009A474E" w14:paraId="744973F9" w14:textId="3541F8C1">
      <w:pPr>
        <w:pStyle w:val="ListParagraph"/>
        <w:numPr>
          <w:ilvl w:val="0"/>
          <w:numId w:val="0"/>
        </w:numPr>
        <w:ind w:left="720"/>
        <w:rPr>
          <w:rFonts w:ascii="Lato" w:hAnsi="Lato"/>
        </w:rPr>
      </w:pPr>
      <w:r w:rsidRPr="23720E19">
        <w:rPr>
          <w:rFonts w:ascii="Lato" w:hAnsi="Lato"/>
        </w:rPr>
        <w:t xml:space="preserve">It is not clear </w:t>
      </w:r>
      <w:r w:rsidRPr="23720E19" w:rsidR="005E6677">
        <w:rPr>
          <w:rFonts w:ascii="Lato" w:hAnsi="Lato"/>
        </w:rPr>
        <w:t>whether consumers will be motivated to engage with the consent solutions</w:t>
      </w:r>
      <w:r w:rsidRPr="23720E19" w:rsidR="006024BE">
        <w:rPr>
          <w:rFonts w:ascii="Lato" w:hAnsi="Lato"/>
        </w:rPr>
        <w:t>, as</w:t>
      </w:r>
      <w:r w:rsidRPr="23720E19" w:rsidR="002F1E9F">
        <w:rPr>
          <w:rFonts w:ascii="Lato" w:hAnsi="Lato"/>
        </w:rPr>
        <w:t xml:space="preserve"> this </w:t>
      </w:r>
      <w:r w:rsidRPr="23720E19" w:rsidR="00050375">
        <w:rPr>
          <w:rFonts w:ascii="Lato" w:hAnsi="Lato"/>
        </w:rPr>
        <w:t xml:space="preserve">is </w:t>
      </w:r>
      <w:r w:rsidRPr="23720E19" w:rsidR="002F1E9F">
        <w:rPr>
          <w:rFonts w:ascii="Lato" w:hAnsi="Lato"/>
        </w:rPr>
        <w:t xml:space="preserve">primarily dependent on the attractiveness and perceived value of the product and service being offered. </w:t>
      </w:r>
      <w:r w:rsidRPr="23720E19" w:rsidR="00346A11">
        <w:rPr>
          <w:rFonts w:ascii="Lato" w:hAnsi="Lato"/>
        </w:rPr>
        <w:t>The development of these products</w:t>
      </w:r>
      <w:r w:rsidRPr="23720E19" w:rsidR="00070F03">
        <w:rPr>
          <w:rFonts w:ascii="Lato" w:hAnsi="Lato"/>
        </w:rPr>
        <w:t xml:space="preserve"> and </w:t>
      </w:r>
      <w:r w:rsidRPr="23720E19" w:rsidR="00346A11">
        <w:rPr>
          <w:rFonts w:ascii="Lato" w:hAnsi="Lato"/>
        </w:rPr>
        <w:t>services will be more important to the consumer and the benefits easier to describe</w:t>
      </w:r>
      <w:r w:rsidRPr="23720E19" w:rsidR="00517050">
        <w:rPr>
          <w:rFonts w:ascii="Lato" w:hAnsi="Lato"/>
        </w:rPr>
        <w:t>.</w:t>
      </w:r>
      <w:r w:rsidRPr="23720E19" w:rsidR="00284840">
        <w:rPr>
          <w:rFonts w:ascii="Lato" w:hAnsi="Lato"/>
        </w:rPr>
        <w:t xml:space="preserve"> Consumer engagement should focus on the benefits </w:t>
      </w:r>
      <w:r w:rsidRPr="23720E19" w:rsidR="007E41B8">
        <w:rPr>
          <w:rFonts w:ascii="Lato" w:hAnsi="Lato"/>
        </w:rPr>
        <w:t xml:space="preserve">unlocked through consent, rather than solely on a consent solution. </w:t>
      </w:r>
    </w:p>
    <w:p w:rsidRPr="00DE30D5" w:rsidR="00113AC4" w:rsidP="00113AC4" w:rsidRDefault="001D1938" w14:paraId="6D76D833" w14:textId="793894C4">
      <w:pPr>
        <w:pStyle w:val="ListParagraph"/>
        <w:numPr>
          <w:ilvl w:val="0"/>
          <w:numId w:val="0"/>
        </w:numPr>
        <w:ind w:left="720"/>
        <w:rPr>
          <w:rFonts w:ascii="Lato" w:hAnsi="Lato"/>
        </w:rPr>
      </w:pPr>
      <w:r>
        <w:rPr>
          <w:rFonts w:ascii="Lato" w:hAnsi="Lato"/>
        </w:rPr>
        <w:t xml:space="preserve">As described above, there are broader </w:t>
      </w:r>
      <w:r w:rsidRPr="00DE30D5" w:rsidR="00113AC4">
        <w:rPr>
          <w:rFonts w:ascii="Lato" w:hAnsi="Lato"/>
        </w:rPr>
        <w:t>barriers to</w:t>
      </w:r>
      <w:r>
        <w:rPr>
          <w:rFonts w:ascii="Lato" w:hAnsi="Lato"/>
        </w:rPr>
        <w:t xml:space="preserve"> development of </w:t>
      </w:r>
      <w:r w:rsidRPr="00DE30D5" w:rsidR="00113AC4">
        <w:rPr>
          <w:rFonts w:ascii="Lato" w:hAnsi="Lato"/>
        </w:rPr>
        <w:t>d</w:t>
      </w:r>
      <w:r>
        <w:rPr>
          <w:rFonts w:ascii="Lato" w:hAnsi="Lato"/>
        </w:rPr>
        <w:t xml:space="preserve">ata driven </w:t>
      </w:r>
      <w:r w:rsidRPr="00DE30D5" w:rsidR="00113AC4">
        <w:rPr>
          <w:rFonts w:ascii="Lato" w:hAnsi="Lato"/>
        </w:rPr>
        <w:t>products</w:t>
      </w:r>
      <w:r w:rsidRPr="00DE30D5" w:rsidR="00176058">
        <w:rPr>
          <w:rFonts w:ascii="Lato" w:hAnsi="Lato"/>
        </w:rPr>
        <w:t xml:space="preserve"> and </w:t>
      </w:r>
      <w:r w:rsidRPr="00DE30D5" w:rsidR="00113AC4">
        <w:rPr>
          <w:rFonts w:ascii="Lato" w:hAnsi="Lato"/>
        </w:rPr>
        <w:t>services</w:t>
      </w:r>
      <w:r w:rsidRPr="00DE30D5" w:rsidR="00C2771F">
        <w:rPr>
          <w:rFonts w:ascii="Lato" w:hAnsi="Lato"/>
        </w:rPr>
        <w:t xml:space="preserve"> </w:t>
      </w:r>
      <w:r w:rsidRPr="00DE30D5" w:rsidR="00B332A8">
        <w:rPr>
          <w:rFonts w:ascii="Lato" w:hAnsi="Lato"/>
        </w:rPr>
        <w:t xml:space="preserve">than solely </w:t>
      </w:r>
      <w:r w:rsidR="008705ED">
        <w:rPr>
          <w:rFonts w:ascii="Lato" w:hAnsi="Lato"/>
        </w:rPr>
        <w:t>the mechanism through which</w:t>
      </w:r>
      <w:r w:rsidRPr="00DE30D5" w:rsidR="00B332A8">
        <w:rPr>
          <w:rFonts w:ascii="Lato" w:hAnsi="Lato"/>
        </w:rPr>
        <w:t xml:space="preserve"> </w:t>
      </w:r>
      <w:r w:rsidRPr="00DE30D5" w:rsidR="00113AC4">
        <w:rPr>
          <w:rFonts w:ascii="Lato" w:hAnsi="Lato"/>
        </w:rPr>
        <w:t>consumer consent</w:t>
      </w:r>
      <w:r w:rsidR="008705ED">
        <w:rPr>
          <w:rFonts w:ascii="Lato" w:hAnsi="Lato"/>
        </w:rPr>
        <w:t xml:space="preserve"> is captured and managed</w:t>
      </w:r>
      <w:r w:rsidRPr="00DE30D5" w:rsidR="00B332A8">
        <w:rPr>
          <w:rFonts w:ascii="Lato" w:hAnsi="Lato"/>
        </w:rPr>
        <w:t xml:space="preserve">. </w:t>
      </w:r>
    </w:p>
    <w:p w:rsidRPr="00BB1A0E" w:rsidR="0077029D" w:rsidP="00BB1A0E" w:rsidRDefault="00A10803" w14:paraId="42633AFB" w14:textId="1C502F68">
      <w:pPr>
        <w:pStyle w:val="ListParagraph"/>
        <w:numPr>
          <w:ilvl w:val="0"/>
          <w:numId w:val="0"/>
        </w:numPr>
        <w:ind w:left="720"/>
        <w:rPr>
          <w:rFonts w:ascii="Lato" w:hAnsi="Lato"/>
        </w:rPr>
      </w:pPr>
      <w:r w:rsidRPr="23720E19">
        <w:rPr>
          <w:rFonts w:ascii="Lato" w:hAnsi="Lato"/>
        </w:rPr>
        <w:t>A</w:t>
      </w:r>
      <w:r w:rsidRPr="23720E19" w:rsidR="00207B5E">
        <w:rPr>
          <w:rFonts w:ascii="Lato" w:hAnsi="Lato"/>
        </w:rPr>
        <w:t>n ideal</w:t>
      </w:r>
      <w:r w:rsidRPr="23720E19">
        <w:rPr>
          <w:rFonts w:ascii="Lato" w:hAnsi="Lato"/>
        </w:rPr>
        <w:t xml:space="preserve"> consent </w:t>
      </w:r>
      <w:r w:rsidRPr="23720E19" w:rsidR="008B5DC7">
        <w:rPr>
          <w:rFonts w:ascii="Lato" w:hAnsi="Lato"/>
        </w:rPr>
        <w:t>management</w:t>
      </w:r>
      <w:r w:rsidRPr="23720E19" w:rsidR="00207B5E">
        <w:rPr>
          <w:rFonts w:ascii="Lato" w:hAnsi="Lato"/>
        </w:rPr>
        <w:t xml:space="preserve"> </w:t>
      </w:r>
      <w:r w:rsidRPr="23720E19" w:rsidR="002E0105">
        <w:rPr>
          <w:rFonts w:ascii="Lato" w:hAnsi="Lato"/>
        </w:rPr>
        <w:t>process should integrate</w:t>
      </w:r>
      <w:r w:rsidRPr="23720E19" w:rsidR="00207B5E">
        <w:rPr>
          <w:rFonts w:ascii="Lato" w:hAnsi="Lato"/>
        </w:rPr>
        <w:t xml:space="preserve"> the</w:t>
      </w:r>
      <w:r w:rsidRPr="23720E19" w:rsidR="007E5CFE">
        <w:rPr>
          <w:rFonts w:ascii="Lato" w:hAnsi="Lato"/>
        </w:rPr>
        <w:t xml:space="preserve"> solution </w:t>
      </w:r>
      <w:r w:rsidRPr="23720E19" w:rsidR="00207B5E">
        <w:rPr>
          <w:rFonts w:ascii="Lato" w:hAnsi="Lato"/>
        </w:rPr>
        <w:t xml:space="preserve">seamlessly </w:t>
      </w:r>
      <w:r w:rsidRPr="23720E19" w:rsidR="00966223">
        <w:rPr>
          <w:rFonts w:ascii="Lato" w:hAnsi="Lato"/>
        </w:rPr>
        <w:t>into customer journeys</w:t>
      </w:r>
      <w:r w:rsidRPr="23720E19" w:rsidR="00134FE9">
        <w:rPr>
          <w:rFonts w:ascii="Lato" w:hAnsi="Lato"/>
        </w:rPr>
        <w:t>, providing appropriate information, choice and</w:t>
      </w:r>
      <w:r w:rsidRPr="23720E19" w:rsidR="00BB1A0E">
        <w:rPr>
          <w:rFonts w:ascii="Lato" w:hAnsi="Lato"/>
        </w:rPr>
        <w:t xml:space="preserve"> decision making without </w:t>
      </w:r>
      <w:r w:rsidRPr="23720E19" w:rsidR="00023FAD">
        <w:rPr>
          <w:rFonts w:ascii="Lato" w:hAnsi="Lato"/>
        </w:rPr>
        <w:t>friction or</w:t>
      </w:r>
      <w:r w:rsidRPr="23720E19" w:rsidR="005C7730">
        <w:rPr>
          <w:rFonts w:ascii="Lato" w:hAnsi="Lato"/>
        </w:rPr>
        <w:t xml:space="preserve"> additional effort</w:t>
      </w:r>
      <w:r w:rsidRPr="23720E19" w:rsidR="006000A9">
        <w:rPr>
          <w:rFonts w:ascii="Lato" w:hAnsi="Lato"/>
        </w:rPr>
        <w:t>.</w:t>
      </w:r>
      <w:r w:rsidRPr="23720E19" w:rsidR="007E5CFE">
        <w:rPr>
          <w:rFonts w:ascii="Lato" w:hAnsi="Lato"/>
        </w:rPr>
        <w:t xml:space="preserve"> </w:t>
      </w:r>
      <w:r w:rsidR="00210AAA">
        <w:rPr>
          <w:rFonts w:ascii="Lato" w:hAnsi="Lato"/>
        </w:rPr>
        <w:t xml:space="preserve">The </w:t>
      </w:r>
      <w:r w:rsidR="006264AB">
        <w:rPr>
          <w:rFonts w:ascii="Lato" w:hAnsi="Lato"/>
        </w:rPr>
        <w:t>solution</w:t>
      </w:r>
      <w:r w:rsidR="00210AAA">
        <w:rPr>
          <w:rFonts w:ascii="Lato" w:hAnsi="Lato"/>
        </w:rPr>
        <w:t xml:space="preserve"> must </w:t>
      </w:r>
      <w:r w:rsidR="006264AB">
        <w:rPr>
          <w:rFonts w:ascii="Lato" w:hAnsi="Lato"/>
        </w:rPr>
        <w:t>provide clear,</w:t>
      </w:r>
      <w:r w:rsidR="00210AAA">
        <w:rPr>
          <w:rFonts w:ascii="Lato" w:hAnsi="Lato"/>
        </w:rPr>
        <w:t xml:space="preserve"> accessible</w:t>
      </w:r>
      <w:r w:rsidR="006264AB">
        <w:rPr>
          <w:rFonts w:ascii="Lato" w:hAnsi="Lato"/>
        </w:rPr>
        <w:t xml:space="preserve">, information </w:t>
      </w:r>
      <w:r w:rsidR="00170F95">
        <w:rPr>
          <w:rFonts w:ascii="Lato" w:hAnsi="Lato"/>
        </w:rPr>
        <w:t xml:space="preserve">on how </w:t>
      </w:r>
      <w:r w:rsidR="00FF183F">
        <w:rPr>
          <w:rFonts w:ascii="Lato" w:hAnsi="Lato"/>
        </w:rPr>
        <w:t xml:space="preserve">a </w:t>
      </w:r>
      <w:r w:rsidR="00170F95">
        <w:rPr>
          <w:rFonts w:ascii="Lato" w:hAnsi="Lato"/>
        </w:rPr>
        <w:t xml:space="preserve">consumer </w:t>
      </w:r>
      <w:r w:rsidR="00A714DE">
        <w:rPr>
          <w:rFonts w:ascii="Lato" w:hAnsi="Lato"/>
        </w:rPr>
        <w:t>provides</w:t>
      </w:r>
      <w:r w:rsidR="00A14EC5">
        <w:rPr>
          <w:rFonts w:ascii="Lato" w:hAnsi="Lato"/>
        </w:rPr>
        <w:t xml:space="preserve"> and withdraws consent.</w:t>
      </w:r>
      <w:r w:rsidR="00210AAA">
        <w:rPr>
          <w:rFonts w:ascii="Lato" w:hAnsi="Lato"/>
        </w:rPr>
        <w:t xml:space="preserve"> </w:t>
      </w:r>
      <w:r w:rsidR="00A14EC5">
        <w:rPr>
          <w:rFonts w:ascii="Lato" w:hAnsi="Lato"/>
        </w:rPr>
        <w:t>T</w:t>
      </w:r>
      <w:r w:rsidR="00210AAA">
        <w:rPr>
          <w:rFonts w:ascii="Lato" w:hAnsi="Lato"/>
        </w:rPr>
        <w:t xml:space="preserve">he CfI </w:t>
      </w:r>
      <w:r w:rsidR="00BD102C">
        <w:rPr>
          <w:rFonts w:ascii="Lato" w:hAnsi="Lato"/>
        </w:rPr>
        <w:t xml:space="preserve">document </w:t>
      </w:r>
      <w:r w:rsidR="00210AAA">
        <w:rPr>
          <w:rFonts w:ascii="Lato" w:hAnsi="Lato"/>
        </w:rPr>
        <w:t xml:space="preserve">is right to highlight that </w:t>
      </w:r>
      <w:r w:rsidR="00304E69">
        <w:rPr>
          <w:rFonts w:ascii="Lato" w:hAnsi="Lato"/>
        </w:rPr>
        <w:t>the solution</w:t>
      </w:r>
      <w:r w:rsidR="003C7848">
        <w:rPr>
          <w:rFonts w:ascii="Lato" w:hAnsi="Lato"/>
        </w:rPr>
        <w:t xml:space="preserve"> must engage the digitally excluded</w:t>
      </w:r>
      <w:r w:rsidR="00061B7C">
        <w:rPr>
          <w:rFonts w:ascii="Lato" w:hAnsi="Lato"/>
        </w:rPr>
        <w:t>.</w:t>
      </w:r>
      <w:r w:rsidR="00BF0074">
        <w:rPr>
          <w:rFonts w:ascii="Lato" w:hAnsi="Lato"/>
        </w:rPr>
        <w:t xml:space="preserve"> </w:t>
      </w:r>
    </w:p>
    <w:p w:rsidR="00B37C53" w:rsidP="009C393B" w:rsidRDefault="0077029D" w14:paraId="3E2BD26D" w14:textId="1D3054EC">
      <w:pPr>
        <w:pStyle w:val="ListParagraph"/>
        <w:numPr>
          <w:ilvl w:val="0"/>
          <w:numId w:val="0"/>
        </w:numPr>
        <w:ind w:left="720"/>
        <w:rPr>
          <w:rFonts w:ascii="Lato" w:hAnsi="Lato"/>
        </w:rPr>
      </w:pPr>
      <w:r>
        <w:rPr>
          <w:rFonts w:ascii="Lato" w:hAnsi="Lato"/>
        </w:rPr>
        <w:t>It is possible that c</w:t>
      </w:r>
      <w:r w:rsidRPr="00DE30D5" w:rsidR="007E5CFE">
        <w:rPr>
          <w:rFonts w:ascii="Lato" w:hAnsi="Lato"/>
        </w:rPr>
        <w:t xml:space="preserve">onsumers </w:t>
      </w:r>
      <w:r w:rsidRPr="00DE30D5" w:rsidR="00337604">
        <w:rPr>
          <w:rFonts w:ascii="Lato" w:hAnsi="Lato"/>
        </w:rPr>
        <w:t>are more likely to</w:t>
      </w:r>
      <w:r w:rsidRPr="00DE30D5" w:rsidR="007E5CFE">
        <w:rPr>
          <w:rFonts w:ascii="Lato" w:hAnsi="Lato"/>
        </w:rPr>
        <w:t xml:space="preserve"> be motivated to engage</w:t>
      </w:r>
      <w:r>
        <w:rPr>
          <w:rFonts w:ascii="Lato" w:hAnsi="Lato"/>
        </w:rPr>
        <w:t xml:space="preserve"> with a consumer consent portal and review / revoke consent where levels of trust or transparency </w:t>
      </w:r>
      <w:r w:rsidR="00C71902">
        <w:rPr>
          <w:rFonts w:ascii="Lato" w:hAnsi="Lato"/>
        </w:rPr>
        <w:t xml:space="preserve">in underlying services are low.  On this basis, </w:t>
      </w:r>
      <w:r w:rsidR="005C7730">
        <w:rPr>
          <w:rFonts w:ascii="Lato" w:hAnsi="Lato"/>
        </w:rPr>
        <w:t>low levels</w:t>
      </w:r>
      <w:r w:rsidR="00D67A67">
        <w:rPr>
          <w:rFonts w:ascii="Lato" w:hAnsi="Lato"/>
        </w:rPr>
        <w:t xml:space="preserve"> of engagement with a consumer consent solution </w:t>
      </w:r>
      <w:r w:rsidR="00871DE7">
        <w:rPr>
          <w:rFonts w:ascii="Lato" w:hAnsi="Lato"/>
        </w:rPr>
        <w:t xml:space="preserve">may be </w:t>
      </w:r>
      <w:r w:rsidR="0081270F">
        <w:rPr>
          <w:rFonts w:ascii="Lato" w:hAnsi="Lato"/>
        </w:rPr>
        <w:t>regarded as a successful outcome</w:t>
      </w:r>
      <w:r w:rsidR="00267B5F">
        <w:rPr>
          <w:rFonts w:ascii="Lato" w:hAnsi="Lato"/>
        </w:rPr>
        <w:t xml:space="preserve">. </w:t>
      </w:r>
    </w:p>
    <w:p w:rsidRPr="009C393B" w:rsidR="009C393B" w:rsidP="009C393B" w:rsidRDefault="009C393B" w14:paraId="6711DBBB" w14:textId="77777777">
      <w:pPr>
        <w:pStyle w:val="ListParagraph"/>
        <w:numPr>
          <w:ilvl w:val="0"/>
          <w:numId w:val="0"/>
        </w:numPr>
        <w:ind w:left="720"/>
        <w:rPr>
          <w:rFonts w:ascii="Lato" w:hAnsi="Lato"/>
        </w:rPr>
      </w:pPr>
    </w:p>
    <w:p w:rsidR="00077BC3" w:rsidP="00077BC3" w:rsidRDefault="00B37C53" w14:paraId="16BF578F" w14:textId="658FE5C0">
      <w:pPr>
        <w:pStyle w:val="Heading1"/>
      </w:pPr>
      <w:r>
        <w:t>Do you agree that the four use cases referenced are high priority use cases? Can you describe any other high priority use cases?</w:t>
      </w:r>
    </w:p>
    <w:p w:rsidRPr="005C7730" w:rsidR="00F5031F" w:rsidP="00DC43FF" w:rsidRDefault="00077BC3" w14:paraId="63B71422" w14:textId="5C7E54DD">
      <w:pPr>
        <w:pStyle w:val="ListParagraph"/>
        <w:numPr>
          <w:ilvl w:val="0"/>
          <w:numId w:val="0"/>
        </w:numPr>
        <w:ind w:left="720"/>
        <w:rPr>
          <w:rFonts w:ascii="Lato" w:hAnsi="Lato"/>
        </w:rPr>
      </w:pPr>
      <w:r w:rsidRPr="005C7730">
        <w:rPr>
          <w:rFonts w:ascii="Lato" w:hAnsi="Lato"/>
        </w:rPr>
        <w:t xml:space="preserve">Whilst we </w:t>
      </w:r>
      <w:r w:rsidRPr="005C7730" w:rsidR="00EB0512">
        <w:rPr>
          <w:rFonts w:ascii="Lato" w:hAnsi="Lato"/>
        </w:rPr>
        <w:t>agree</w:t>
      </w:r>
      <w:r w:rsidRPr="005C7730" w:rsidR="002A11AB">
        <w:rPr>
          <w:rFonts w:ascii="Lato" w:hAnsi="Lato"/>
        </w:rPr>
        <w:t xml:space="preserve"> that the use cases are </w:t>
      </w:r>
      <w:r w:rsidR="00C92269">
        <w:rPr>
          <w:rFonts w:ascii="Lato" w:hAnsi="Lato"/>
        </w:rPr>
        <w:t xml:space="preserve">a </w:t>
      </w:r>
      <w:r w:rsidRPr="005C7730" w:rsidR="002A11AB">
        <w:rPr>
          <w:rFonts w:ascii="Lato" w:hAnsi="Lato"/>
        </w:rPr>
        <w:t>high priority</w:t>
      </w:r>
      <w:r w:rsidRPr="005C7730" w:rsidR="00EB0512">
        <w:rPr>
          <w:rFonts w:ascii="Lato" w:hAnsi="Lato"/>
        </w:rPr>
        <w:t xml:space="preserve">, from a perspective of improving consumer consent, </w:t>
      </w:r>
      <w:r w:rsidRPr="005C7730" w:rsidR="003944CE">
        <w:rPr>
          <w:rFonts w:ascii="Lato" w:hAnsi="Lato"/>
        </w:rPr>
        <w:t xml:space="preserve">there </w:t>
      </w:r>
      <w:r w:rsidRPr="005C7730" w:rsidR="00F5031F">
        <w:rPr>
          <w:rFonts w:ascii="Lato" w:hAnsi="Lato"/>
        </w:rPr>
        <w:t>appears</w:t>
      </w:r>
      <w:r w:rsidRPr="005C7730" w:rsidR="003944CE">
        <w:rPr>
          <w:rFonts w:ascii="Lato" w:hAnsi="Lato"/>
        </w:rPr>
        <w:t xml:space="preserve"> a degree of duplication</w:t>
      </w:r>
      <w:r w:rsidRPr="005C7730" w:rsidR="008A6351">
        <w:rPr>
          <w:rFonts w:ascii="Lato" w:hAnsi="Lato"/>
        </w:rPr>
        <w:t xml:space="preserve">. Retail specialisation and </w:t>
      </w:r>
      <w:r w:rsidRPr="005C7730" w:rsidR="000C25B4">
        <w:rPr>
          <w:rFonts w:ascii="Lato" w:hAnsi="Lato"/>
        </w:rPr>
        <w:t xml:space="preserve">reduced barriers to market entry for increased competition are both focused on enabling new services </w:t>
      </w:r>
      <w:r w:rsidRPr="005C7730" w:rsidR="00EB0512">
        <w:rPr>
          <w:rFonts w:ascii="Lato" w:hAnsi="Lato"/>
        </w:rPr>
        <w:t>(albeit for different reasons)</w:t>
      </w:r>
      <w:r w:rsidRPr="005C7730" w:rsidR="00B52939">
        <w:rPr>
          <w:rFonts w:ascii="Lato" w:hAnsi="Lato"/>
        </w:rPr>
        <w:t xml:space="preserve">, both of which </w:t>
      </w:r>
      <w:r w:rsidRPr="005C7730" w:rsidR="00C971BB">
        <w:rPr>
          <w:rFonts w:ascii="Lato" w:hAnsi="Lato"/>
        </w:rPr>
        <w:t>could</w:t>
      </w:r>
      <w:r w:rsidRPr="005C7730" w:rsidR="00E87C4B">
        <w:rPr>
          <w:rFonts w:ascii="Lato" w:hAnsi="Lato"/>
        </w:rPr>
        <w:t xml:space="preserve"> increase development and delivery of new services that enable flexibility</w:t>
      </w:r>
      <w:r w:rsidRPr="005C7730" w:rsidR="003944CE">
        <w:rPr>
          <w:rFonts w:ascii="Lato" w:hAnsi="Lato"/>
        </w:rPr>
        <w:t xml:space="preserve"> and</w:t>
      </w:r>
      <w:r w:rsidRPr="005C7730" w:rsidR="00E87C4B">
        <w:rPr>
          <w:rFonts w:ascii="Lato" w:hAnsi="Lato"/>
        </w:rPr>
        <w:t xml:space="preserve"> improve consumer empowerment</w:t>
      </w:r>
      <w:r w:rsidRPr="005C7730" w:rsidR="003944CE">
        <w:rPr>
          <w:rFonts w:ascii="Lato" w:hAnsi="Lato"/>
        </w:rPr>
        <w:t xml:space="preserve">. </w:t>
      </w:r>
    </w:p>
    <w:p w:rsidRPr="005C7730" w:rsidR="00EF7080" w:rsidP="00DC43FF" w:rsidRDefault="00EF7080" w14:paraId="67BB2D88" w14:textId="5C25CE81">
      <w:pPr>
        <w:pStyle w:val="ListParagraph"/>
        <w:numPr>
          <w:ilvl w:val="0"/>
          <w:numId w:val="0"/>
        </w:numPr>
        <w:ind w:left="720"/>
        <w:rPr>
          <w:rFonts w:ascii="Lato" w:hAnsi="Lato"/>
        </w:rPr>
      </w:pPr>
      <w:r w:rsidRPr="005C7730">
        <w:rPr>
          <w:rFonts w:ascii="Lato" w:hAnsi="Lato"/>
        </w:rPr>
        <w:t>Likewise, the variation in maturity</w:t>
      </w:r>
      <w:r w:rsidRPr="005C7730" w:rsidR="00AA28CB">
        <w:rPr>
          <w:rFonts w:ascii="Lato" w:hAnsi="Lato"/>
        </w:rPr>
        <w:t xml:space="preserve"> of services (e.g. in energy system flexibility)</w:t>
      </w:r>
      <w:r w:rsidRPr="005C7730" w:rsidR="00240452">
        <w:rPr>
          <w:rFonts w:ascii="Lato" w:hAnsi="Lato"/>
        </w:rPr>
        <w:t xml:space="preserve"> may inhibit the degree to which </w:t>
      </w:r>
      <w:r w:rsidRPr="005C7730" w:rsidR="00680687">
        <w:rPr>
          <w:rFonts w:ascii="Lato" w:hAnsi="Lato"/>
        </w:rPr>
        <w:t>success of consumer consent solutions can be me</w:t>
      </w:r>
      <w:r w:rsidRPr="005C7730" w:rsidR="00AA28CB">
        <w:rPr>
          <w:rFonts w:ascii="Lato" w:hAnsi="Lato"/>
        </w:rPr>
        <w:t>asured</w:t>
      </w:r>
      <w:r w:rsidRPr="005C7730" w:rsidR="00426AD1">
        <w:rPr>
          <w:rFonts w:ascii="Lato" w:hAnsi="Lato"/>
        </w:rPr>
        <w:t xml:space="preserve"> in a consistent timescale. </w:t>
      </w:r>
      <w:r w:rsidRPr="005C7730" w:rsidR="00AA28CB">
        <w:rPr>
          <w:rFonts w:ascii="Lato" w:hAnsi="Lato"/>
        </w:rPr>
        <w:t xml:space="preserve"> </w:t>
      </w:r>
      <w:r w:rsidRPr="005C7730" w:rsidR="00680687">
        <w:rPr>
          <w:rFonts w:ascii="Lato" w:hAnsi="Lato"/>
        </w:rPr>
        <w:t xml:space="preserve"> </w:t>
      </w:r>
    </w:p>
    <w:p w:rsidRPr="00267B5F" w:rsidR="00B52939" w:rsidP="005C7730" w:rsidRDefault="00F5031F" w14:paraId="614A6DD4" w14:textId="236958C5">
      <w:pPr>
        <w:pStyle w:val="ListParagraph"/>
        <w:numPr>
          <w:ilvl w:val="0"/>
          <w:numId w:val="0"/>
        </w:numPr>
        <w:ind w:left="720"/>
        <w:rPr>
          <w:rFonts w:asciiTheme="majorHAnsi" w:hAnsiTheme="majorHAnsi"/>
        </w:rPr>
      </w:pPr>
      <w:r w:rsidRPr="005C7730">
        <w:rPr>
          <w:rFonts w:ascii="Lato" w:hAnsi="Lato"/>
        </w:rPr>
        <w:t>Much work</w:t>
      </w:r>
      <w:r w:rsidRPr="00267B5F" w:rsidR="0066129E">
        <w:rPr>
          <w:rFonts w:asciiTheme="majorHAnsi" w:hAnsiTheme="majorHAnsi"/>
        </w:rPr>
        <w:t xml:space="preserve"> </w:t>
      </w:r>
      <w:r w:rsidRPr="00267B5F" w:rsidR="00777464">
        <w:rPr>
          <w:rFonts w:asciiTheme="majorHAnsi" w:hAnsiTheme="majorHAnsi"/>
        </w:rPr>
        <w:t>is already in flight</w:t>
      </w:r>
      <w:r w:rsidRPr="00267B5F" w:rsidR="00765BC4">
        <w:rPr>
          <w:rFonts w:asciiTheme="majorHAnsi" w:hAnsiTheme="majorHAnsi"/>
        </w:rPr>
        <w:t xml:space="preserve"> (or completed) on</w:t>
      </w:r>
      <w:r w:rsidRPr="00267B5F" w:rsidR="00777464">
        <w:rPr>
          <w:rFonts w:asciiTheme="majorHAnsi" w:hAnsiTheme="majorHAnsi"/>
        </w:rPr>
        <w:t xml:space="preserve"> </w:t>
      </w:r>
      <w:r w:rsidRPr="00267B5F" w:rsidR="0066129E">
        <w:rPr>
          <w:rFonts w:asciiTheme="majorHAnsi" w:hAnsiTheme="majorHAnsi"/>
        </w:rPr>
        <w:t xml:space="preserve">use cases </w:t>
      </w:r>
      <w:r w:rsidRPr="00267B5F" w:rsidR="00765BC4">
        <w:rPr>
          <w:rFonts w:asciiTheme="majorHAnsi" w:hAnsiTheme="majorHAnsi"/>
        </w:rPr>
        <w:t>that deliver impact through better</w:t>
      </w:r>
      <w:r w:rsidRPr="00267B5F" w:rsidR="0066129E">
        <w:rPr>
          <w:rFonts w:asciiTheme="majorHAnsi" w:hAnsiTheme="majorHAnsi"/>
        </w:rPr>
        <w:t xml:space="preserve"> data use in </w:t>
      </w:r>
      <w:r w:rsidRPr="00267B5F" w:rsidR="00777464">
        <w:rPr>
          <w:rFonts w:asciiTheme="majorHAnsi" w:hAnsiTheme="majorHAnsi"/>
        </w:rPr>
        <w:t>the energy sector (Modernising Energy Data Access, Smart Meter Energy Data Repository, Smart Data Challenge</w:t>
      </w:r>
      <w:r w:rsidRPr="00267B5F" w:rsidR="00014152">
        <w:rPr>
          <w:rFonts w:asciiTheme="majorHAnsi" w:hAnsiTheme="majorHAnsi"/>
        </w:rPr>
        <w:t>)</w:t>
      </w:r>
      <w:r w:rsidRPr="00267B5F" w:rsidR="00425801">
        <w:rPr>
          <w:rFonts w:asciiTheme="majorHAnsi" w:hAnsiTheme="majorHAnsi"/>
        </w:rPr>
        <w:t xml:space="preserve">, many of which can be enhanced through improved consumer consent management.  </w:t>
      </w:r>
      <w:r w:rsidRPr="00267B5F" w:rsidR="00014152">
        <w:rPr>
          <w:rFonts w:asciiTheme="majorHAnsi" w:hAnsiTheme="majorHAnsi"/>
        </w:rPr>
        <w:t xml:space="preserve"> </w:t>
      </w:r>
      <w:r w:rsidRPr="00267B5F" w:rsidR="00765BC4">
        <w:rPr>
          <w:rFonts w:asciiTheme="majorHAnsi" w:hAnsiTheme="majorHAnsi"/>
        </w:rPr>
        <w:tab/>
      </w:r>
    </w:p>
    <w:p w:rsidRPr="005C7730" w:rsidR="00985052" w:rsidP="005C7730" w:rsidRDefault="007D23FC" w14:paraId="7190C6C3" w14:textId="1A5FE641">
      <w:pPr>
        <w:pStyle w:val="ListParagraph"/>
        <w:numPr>
          <w:ilvl w:val="0"/>
          <w:numId w:val="0"/>
        </w:numPr>
        <w:ind w:left="720"/>
        <w:rPr>
          <w:rFonts w:ascii="Lato" w:hAnsi="Lato"/>
        </w:rPr>
      </w:pPr>
      <w:r w:rsidRPr="005C7730">
        <w:rPr>
          <w:rFonts w:ascii="Lato" w:hAnsi="Lato"/>
        </w:rPr>
        <w:t>The critical success factors</w:t>
      </w:r>
      <w:r w:rsidRPr="005C7730" w:rsidR="00C067F0">
        <w:rPr>
          <w:rFonts w:ascii="Lato" w:hAnsi="Lato"/>
        </w:rPr>
        <w:t xml:space="preserve"> (CSFs)</w:t>
      </w:r>
      <w:r w:rsidRPr="005C7730">
        <w:rPr>
          <w:rFonts w:ascii="Lato" w:hAnsi="Lato"/>
        </w:rPr>
        <w:t xml:space="preserve"> described in Options Analysis / Testing are likely inherent in the priority use cases </w:t>
      </w:r>
      <w:r w:rsidRPr="005C7730" w:rsidR="00851925">
        <w:rPr>
          <w:rFonts w:ascii="Lato" w:hAnsi="Lato"/>
        </w:rPr>
        <w:t>and explicit focus on the achievement of th</w:t>
      </w:r>
      <w:r w:rsidRPr="005C7730" w:rsidR="00C067F0">
        <w:rPr>
          <w:rFonts w:ascii="Lato" w:hAnsi="Lato"/>
        </w:rPr>
        <w:t xml:space="preserve">e CSF’s </w:t>
      </w:r>
      <w:r w:rsidRPr="005C7730" w:rsidR="00851925">
        <w:rPr>
          <w:rFonts w:ascii="Lato" w:hAnsi="Lato"/>
        </w:rPr>
        <w:t xml:space="preserve">rather than enabling specific use cases </w:t>
      </w:r>
      <w:r w:rsidRPr="005C7730" w:rsidR="00A715F8">
        <w:rPr>
          <w:rFonts w:ascii="Lato" w:hAnsi="Lato"/>
        </w:rPr>
        <w:t xml:space="preserve">could be considered as an alternative approach. </w:t>
      </w:r>
    </w:p>
    <w:p w:rsidR="003A01C5" w:rsidP="003A01C5" w:rsidRDefault="003A01C5" w14:paraId="427FFD0E" w14:textId="77777777">
      <w:pPr>
        <w:ind w:left="709"/>
      </w:pPr>
    </w:p>
    <w:p w:rsidR="00985052" w:rsidP="00985052" w:rsidRDefault="00985052" w14:paraId="02533E2A" w14:textId="5413550E">
      <w:pPr>
        <w:pStyle w:val="Heading1"/>
      </w:pPr>
      <w:r>
        <w:t>Do you believe that a new Consumer Consent solution would enable the improvements to the energy system described in the four use cases? If not, could you please elaborate?</w:t>
      </w:r>
    </w:p>
    <w:p w:rsidR="002575ED" w:rsidP="001237B8" w:rsidRDefault="001237B8" w14:paraId="72C2075B" w14:textId="0C8E7083">
      <w:pPr>
        <w:ind w:left="720"/>
      </w:pPr>
      <w:r>
        <w:t>We agree that a new consumer consent solution would enable improvements</w:t>
      </w:r>
      <w:r w:rsidR="00A715F8">
        <w:t xml:space="preserve"> across the four use cases </w:t>
      </w:r>
      <w:r>
        <w:t xml:space="preserve">described. We would however emphasise the degree to which </w:t>
      </w:r>
      <w:r w:rsidR="00A60AA4">
        <w:t xml:space="preserve">wider considerations </w:t>
      </w:r>
      <w:r w:rsidR="00750A7B">
        <w:t xml:space="preserve">will impact on </w:t>
      </w:r>
      <w:r w:rsidR="00FB01C4">
        <w:t xml:space="preserve">the level of improvement realised. </w:t>
      </w:r>
      <w:r w:rsidR="002575ED">
        <w:t xml:space="preserve">Whilst a better means of managing consumer consent is undoubtedly important it must be considered in context with other key enhancements. </w:t>
      </w:r>
      <w:r w:rsidR="002575ED">
        <w:br/>
      </w:r>
    </w:p>
    <w:p w:rsidR="002575ED" w:rsidP="00FF02A7" w:rsidRDefault="002575ED" w14:paraId="436BA7F3" w14:textId="06FF6DBA">
      <w:pPr>
        <w:ind w:left="11" w:firstLine="709"/>
        <w:rPr>
          <w:b/>
          <w:bCs/>
        </w:rPr>
      </w:pPr>
      <w:r w:rsidRPr="002575ED">
        <w:rPr>
          <w:b/>
          <w:bCs/>
        </w:rPr>
        <w:t>Energy Retail Specialisation</w:t>
      </w:r>
      <w:r w:rsidR="00FF02A7">
        <w:rPr>
          <w:b/>
          <w:bCs/>
        </w:rPr>
        <w:t xml:space="preserve"> and</w:t>
      </w:r>
      <w:r w:rsidR="00412411">
        <w:rPr>
          <w:b/>
          <w:bCs/>
        </w:rPr>
        <w:t xml:space="preserve"> </w:t>
      </w:r>
      <w:r w:rsidR="0025011C">
        <w:rPr>
          <w:b/>
          <w:bCs/>
        </w:rPr>
        <w:t>R</w:t>
      </w:r>
      <w:r w:rsidRPr="00F8408B" w:rsidR="00FF02A7">
        <w:rPr>
          <w:b/>
          <w:bCs/>
        </w:rPr>
        <w:t xml:space="preserve">educed </w:t>
      </w:r>
      <w:r w:rsidR="0025011C">
        <w:rPr>
          <w:b/>
          <w:bCs/>
        </w:rPr>
        <w:t>B</w:t>
      </w:r>
      <w:r w:rsidRPr="00F8408B" w:rsidR="00FF02A7">
        <w:rPr>
          <w:b/>
          <w:bCs/>
        </w:rPr>
        <w:t xml:space="preserve">arriers to </w:t>
      </w:r>
      <w:r w:rsidR="0025011C">
        <w:rPr>
          <w:b/>
          <w:bCs/>
        </w:rPr>
        <w:t>M</w:t>
      </w:r>
      <w:r w:rsidRPr="00F8408B" w:rsidR="00FF02A7">
        <w:rPr>
          <w:b/>
          <w:bCs/>
        </w:rPr>
        <w:t xml:space="preserve">arket </w:t>
      </w:r>
      <w:r w:rsidR="0025011C">
        <w:rPr>
          <w:b/>
          <w:bCs/>
        </w:rPr>
        <w:t>E</w:t>
      </w:r>
      <w:r w:rsidRPr="00F8408B" w:rsidR="00FF02A7">
        <w:rPr>
          <w:b/>
          <w:bCs/>
        </w:rPr>
        <w:t xml:space="preserve">ntry and </w:t>
      </w:r>
      <w:r w:rsidR="0025011C">
        <w:rPr>
          <w:b/>
          <w:bCs/>
        </w:rPr>
        <w:t>I</w:t>
      </w:r>
      <w:r w:rsidRPr="00F8408B" w:rsidR="00FF02A7">
        <w:rPr>
          <w:b/>
          <w:bCs/>
        </w:rPr>
        <w:t xml:space="preserve">ncreased </w:t>
      </w:r>
      <w:r w:rsidR="0025011C">
        <w:rPr>
          <w:b/>
          <w:bCs/>
        </w:rPr>
        <w:t>C</w:t>
      </w:r>
      <w:r w:rsidRPr="00F8408B" w:rsidR="00FF02A7">
        <w:rPr>
          <w:b/>
          <w:bCs/>
        </w:rPr>
        <w:t>ompetition</w:t>
      </w:r>
    </w:p>
    <w:p w:rsidR="00165B66" w:rsidP="001237B8" w:rsidRDefault="00DB526A" w14:paraId="2C0F6ED3" w14:textId="11969BC1">
      <w:pPr>
        <w:ind w:left="720"/>
      </w:pPr>
      <w:r>
        <w:t xml:space="preserve">We see synergies </w:t>
      </w:r>
      <w:r w:rsidR="008F1521">
        <w:t>across these</w:t>
      </w:r>
      <w:r>
        <w:t xml:space="preserve"> two use case</w:t>
      </w:r>
      <w:r w:rsidR="00C0200E">
        <w:t xml:space="preserve">s, irrespective of the </w:t>
      </w:r>
      <w:r w:rsidR="008F1521">
        <w:t>differing outcomes each</w:t>
      </w:r>
      <w:r w:rsidR="00C0200E">
        <w:t xml:space="preserve"> </w:t>
      </w:r>
      <w:r w:rsidR="008F1521">
        <w:t>seeks</w:t>
      </w:r>
      <w:r w:rsidR="00C70ABA">
        <w:t>. As</w:t>
      </w:r>
      <w:r w:rsidR="002575ED">
        <w:t xml:space="preserve"> described in </w:t>
      </w:r>
      <w:r w:rsidR="004A4DBC">
        <w:t>Q</w:t>
      </w:r>
      <w:r w:rsidR="00247DBC">
        <w:t>2</w:t>
      </w:r>
      <w:r w:rsidR="002575ED">
        <w:t xml:space="preserve"> we </w:t>
      </w:r>
      <w:r w:rsidR="00FF613D">
        <w:t>provided our views on how</w:t>
      </w:r>
      <w:r w:rsidR="002575ED">
        <w:t xml:space="preserve"> </w:t>
      </w:r>
      <w:r w:rsidR="008B6B40">
        <w:t xml:space="preserve">mechanisms around </w:t>
      </w:r>
      <w:r w:rsidR="00A55AB1">
        <w:t>consent capture for smart meter data may</w:t>
      </w:r>
      <w:r w:rsidR="008B6B40">
        <w:t xml:space="preserve"> create a barrier to acces</w:t>
      </w:r>
      <w:r w:rsidR="00A55AB1">
        <w:t>s. In parallel, there are other considerations that require redress</w:t>
      </w:r>
      <w:r w:rsidR="00165B66">
        <w:t xml:space="preserve"> – particularly for new users</w:t>
      </w:r>
      <w:r w:rsidR="00FF613D">
        <w:t xml:space="preserve"> seeking to address smart meter data. </w:t>
      </w:r>
    </w:p>
    <w:p w:rsidR="00165B66" w:rsidP="00FA37F1" w:rsidRDefault="00FF613D" w14:paraId="3227B899" w14:textId="643C485E">
      <w:pPr>
        <w:ind w:left="720"/>
      </w:pPr>
      <w:r>
        <w:t xml:space="preserve">We are </w:t>
      </w:r>
      <w:r w:rsidR="000B3AAD">
        <w:t>exploring</w:t>
      </w:r>
      <w:r>
        <w:t xml:space="preserve"> a series of o</w:t>
      </w:r>
      <w:r w:rsidR="00165B66">
        <w:t>n-boarding improvements</w:t>
      </w:r>
      <w:r>
        <w:t xml:space="preserve"> to streamline administration, reduce cost and improve technical access to data. </w:t>
      </w:r>
      <w:r w:rsidR="00E50A2B">
        <w:t xml:space="preserve">We are also </w:t>
      </w:r>
      <w:r w:rsidR="000B3AAD">
        <w:t>considering</w:t>
      </w:r>
      <w:r w:rsidR="00E50A2B">
        <w:t xml:space="preserve"> </w:t>
      </w:r>
      <w:r w:rsidR="000B3AAD">
        <w:t>reforms</w:t>
      </w:r>
      <w:r w:rsidR="00E50A2B">
        <w:t xml:space="preserve"> to </w:t>
      </w:r>
      <w:r w:rsidR="000B3AAD">
        <w:t>DCC charging structure</w:t>
      </w:r>
      <w:r w:rsidR="00A75C68">
        <w:t xml:space="preserve">, with one </w:t>
      </w:r>
      <w:r w:rsidR="00E96242">
        <w:t>possible outcome that</w:t>
      </w:r>
      <w:r w:rsidR="00E50A2B">
        <w:t xml:space="preserve"> </w:t>
      </w:r>
      <w:r w:rsidR="00B975BA">
        <w:t>Other Users</w:t>
      </w:r>
      <w:r w:rsidR="00E50A2B">
        <w:t xml:space="preserve"> </w:t>
      </w:r>
      <w:r w:rsidR="00E96242">
        <w:t>would be charged</w:t>
      </w:r>
      <w:r w:rsidR="00E50A2B">
        <w:t xml:space="preserve"> for data access as means of managing</w:t>
      </w:r>
      <w:r w:rsidR="00DE43F4">
        <w:t xml:space="preserve"> network</w:t>
      </w:r>
      <w:r w:rsidR="00E50A2B">
        <w:t xml:space="preserve"> constraint</w:t>
      </w:r>
      <w:r w:rsidR="00E96242">
        <w:t xml:space="preserve"> (at present, Other Users do not pay to use the smart meter network)</w:t>
      </w:r>
      <w:r w:rsidR="00B975BA">
        <w:t>. I</w:t>
      </w:r>
      <w:r w:rsidR="00165B66">
        <w:t xml:space="preserve">ncluding potential changes to consumer consent </w:t>
      </w:r>
      <w:r w:rsidR="00A16ACD">
        <w:t>management</w:t>
      </w:r>
      <w:r w:rsidR="00165B66">
        <w:t xml:space="preserve"> need considering in tandem</w:t>
      </w:r>
      <w:r w:rsidR="00B975BA">
        <w:t xml:space="preserve"> with</w:t>
      </w:r>
      <w:r w:rsidR="00165B66">
        <w:t xml:space="preserve"> </w:t>
      </w:r>
      <w:r w:rsidR="00C46E10">
        <w:t xml:space="preserve">this activity to help understand future profiles of demand that could be realised through a more streamlined approach. </w:t>
      </w:r>
      <w:r w:rsidR="00A16ACD">
        <w:t xml:space="preserve"> </w:t>
      </w:r>
    </w:p>
    <w:p w:rsidR="00A81FE0" w:rsidP="001237B8" w:rsidRDefault="00C46E10" w14:paraId="1E5D945D" w14:textId="3973EFD8">
      <w:pPr>
        <w:ind w:left="720"/>
      </w:pPr>
      <w:r>
        <w:t>I</w:t>
      </w:r>
      <w:r w:rsidR="00837B20">
        <w:t xml:space="preserve">n context with lack of trust as an identified barrier, </w:t>
      </w:r>
      <w:r w:rsidR="00540230">
        <w:t>better consent management alone may be insufficient to garner greater consumer trust.  Many organisations, particularly new and innovative companies remain unknown to consumer</w:t>
      </w:r>
      <w:r w:rsidR="00A81FE0">
        <w:t>s and trust toward the sector remains low generally</w:t>
      </w:r>
      <w:r w:rsidR="002452B2">
        <w:rPr>
          <w:rStyle w:val="FootnoteReference"/>
        </w:rPr>
        <w:footnoteReference w:id="4"/>
      </w:r>
      <w:r w:rsidR="00A81FE0">
        <w:t xml:space="preserve">.  </w:t>
      </w:r>
    </w:p>
    <w:p w:rsidR="002800BB" w:rsidP="001237B8" w:rsidRDefault="004E3B60" w14:paraId="6ECBFA5F" w14:textId="21916AE0">
      <w:pPr>
        <w:ind w:left="720"/>
      </w:pPr>
      <w:r>
        <w:t>As part of a future offer, t</w:t>
      </w:r>
      <w:r w:rsidR="00A81FE0">
        <w:t xml:space="preserve">here may be scope to incorporate information about </w:t>
      </w:r>
      <w:r w:rsidR="00A910A8">
        <w:t xml:space="preserve">organisations and the validation undertaken (for example, in on-boarding to the DCC) which provides greater certainty to the consumer of the legitimacy of their offer. </w:t>
      </w:r>
    </w:p>
    <w:p w:rsidR="006F0EF4" w:rsidP="001237B8" w:rsidRDefault="000D6EBD" w14:paraId="75C08E8F" w14:textId="5B94F7CF">
      <w:pPr>
        <w:ind w:left="720"/>
      </w:pPr>
      <w:r>
        <w:t>Whilst a streamlined consent solution could enhance consumer engagement and transform passive and disengaged consumers</w:t>
      </w:r>
      <w:r w:rsidR="005C0787">
        <w:t xml:space="preserve"> – a key function of any future solution deployed will be </w:t>
      </w:r>
      <w:r w:rsidR="00CB5D41">
        <w:t xml:space="preserve">designing an approach that can </w:t>
      </w:r>
      <w:r w:rsidR="005C0787">
        <w:t>assess the degree to which</w:t>
      </w:r>
      <w:r w:rsidR="006B0026">
        <w:t xml:space="preserve"> </w:t>
      </w:r>
      <w:r w:rsidR="006F0EF4">
        <w:t xml:space="preserve">this requirement has been achieved.  </w:t>
      </w:r>
    </w:p>
    <w:p w:rsidR="00B42E7C" w:rsidP="001237B8" w:rsidRDefault="005E539D" w14:paraId="230E5049" w14:textId="2700B147">
      <w:pPr>
        <w:ind w:left="720"/>
      </w:pPr>
      <w:r>
        <w:t>S</w:t>
      </w:r>
      <w:r w:rsidR="00B42E7C">
        <w:t xml:space="preserve">mart meter system data may provide a mechanism through which consumer engagement </w:t>
      </w:r>
      <w:r w:rsidR="00427AB3">
        <w:t xml:space="preserve">can be </w:t>
      </w:r>
      <w:r w:rsidR="00B72B0C">
        <w:t>evaluated</w:t>
      </w:r>
      <w:r>
        <w:t>, helping to understand the efficacy of consent solutions.</w:t>
      </w:r>
      <w:r w:rsidR="00427AB3">
        <w:t xml:space="preserve"> </w:t>
      </w:r>
      <w:r>
        <w:t>F</w:t>
      </w:r>
      <w:r w:rsidR="00650A25">
        <w:t xml:space="preserve">or example, the </w:t>
      </w:r>
      <w:r w:rsidR="000B074B">
        <w:t>frequency of data retrieval from</w:t>
      </w:r>
      <w:r w:rsidR="00650A25">
        <w:t xml:space="preserve"> households (MPANs) </w:t>
      </w:r>
      <w:r w:rsidR="000B074B">
        <w:t xml:space="preserve">and by which types of entity and </w:t>
      </w:r>
      <w:r w:rsidR="002B2A09">
        <w:t xml:space="preserve">indicators of active participation </w:t>
      </w:r>
      <w:r w:rsidR="00D4122E">
        <w:t xml:space="preserve">in new services or tariffs (through visibility of change of supply, change of tariff, load control transactions and </w:t>
      </w:r>
      <w:r w:rsidR="00650E6E">
        <w:t>meters operating in expo</w:t>
      </w:r>
      <w:r w:rsidR="00EC5507">
        <w:t>rt</w:t>
      </w:r>
      <w:r w:rsidR="00650E6E">
        <w:t xml:space="preserve"> for e</w:t>
      </w:r>
      <w:r w:rsidR="00EC5507">
        <w:t>x</w:t>
      </w:r>
      <w:r w:rsidR="00650E6E">
        <w:t>amp</w:t>
      </w:r>
      <w:r w:rsidR="00EC5507">
        <w:t>le</w:t>
      </w:r>
      <w:r w:rsidR="00650E6E">
        <w:t>)</w:t>
      </w:r>
      <w:r w:rsidR="00EC5507">
        <w:t xml:space="preserve">. </w:t>
      </w:r>
    </w:p>
    <w:p w:rsidR="007668F9" w:rsidP="001237B8" w:rsidRDefault="007668F9" w14:paraId="3E95C0D2" w14:textId="77777777">
      <w:pPr>
        <w:ind w:left="720"/>
      </w:pPr>
    </w:p>
    <w:p w:rsidRPr="00AD7564" w:rsidR="00A910A8" w:rsidP="001237B8" w:rsidRDefault="00AD7564" w14:paraId="489ABAF9" w14:textId="36BE537D">
      <w:pPr>
        <w:ind w:left="720"/>
        <w:rPr>
          <w:b/>
          <w:bCs/>
        </w:rPr>
      </w:pPr>
      <w:r w:rsidRPr="00AD7564">
        <w:rPr>
          <w:b/>
          <w:bCs/>
        </w:rPr>
        <w:t>Energy system flexibility</w:t>
      </w:r>
    </w:p>
    <w:p w:rsidR="0046252E" w:rsidP="005A3079" w:rsidRDefault="00D932CC" w14:paraId="632A23B2" w14:textId="30FE167D">
      <w:pPr>
        <w:ind w:left="720"/>
      </w:pPr>
      <w:r>
        <w:t>We agree that consumer consent is a key component of enabling energy system flexibility services</w:t>
      </w:r>
      <w:r w:rsidR="0009634F">
        <w:t xml:space="preserve">. </w:t>
      </w:r>
      <w:r w:rsidR="0046252E">
        <w:t>D</w:t>
      </w:r>
      <w:r w:rsidR="0009634F">
        <w:t>ata exchange will be required across a multitude of organisations</w:t>
      </w:r>
      <w:r w:rsidR="0046252E">
        <w:t xml:space="preserve"> to enact both sides of the flexibility market,</w:t>
      </w:r>
      <w:r w:rsidR="0009634F">
        <w:t xml:space="preserve"> </w:t>
      </w:r>
      <w:r w:rsidR="0046252E">
        <w:t>emphasising the need for</w:t>
      </w:r>
      <w:r w:rsidR="003A720D">
        <w:t xml:space="preserve"> efficient and effective</w:t>
      </w:r>
      <w:r w:rsidR="00D7790C">
        <w:t xml:space="preserve"> flow of</w:t>
      </w:r>
      <w:r w:rsidR="0046252E">
        <w:t xml:space="preserve"> consent</w:t>
      </w:r>
      <w:r w:rsidR="00D7790C">
        <w:t xml:space="preserve"> across multiple parties. </w:t>
      </w:r>
    </w:p>
    <w:p w:rsidR="008D236E" w:rsidP="008D236E" w:rsidRDefault="00D1683E" w14:paraId="00EE299B" w14:textId="0B0B228C">
      <w:pPr>
        <w:ind w:left="720"/>
      </w:pPr>
      <w:r>
        <w:t>Energy system flexibility is also a key area in which</w:t>
      </w:r>
      <w:r w:rsidR="00D7790C">
        <w:t xml:space="preserve"> consent </w:t>
      </w:r>
      <w:r w:rsidR="006A1D2A">
        <w:t>from</w:t>
      </w:r>
      <w:r w:rsidR="004F254B">
        <w:t xml:space="preserve"> all occupants within a household or premise</w:t>
      </w:r>
      <w:r w:rsidR="006A1D2A">
        <w:t xml:space="preserve"> may be beneficial,</w:t>
      </w:r>
      <w:r w:rsidR="009029BB">
        <w:t xml:space="preserve"> as the potential for</w:t>
      </w:r>
      <w:r w:rsidR="00E3415B">
        <w:t xml:space="preserve"> </w:t>
      </w:r>
      <w:r w:rsidR="007668F9">
        <w:t xml:space="preserve">negative consequences for consumers </w:t>
      </w:r>
      <w:r w:rsidR="00CD77AC">
        <w:t xml:space="preserve">may be </w:t>
      </w:r>
      <w:r w:rsidR="007668F9">
        <w:t>exacerbated</w:t>
      </w:r>
      <w:r w:rsidR="00E9361F">
        <w:t>. F</w:t>
      </w:r>
      <w:r w:rsidR="00835714">
        <w:t>or example,</w:t>
      </w:r>
      <w:r w:rsidR="00E9361F">
        <w:t xml:space="preserve"> if</w:t>
      </w:r>
      <w:r w:rsidR="00835714">
        <w:t xml:space="preserve"> </w:t>
      </w:r>
      <w:r w:rsidR="0096794A">
        <w:t>bill-payers are rewarded for</w:t>
      </w:r>
      <w:r w:rsidR="00835714">
        <w:t xml:space="preserve"> committing to </w:t>
      </w:r>
      <w:r w:rsidR="00DA2E67">
        <w:t xml:space="preserve">automated </w:t>
      </w:r>
      <w:r w:rsidR="00835714">
        <w:t>D</w:t>
      </w:r>
      <w:r w:rsidR="008D236E">
        <w:t xml:space="preserve">emand Side Response Services </w:t>
      </w:r>
      <w:r w:rsidR="00337758">
        <w:t xml:space="preserve">that don’t align with occupant needs. </w:t>
      </w:r>
    </w:p>
    <w:p w:rsidR="0001281A" w:rsidP="005870FA" w:rsidRDefault="000B0A55" w14:paraId="16FB2C17" w14:textId="0A5F9AF7">
      <w:pPr>
        <w:ind w:left="720"/>
      </w:pPr>
      <w:r>
        <w:t>Beyond</w:t>
      </w:r>
      <w:r w:rsidRPr="00562DB2" w:rsidR="00C33C78">
        <w:t xml:space="preserve"> consumer </w:t>
      </w:r>
      <w:r>
        <w:t>considerations</w:t>
      </w:r>
      <w:r w:rsidR="00C33C78">
        <w:t>,</w:t>
      </w:r>
      <w:r w:rsidR="00840C52">
        <w:t xml:space="preserve"> there may be merit in exploring</w:t>
      </w:r>
      <w:r w:rsidR="00C33C78">
        <w:t xml:space="preserve"> ways in which</w:t>
      </w:r>
      <w:r w:rsidR="00840C52">
        <w:t xml:space="preserve"> a</w:t>
      </w:r>
      <w:r w:rsidR="00C33C78">
        <w:t xml:space="preserve"> potential solution can help to mitigate duplicate attempts </w:t>
      </w:r>
      <w:r>
        <w:t>to</w:t>
      </w:r>
      <w:r w:rsidR="00C33C78">
        <w:t xml:space="preserve"> access the same service.  For example, </w:t>
      </w:r>
      <w:r w:rsidR="00C33C78">
        <w:rPr>
          <w:rStyle w:val="ui-provider"/>
        </w:rPr>
        <w:t>in context with the D</w:t>
      </w:r>
      <w:r w:rsidR="00840C52">
        <w:rPr>
          <w:rStyle w:val="ui-provider"/>
        </w:rPr>
        <w:t xml:space="preserve">emand </w:t>
      </w:r>
      <w:r w:rsidR="00C33C78">
        <w:rPr>
          <w:rStyle w:val="ui-provider"/>
        </w:rPr>
        <w:t>F</w:t>
      </w:r>
      <w:r w:rsidR="00840C52">
        <w:rPr>
          <w:rStyle w:val="ui-provider"/>
        </w:rPr>
        <w:t xml:space="preserve">lexibility </w:t>
      </w:r>
      <w:r w:rsidR="00C33C78">
        <w:rPr>
          <w:rStyle w:val="ui-provider"/>
        </w:rPr>
        <w:t>S</w:t>
      </w:r>
      <w:r w:rsidR="00840C52">
        <w:rPr>
          <w:rStyle w:val="ui-provider"/>
        </w:rPr>
        <w:t>ervice</w:t>
      </w:r>
      <w:r w:rsidR="00C33C78">
        <w:rPr>
          <w:rStyle w:val="ui-provider"/>
        </w:rPr>
        <w:t xml:space="preserve">, the </w:t>
      </w:r>
      <w:r w:rsidR="00840C52">
        <w:rPr>
          <w:rStyle w:val="ui-provider"/>
        </w:rPr>
        <w:t xml:space="preserve">Electricity </w:t>
      </w:r>
      <w:r w:rsidR="00C33C78">
        <w:rPr>
          <w:rStyle w:val="ui-provider"/>
        </w:rPr>
        <w:t>S</w:t>
      </w:r>
      <w:r w:rsidR="00840C52">
        <w:rPr>
          <w:rStyle w:val="ui-provider"/>
        </w:rPr>
        <w:t xml:space="preserve">ystem </w:t>
      </w:r>
      <w:r w:rsidR="00C33C78">
        <w:rPr>
          <w:rStyle w:val="ui-provider"/>
        </w:rPr>
        <w:t>O</w:t>
      </w:r>
      <w:r w:rsidR="00840C52">
        <w:rPr>
          <w:rStyle w:val="ui-provider"/>
        </w:rPr>
        <w:t>perator</w:t>
      </w:r>
      <w:r w:rsidR="00C33C78">
        <w:rPr>
          <w:rStyle w:val="ui-provider"/>
        </w:rPr>
        <w:t xml:space="preserve"> worked with energy suppliers to </w:t>
      </w:r>
      <w:r w:rsidR="00840C52">
        <w:rPr>
          <w:rStyle w:val="ui-provider"/>
        </w:rPr>
        <w:t xml:space="preserve">identify </w:t>
      </w:r>
      <w:r w:rsidR="00C33C78">
        <w:rPr>
          <w:rStyle w:val="ui-provider"/>
        </w:rPr>
        <w:t xml:space="preserve">those taking part </w:t>
      </w:r>
      <w:r w:rsidR="00840C52">
        <w:rPr>
          <w:rStyle w:val="ui-provider"/>
        </w:rPr>
        <w:t xml:space="preserve">by linking </w:t>
      </w:r>
      <w:r w:rsidR="00C33C78">
        <w:rPr>
          <w:rStyle w:val="ui-provider"/>
        </w:rPr>
        <w:t>MPANs to a specific</w:t>
      </w:r>
      <w:r w:rsidR="00840C52">
        <w:rPr>
          <w:rStyle w:val="ui-provider"/>
        </w:rPr>
        <w:t xml:space="preserve"> supplier</w:t>
      </w:r>
      <w:r w:rsidR="00C33C78">
        <w:rPr>
          <w:rStyle w:val="ui-provider"/>
        </w:rPr>
        <w:t xml:space="preserve"> reward schem</w:t>
      </w:r>
      <w:r w:rsidR="001C1E78">
        <w:rPr>
          <w:rStyle w:val="ui-provider"/>
        </w:rPr>
        <w:t xml:space="preserve">e to </w:t>
      </w:r>
      <w:r w:rsidR="00C43E4B">
        <w:rPr>
          <w:rStyle w:val="ui-provider"/>
        </w:rPr>
        <w:t xml:space="preserve">prevent duplication. </w:t>
      </w:r>
    </w:p>
    <w:p w:rsidR="00607B2D" w:rsidP="001237B8" w:rsidRDefault="00A21176" w14:paraId="63879976" w14:textId="18B98635">
      <w:pPr>
        <w:ind w:left="720"/>
      </w:pPr>
      <w:r>
        <w:t>I</w:t>
      </w:r>
      <w:r w:rsidR="00B9420F">
        <w:t>n</w:t>
      </w:r>
      <w:r>
        <w:t xml:space="preserve"> context with the Automatic Asset Registration programme, we a</w:t>
      </w:r>
      <w:r w:rsidR="005D2889">
        <w:t xml:space="preserve">gree with </w:t>
      </w:r>
      <w:r>
        <w:t xml:space="preserve">the </w:t>
      </w:r>
      <w:r w:rsidR="005D2889">
        <w:t xml:space="preserve">criticality of a consent solution to contribute </w:t>
      </w:r>
      <w:r>
        <w:t>both at the point of asset registry and in context with a</w:t>
      </w:r>
      <w:r w:rsidR="005C043E">
        <w:t xml:space="preserve">ccess to data made available via a centralised asset registry. </w:t>
      </w:r>
    </w:p>
    <w:p w:rsidR="004A595E" w:rsidP="001237B8" w:rsidRDefault="005C043E" w14:paraId="57ABF57A" w14:textId="0F46B25B">
      <w:pPr>
        <w:ind w:left="720"/>
      </w:pPr>
      <w:r>
        <w:t>U</w:t>
      </w:r>
      <w:r w:rsidR="007A6277">
        <w:t>se cases relating to</w:t>
      </w:r>
      <w:r w:rsidR="002E0BB6">
        <w:t xml:space="preserve"> Automatic</w:t>
      </w:r>
      <w:r w:rsidR="007A6277">
        <w:t xml:space="preserve"> </w:t>
      </w:r>
      <w:r w:rsidR="00BC41F4">
        <w:t>A</w:t>
      </w:r>
      <w:r w:rsidR="007A6277">
        <w:t xml:space="preserve">sset </w:t>
      </w:r>
      <w:r w:rsidR="00BC41F4">
        <w:t>R</w:t>
      </w:r>
      <w:r w:rsidR="007A6277">
        <w:t>egistration</w:t>
      </w:r>
      <w:r w:rsidR="00BC41F4">
        <w:t xml:space="preserve"> (AAR)</w:t>
      </w:r>
      <w:r w:rsidR="007A6277">
        <w:t xml:space="preserve"> </w:t>
      </w:r>
      <w:r w:rsidR="00855E14">
        <w:t>will</w:t>
      </w:r>
      <w:r w:rsidR="007A6277">
        <w:t xml:space="preserve"> require</w:t>
      </w:r>
      <w:r w:rsidR="008F5275">
        <w:t xml:space="preserve"> consent to be shared at an asset level</w:t>
      </w:r>
      <w:r w:rsidR="00CA5787">
        <w:t xml:space="preserve"> in order to</w:t>
      </w:r>
      <w:r w:rsidR="00821394">
        <w:t xml:space="preserve"> support</w:t>
      </w:r>
      <w:r w:rsidR="008F5275">
        <w:t xml:space="preserve"> granular </w:t>
      </w:r>
      <w:r w:rsidR="00960D3B">
        <w:t xml:space="preserve">data on </w:t>
      </w:r>
      <w:r w:rsidR="00CA6B5A">
        <w:t>low carbon technology</w:t>
      </w:r>
      <w:r w:rsidR="000C7952">
        <w:t xml:space="preserve"> usage to </w:t>
      </w:r>
      <w:r w:rsidR="008C7DE9">
        <w:t xml:space="preserve">then </w:t>
      </w:r>
      <w:r w:rsidR="000C7952">
        <w:t xml:space="preserve">be shared with </w:t>
      </w:r>
      <w:r w:rsidR="00E655F9">
        <w:t>third parties</w:t>
      </w:r>
      <w:r w:rsidR="00E23B89">
        <w:t xml:space="preserve">. Consent needs </w:t>
      </w:r>
      <w:r w:rsidR="00EE49AE">
        <w:t xml:space="preserve">to be viewed </w:t>
      </w:r>
      <w:r w:rsidR="00C373E4">
        <w:t xml:space="preserve">in broader terms than solely at a household level, as </w:t>
      </w:r>
      <w:r w:rsidR="008877AE">
        <w:t>remote monitoring and</w:t>
      </w:r>
      <w:r w:rsidR="00F44011">
        <w:t xml:space="preserve"> load</w:t>
      </w:r>
      <w:r w:rsidR="008877AE">
        <w:t xml:space="preserve"> control of assets </w:t>
      </w:r>
      <w:r w:rsidR="00F44011">
        <w:t>will be required to enable flexibility use cases.</w:t>
      </w:r>
      <w:r w:rsidR="00E53386">
        <w:t xml:space="preserve"> </w:t>
      </w:r>
      <w:r w:rsidR="00A82A19">
        <w:t xml:space="preserve">As described in the </w:t>
      </w:r>
      <w:r w:rsidR="002E0AAE">
        <w:t>c</w:t>
      </w:r>
      <w:r w:rsidR="008A51A3">
        <w:t>all for input</w:t>
      </w:r>
      <w:r w:rsidR="002E0AAE">
        <w:t xml:space="preserve"> document</w:t>
      </w:r>
      <w:r w:rsidR="00D47920">
        <w:t xml:space="preserve">, </w:t>
      </w:r>
      <w:r w:rsidR="002B4952">
        <w:t xml:space="preserve">different services in the home </w:t>
      </w:r>
      <w:r w:rsidR="00F6370C">
        <w:t xml:space="preserve">that consume energy may </w:t>
      </w:r>
      <w:r w:rsidR="00130B3C">
        <w:t xml:space="preserve">be provided by different </w:t>
      </w:r>
      <w:r w:rsidR="008C047C">
        <w:t>service providers/energy suppliers</w:t>
      </w:r>
      <w:r w:rsidR="003E3013">
        <w:t xml:space="preserve">, e.g. “heat as a service”. This may require </w:t>
      </w:r>
      <w:r w:rsidR="00723C57">
        <w:t>a consumer</w:t>
      </w:r>
      <w:r w:rsidR="00E14D34">
        <w:t>’s</w:t>
      </w:r>
      <w:r w:rsidR="00723C57">
        <w:t xml:space="preserve"> heat </w:t>
      </w:r>
      <w:r w:rsidR="009D4E41">
        <w:t>service</w:t>
      </w:r>
      <w:r w:rsidR="00E53386">
        <w:t xml:space="preserve"> </w:t>
      </w:r>
      <w:r w:rsidR="00354D3E">
        <w:t xml:space="preserve">provider </w:t>
      </w:r>
      <w:r w:rsidR="009D4E41">
        <w:t>t</w:t>
      </w:r>
      <w:r w:rsidR="00354D3E">
        <w:t xml:space="preserve">o be able to </w:t>
      </w:r>
      <w:r w:rsidR="006E329C">
        <w:t>view</w:t>
      </w:r>
      <w:r w:rsidR="007A71D8">
        <w:t xml:space="preserve"> data</w:t>
      </w:r>
      <w:r w:rsidR="006E329C">
        <w:t xml:space="preserve"> and </w:t>
      </w:r>
      <w:r w:rsidR="007A71D8">
        <w:t xml:space="preserve">remotely </w:t>
      </w:r>
      <w:r w:rsidR="00354D3E">
        <w:t>control</w:t>
      </w:r>
      <w:r w:rsidR="007A71D8">
        <w:t xml:space="preserve"> usage of</w:t>
      </w:r>
      <w:r w:rsidR="00354D3E">
        <w:t xml:space="preserve"> their heat pump but not other appliances in the home.</w:t>
      </w:r>
    </w:p>
    <w:p w:rsidR="00A60AA4" w:rsidP="00A60AA4" w:rsidRDefault="008F1521" w14:paraId="77EDC6F6" w14:textId="4BB536D4">
      <w:pPr>
        <w:rPr>
          <w:b/>
          <w:bCs/>
        </w:rPr>
      </w:pPr>
      <w:r w:rsidRPr="00222AEB">
        <w:rPr>
          <w:b/>
          <w:bCs/>
        </w:rPr>
        <w:tab/>
      </w:r>
      <w:r w:rsidRPr="00222AEB" w:rsidR="00222AEB">
        <w:rPr>
          <w:b/>
          <w:bCs/>
        </w:rPr>
        <w:t>Consumer empowerment, protection, and trust</w:t>
      </w:r>
    </w:p>
    <w:p w:rsidR="00F122DC" w:rsidP="00F122DC" w:rsidRDefault="008013DF" w14:paraId="303615E0" w14:textId="6984BE3A">
      <w:pPr>
        <w:ind w:left="709"/>
      </w:pPr>
      <w:r w:rsidRPr="001E79BE">
        <w:tab/>
      </w:r>
      <w:r w:rsidRPr="001E79BE" w:rsidR="001E79BE">
        <w:t>We agree and support this use case as a priority</w:t>
      </w:r>
      <w:r w:rsidR="001E79BE">
        <w:t>.</w:t>
      </w:r>
      <w:r w:rsidR="00E76052">
        <w:t xml:space="preserve"> </w:t>
      </w:r>
      <w:r w:rsidR="00E92FFC">
        <w:t xml:space="preserve"> We are continuing to progress several activities</w:t>
      </w:r>
      <w:r w:rsidR="008A51A3">
        <w:t xml:space="preserve"> which </w:t>
      </w:r>
      <w:r w:rsidR="00E92FFC">
        <w:t xml:space="preserve">focus on </w:t>
      </w:r>
      <w:r w:rsidR="00ED69B7">
        <w:t>reduction of fuel poverty</w:t>
      </w:r>
      <w:r w:rsidR="004166E3">
        <w:t xml:space="preserve"> and support to vulnerable households</w:t>
      </w:r>
      <w:r w:rsidR="00ED69B7">
        <w:t xml:space="preserve"> through increased access to smart meter and smart meter s</w:t>
      </w:r>
      <w:r w:rsidR="00F122DC">
        <w:t>ystem data</w:t>
      </w:r>
      <w:r w:rsidR="00614DB1">
        <w:t xml:space="preserve">. </w:t>
      </w:r>
      <w:r w:rsidR="00F122DC">
        <w:t>Th</w:t>
      </w:r>
      <w:r w:rsidR="00614DB1">
        <w:t>ese are relevant to this use case and</w:t>
      </w:r>
      <w:r w:rsidR="00F122DC">
        <w:t xml:space="preserve"> include: </w:t>
      </w:r>
    </w:p>
    <w:p w:rsidRPr="005C7730" w:rsidR="009F3255" w:rsidP="00A60AA4" w:rsidRDefault="00462733" w14:paraId="755CE77C" w14:textId="6F01ECD2">
      <w:pPr>
        <w:pStyle w:val="ListParagraph"/>
        <w:numPr>
          <w:ilvl w:val="0"/>
          <w:numId w:val="19"/>
        </w:numPr>
        <w:rPr>
          <w:rFonts w:asciiTheme="majorHAnsi" w:hAnsiTheme="majorHAnsi"/>
        </w:rPr>
      </w:pPr>
      <w:r w:rsidRPr="005C7730">
        <w:rPr>
          <w:rFonts w:asciiTheme="majorHAnsi" w:hAnsiTheme="majorHAnsi"/>
        </w:rPr>
        <w:t>Providing</w:t>
      </w:r>
      <w:r w:rsidRPr="005C7730" w:rsidR="00F122DC">
        <w:rPr>
          <w:rFonts w:asciiTheme="majorHAnsi" w:hAnsiTheme="majorHAnsi"/>
        </w:rPr>
        <w:t xml:space="preserve"> </w:t>
      </w:r>
      <w:r w:rsidRPr="005C7730">
        <w:rPr>
          <w:rFonts w:asciiTheme="majorHAnsi" w:hAnsiTheme="majorHAnsi"/>
        </w:rPr>
        <w:t>access</w:t>
      </w:r>
      <w:r w:rsidRPr="005C7730" w:rsidR="004F6660">
        <w:rPr>
          <w:rFonts w:asciiTheme="majorHAnsi" w:hAnsiTheme="majorHAnsi"/>
        </w:rPr>
        <w:t xml:space="preserve"> (with regulatory approval</w:t>
      </w:r>
      <w:r w:rsidRPr="005C7730" w:rsidR="00640607">
        <w:rPr>
          <w:rStyle w:val="FootnoteReference"/>
          <w:rFonts w:asciiTheme="majorHAnsi" w:hAnsiTheme="majorHAnsi"/>
        </w:rPr>
        <w:footnoteReference w:id="5"/>
      </w:r>
      <w:r w:rsidRPr="005C7730" w:rsidR="004F6660">
        <w:rPr>
          <w:rFonts w:asciiTheme="majorHAnsi" w:hAnsiTheme="majorHAnsi"/>
        </w:rPr>
        <w:t>)</w:t>
      </w:r>
      <w:r w:rsidRPr="005C7730">
        <w:rPr>
          <w:rFonts w:asciiTheme="majorHAnsi" w:hAnsiTheme="majorHAnsi"/>
        </w:rPr>
        <w:t xml:space="preserve"> to </w:t>
      </w:r>
      <w:r w:rsidRPr="005C7730" w:rsidR="00605939">
        <w:rPr>
          <w:rFonts w:asciiTheme="majorHAnsi" w:hAnsiTheme="majorHAnsi"/>
        </w:rPr>
        <w:t xml:space="preserve">anonymised </w:t>
      </w:r>
      <w:r w:rsidRPr="005C7730">
        <w:rPr>
          <w:rFonts w:asciiTheme="majorHAnsi" w:hAnsiTheme="majorHAnsi"/>
        </w:rPr>
        <w:t xml:space="preserve">smart meter </w:t>
      </w:r>
      <w:r w:rsidRPr="005C7730" w:rsidR="00605939">
        <w:rPr>
          <w:rFonts w:asciiTheme="majorHAnsi" w:hAnsiTheme="majorHAnsi"/>
        </w:rPr>
        <w:t>‘</w:t>
      </w:r>
      <w:r w:rsidRPr="005C7730">
        <w:rPr>
          <w:rFonts w:asciiTheme="majorHAnsi" w:hAnsiTheme="majorHAnsi"/>
        </w:rPr>
        <w:t>system data</w:t>
      </w:r>
      <w:r w:rsidRPr="005C7730" w:rsidR="00605939">
        <w:rPr>
          <w:rFonts w:asciiTheme="majorHAnsi" w:hAnsiTheme="majorHAnsi"/>
        </w:rPr>
        <w:t xml:space="preserve">’, relating to pre-payment meter transactions </w:t>
      </w:r>
      <w:r w:rsidRPr="005C7730" w:rsidR="004F6660">
        <w:rPr>
          <w:rFonts w:asciiTheme="majorHAnsi" w:hAnsiTheme="majorHAnsi"/>
        </w:rPr>
        <w:t>and ‘self-disconnections’</w:t>
      </w:r>
      <w:r w:rsidR="004166E3">
        <w:rPr>
          <w:rFonts w:asciiTheme="majorHAnsi" w:hAnsiTheme="majorHAnsi"/>
        </w:rPr>
        <w:t xml:space="preserve">.  This data will be accessed by </w:t>
      </w:r>
      <w:r w:rsidRPr="005C7730" w:rsidR="004F6660">
        <w:rPr>
          <w:rFonts w:asciiTheme="majorHAnsi" w:hAnsiTheme="majorHAnsi"/>
        </w:rPr>
        <w:t xml:space="preserve">11 organisations, primarily, local authorities, </w:t>
      </w:r>
      <w:r w:rsidRPr="005C7730" w:rsidR="00BB3830">
        <w:rPr>
          <w:rFonts w:asciiTheme="majorHAnsi" w:hAnsiTheme="majorHAnsi"/>
        </w:rPr>
        <w:t xml:space="preserve">charities and academia, to help improve the accuracy and efficiency of fuel </w:t>
      </w:r>
      <w:r w:rsidRPr="005C7730" w:rsidR="009F3255">
        <w:rPr>
          <w:rFonts w:asciiTheme="majorHAnsi" w:hAnsiTheme="majorHAnsi"/>
        </w:rPr>
        <w:t>poverty intervention schemes.</w:t>
      </w:r>
    </w:p>
    <w:p w:rsidRPr="005C7730" w:rsidR="00A60AA4" w:rsidP="00A60AA4" w:rsidRDefault="009F3255" w14:paraId="527F0B44" w14:textId="2EAA07E9">
      <w:pPr>
        <w:pStyle w:val="ListParagraph"/>
        <w:numPr>
          <w:ilvl w:val="0"/>
          <w:numId w:val="19"/>
        </w:numPr>
        <w:rPr>
          <w:rFonts w:asciiTheme="majorHAnsi" w:hAnsiTheme="majorHAnsi"/>
        </w:rPr>
      </w:pPr>
      <w:r w:rsidRPr="005C7730">
        <w:rPr>
          <w:rFonts w:asciiTheme="majorHAnsi" w:hAnsiTheme="majorHAnsi"/>
        </w:rPr>
        <w:t>Exploring, through the Strategic Innovation Fund ‘VIVID’ project</w:t>
      </w:r>
      <w:r w:rsidRPr="005C7730" w:rsidR="00640607">
        <w:rPr>
          <w:rStyle w:val="FootnoteReference"/>
          <w:rFonts w:asciiTheme="majorHAnsi" w:hAnsiTheme="majorHAnsi"/>
        </w:rPr>
        <w:footnoteReference w:id="6"/>
      </w:r>
      <w:r w:rsidRPr="005C7730">
        <w:rPr>
          <w:rFonts w:asciiTheme="majorHAnsi" w:hAnsiTheme="majorHAnsi"/>
        </w:rPr>
        <w:t xml:space="preserve"> the potential for alignment between smart meter system data, consumption data and other local authority data-sets to help identify and support vulnerable households</w:t>
      </w:r>
      <w:r w:rsidR="004166E3">
        <w:rPr>
          <w:rFonts w:asciiTheme="majorHAnsi" w:hAnsiTheme="majorHAnsi"/>
        </w:rPr>
        <w:t>.</w:t>
      </w:r>
    </w:p>
    <w:p w:rsidRPr="005C7730" w:rsidR="009F3255" w:rsidP="009F3255" w:rsidRDefault="009F3255" w14:paraId="4EB9B9D9" w14:textId="0F5C09E2">
      <w:pPr>
        <w:pStyle w:val="ListParagraph"/>
        <w:numPr>
          <w:ilvl w:val="0"/>
          <w:numId w:val="19"/>
        </w:numPr>
        <w:rPr>
          <w:rFonts w:asciiTheme="majorHAnsi" w:hAnsiTheme="majorHAnsi"/>
        </w:rPr>
      </w:pPr>
      <w:r w:rsidRPr="005C7730">
        <w:rPr>
          <w:rFonts w:asciiTheme="majorHAnsi" w:hAnsiTheme="majorHAnsi"/>
        </w:rPr>
        <w:t>Establishing the potential for backhaul of data from temperature and humidity sensors through the smart metering system</w:t>
      </w:r>
      <w:r w:rsidRPr="005C7730" w:rsidR="00432FCE">
        <w:rPr>
          <w:rFonts w:asciiTheme="majorHAnsi" w:hAnsiTheme="majorHAnsi"/>
        </w:rPr>
        <w:t>, which holds potential to</w:t>
      </w:r>
      <w:r w:rsidRPr="005C7730" w:rsidR="00A22C6D">
        <w:rPr>
          <w:rFonts w:asciiTheme="majorHAnsi" w:hAnsiTheme="majorHAnsi"/>
        </w:rPr>
        <w:t xml:space="preserve"> help identify and mitigate the risks of self-rationing and </w:t>
      </w:r>
      <w:r w:rsidRPr="005C7730" w:rsidR="00803FAC">
        <w:rPr>
          <w:rFonts w:asciiTheme="majorHAnsi" w:hAnsiTheme="majorHAnsi"/>
        </w:rPr>
        <w:t>chronic under-heating of home</w:t>
      </w:r>
      <w:r w:rsidR="003B2361">
        <w:rPr>
          <w:rFonts w:asciiTheme="majorHAnsi" w:hAnsiTheme="majorHAnsi"/>
        </w:rPr>
        <w:t xml:space="preserve"> – which contributes to </w:t>
      </w:r>
      <w:r w:rsidR="002D0043">
        <w:rPr>
          <w:rFonts w:asciiTheme="majorHAnsi" w:hAnsiTheme="majorHAnsi"/>
        </w:rPr>
        <w:t>an additional cost of £900m pa</w:t>
      </w:r>
      <w:r w:rsidR="00D4792A">
        <w:rPr>
          <w:rFonts w:asciiTheme="majorHAnsi" w:hAnsiTheme="majorHAnsi"/>
        </w:rPr>
        <w:t xml:space="preserve"> on the NHS</w:t>
      </w:r>
      <w:r w:rsidR="00D4792A">
        <w:rPr>
          <w:rStyle w:val="FootnoteReference"/>
          <w:rFonts w:asciiTheme="majorHAnsi" w:hAnsiTheme="majorHAnsi"/>
        </w:rPr>
        <w:footnoteReference w:id="7"/>
      </w:r>
      <w:r w:rsidR="00D4792A">
        <w:rPr>
          <w:rFonts w:asciiTheme="majorHAnsi" w:hAnsiTheme="majorHAnsi"/>
        </w:rPr>
        <w:t xml:space="preserve">. </w:t>
      </w:r>
    </w:p>
    <w:p w:rsidR="00C93724" w:rsidP="00C93724" w:rsidRDefault="00E820A7" w14:paraId="02B8A8EF" w14:textId="202986AB">
      <w:pPr>
        <w:ind w:left="709"/>
      </w:pPr>
      <w:r>
        <w:t>In context with</w:t>
      </w:r>
      <w:r w:rsidR="00602190">
        <w:t xml:space="preserve"> co</w:t>
      </w:r>
      <w:r w:rsidR="00C93724">
        <w:t xml:space="preserve">nsumer consent, considerations emerging from these projects include: </w:t>
      </w:r>
    </w:p>
    <w:p w:rsidRPr="005C7730" w:rsidR="0071450D" w:rsidP="00C93724" w:rsidRDefault="0071450D" w14:paraId="018292F1" w14:textId="603EAE36">
      <w:pPr>
        <w:pStyle w:val="ListParagraph"/>
        <w:numPr>
          <w:ilvl w:val="0"/>
          <w:numId w:val="19"/>
        </w:numPr>
        <w:rPr>
          <w:rFonts w:asciiTheme="majorHAnsi" w:hAnsiTheme="majorHAnsi"/>
        </w:rPr>
      </w:pPr>
      <w:r w:rsidRPr="005C7730">
        <w:rPr>
          <w:rFonts w:asciiTheme="majorHAnsi" w:hAnsiTheme="majorHAnsi"/>
        </w:rPr>
        <w:t xml:space="preserve">The need for more holistic data governance for public benefit use cases that are reliant </w:t>
      </w:r>
      <w:r w:rsidRPr="005C7730" w:rsidR="00487EF0">
        <w:rPr>
          <w:rFonts w:asciiTheme="majorHAnsi" w:hAnsiTheme="majorHAnsi"/>
        </w:rPr>
        <w:t xml:space="preserve">on access to aggregated smart meter data (whether system or consumption). </w:t>
      </w:r>
      <w:r w:rsidRPr="005C7730" w:rsidR="00FF4ABE">
        <w:rPr>
          <w:rFonts w:asciiTheme="majorHAnsi" w:hAnsiTheme="majorHAnsi"/>
        </w:rPr>
        <w:t>This requires complex alignment of data compliance obligation</w:t>
      </w:r>
      <w:r w:rsidRPr="005C7730" w:rsidR="007E07B7">
        <w:rPr>
          <w:rFonts w:asciiTheme="majorHAnsi" w:hAnsiTheme="majorHAnsi"/>
        </w:rPr>
        <w:t xml:space="preserve">s across energy suppliers and recipient organisations.  A </w:t>
      </w:r>
      <w:r w:rsidRPr="005C7730" w:rsidR="006A6EAF">
        <w:rPr>
          <w:rFonts w:asciiTheme="majorHAnsi" w:hAnsiTheme="majorHAnsi"/>
        </w:rPr>
        <w:t>longer-term</w:t>
      </w:r>
      <w:r w:rsidRPr="005C7730" w:rsidR="007E07B7">
        <w:rPr>
          <w:rFonts w:asciiTheme="majorHAnsi" w:hAnsiTheme="majorHAnsi"/>
        </w:rPr>
        <w:t xml:space="preserve"> solution</w:t>
      </w:r>
      <w:r w:rsidRPr="005C7730" w:rsidR="006A6EAF">
        <w:rPr>
          <w:rFonts w:asciiTheme="majorHAnsi" w:hAnsiTheme="majorHAnsi"/>
        </w:rPr>
        <w:t>, as recommended in Data for Good, (</w:t>
      </w:r>
      <w:r w:rsidRPr="005C7730" w:rsidR="007E07B7">
        <w:rPr>
          <w:rFonts w:asciiTheme="majorHAnsi" w:hAnsiTheme="majorHAnsi"/>
        </w:rPr>
        <w:t>noting the</w:t>
      </w:r>
      <w:r w:rsidRPr="005C7730" w:rsidR="00175708">
        <w:rPr>
          <w:rFonts w:asciiTheme="majorHAnsi" w:hAnsiTheme="majorHAnsi"/>
        </w:rPr>
        <w:t xml:space="preserve"> recent</w:t>
      </w:r>
      <w:r w:rsidRPr="005C7730" w:rsidR="007E07B7">
        <w:rPr>
          <w:rFonts w:asciiTheme="majorHAnsi" w:hAnsiTheme="majorHAnsi"/>
        </w:rPr>
        <w:t xml:space="preserve"> formation of </w:t>
      </w:r>
      <w:r w:rsidRPr="005C7730" w:rsidR="00175708">
        <w:rPr>
          <w:rFonts w:asciiTheme="majorHAnsi" w:hAnsiTheme="majorHAnsi"/>
        </w:rPr>
        <w:t>the SEC data privacy</w:t>
      </w:r>
      <w:r w:rsidRPr="005C7730" w:rsidR="00F36ADF">
        <w:rPr>
          <w:rFonts w:asciiTheme="majorHAnsi" w:hAnsiTheme="majorHAnsi"/>
        </w:rPr>
        <w:t xml:space="preserve"> sub-committee) may be the development</w:t>
      </w:r>
      <w:r w:rsidRPr="005C7730" w:rsidR="007B4635">
        <w:rPr>
          <w:rFonts w:asciiTheme="majorHAnsi" w:hAnsiTheme="majorHAnsi"/>
        </w:rPr>
        <w:t xml:space="preserve"> of a data trust / data institution that assumes central responsibility</w:t>
      </w:r>
      <w:r w:rsidRPr="005C7730" w:rsidR="00013BE2">
        <w:rPr>
          <w:rFonts w:asciiTheme="majorHAnsi" w:hAnsiTheme="majorHAnsi"/>
        </w:rPr>
        <w:t xml:space="preserve"> and liability for </w:t>
      </w:r>
      <w:r w:rsidRPr="005C7730" w:rsidR="00457168">
        <w:rPr>
          <w:rFonts w:asciiTheme="majorHAnsi" w:hAnsiTheme="majorHAnsi"/>
        </w:rPr>
        <w:t xml:space="preserve">public benefit use cases. </w:t>
      </w:r>
    </w:p>
    <w:p w:rsidRPr="005C7730" w:rsidR="00F82291" w:rsidP="00C93724" w:rsidRDefault="00F82291" w14:paraId="29DD7AEA" w14:textId="7369C0DB">
      <w:pPr>
        <w:pStyle w:val="ListParagraph"/>
        <w:numPr>
          <w:ilvl w:val="0"/>
          <w:numId w:val="19"/>
        </w:numPr>
        <w:rPr>
          <w:rFonts w:asciiTheme="majorHAnsi" w:hAnsiTheme="majorHAnsi"/>
        </w:rPr>
      </w:pPr>
      <w:r w:rsidRPr="005C7730">
        <w:rPr>
          <w:rFonts w:asciiTheme="majorHAnsi" w:hAnsiTheme="majorHAnsi"/>
        </w:rPr>
        <w:t xml:space="preserve">Consideration of the consumer relationship </w:t>
      </w:r>
      <w:r w:rsidRPr="005C7730" w:rsidR="00066C6E">
        <w:rPr>
          <w:rFonts w:asciiTheme="majorHAnsi" w:hAnsiTheme="majorHAnsi"/>
        </w:rPr>
        <w:t>with energy suppliers</w:t>
      </w:r>
      <w:r w:rsidRPr="005C7730" w:rsidR="00C22AA1">
        <w:rPr>
          <w:rFonts w:asciiTheme="majorHAnsi" w:hAnsiTheme="majorHAnsi"/>
        </w:rPr>
        <w:t>.</w:t>
      </w:r>
      <w:r w:rsidRPr="005C7730" w:rsidR="00C42181">
        <w:rPr>
          <w:rFonts w:asciiTheme="majorHAnsi" w:hAnsiTheme="majorHAnsi"/>
        </w:rPr>
        <w:t xml:space="preserve"> In context with </w:t>
      </w:r>
      <w:r w:rsidRPr="005C7730" w:rsidR="006D0A81">
        <w:rPr>
          <w:rFonts w:asciiTheme="majorHAnsi" w:hAnsiTheme="majorHAnsi"/>
        </w:rPr>
        <w:t>financial</w:t>
      </w:r>
      <w:r w:rsidRPr="005C7730" w:rsidR="00C42181">
        <w:rPr>
          <w:rFonts w:asciiTheme="majorHAnsi" w:hAnsiTheme="majorHAnsi"/>
        </w:rPr>
        <w:t xml:space="preserve"> difficulty in particular,</w:t>
      </w:r>
      <w:r w:rsidRPr="005C7730" w:rsidR="00C22AA1">
        <w:rPr>
          <w:rFonts w:asciiTheme="majorHAnsi" w:hAnsiTheme="majorHAnsi"/>
        </w:rPr>
        <w:t xml:space="preserve"> </w:t>
      </w:r>
      <w:r w:rsidRPr="005C7730" w:rsidR="00C42181">
        <w:rPr>
          <w:rFonts w:asciiTheme="majorHAnsi" w:hAnsiTheme="majorHAnsi"/>
        </w:rPr>
        <w:t>g</w:t>
      </w:r>
      <w:r w:rsidRPr="005C7730" w:rsidR="00C22AA1">
        <w:rPr>
          <w:rFonts w:asciiTheme="majorHAnsi" w:hAnsiTheme="majorHAnsi"/>
        </w:rPr>
        <w:t>reater</w:t>
      </w:r>
      <w:r w:rsidR="00C30503">
        <w:rPr>
          <w:rFonts w:asciiTheme="majorHAnsi" w:hAnsiTheme="majorHAnsi"/>
        </w:rPr>
        <w:t xml:space="preserve"> levels of</w:t>
      </w:r>
      <w:r w:rsidRPr="005C7730" w:rsidR="00C22AA1">
        <w:rPr>
          <w:rFonts w:asciiTheme="majorHAnsi" w:hAnsiTheme="majorHAnsi"/>
        </w:rPr>
        <w:t xml:space="preserve"> consumer trust may be </w:t>
      </w:r>
      <w:r w:rsidR="00C30503">
        <w:rPr>
          <w:rFonts w:asciiTheme="majorHAnsi" w:hAnsiTheme="majorHAnsi"/>
        </w:rPr>
        <w:t>prevalent</w:t>
      </w:r>
      <w:r w:rsidRPr="005C7730" w:rsidR="00C42181">
        <w:rPr>
          <w:rFonts w:asciiTheme="majorHAnsi" w:hAnsiTheme="majorHAnsi"/>
        </w:rPr>
        <w:t xml:space="preserve"> with organisations other th</w:t>
      </w:r>
      <w:r w:rsidRPr="005C7730" w:rsidR="00385DD3">
        <w:rPr>
          <w:rFonts w:asciiTheme="majorHAnsi" w:hAnsiTheme="majorHAnsi"/>
        </w:rPr>
        <w:t>an energy suppliers</w:t>
      </w:r>
      <w:r w:rsidRPr="005C7730" w:rsidR="00895D5C">
        <w:rPr>
          <w:rFonts w:asciiTheme="majorHAnsi" w:hAnsiTheme="majorHAnsi"/>
        </w:rPr>
        <w:t xml:space="preserve"> (local authorities</w:t>
      </w:r>
      <w:r w:rsidR="004038EA">
        <w:rPr>
          <w:rFonts w:asciiTheme="majorHAnsi" w:hAnsiTheme="majorHAnsi"/>
        </w:rPr>
        <w:t xml:space="preserve">, </w:t>
      </w:r>
      <w:r w:rsidRPr="005C7730" w:rsidR="00895D5C">
        <w:rPr>
          <w:rFonts w:asciiTheme="majorHAnsi" w:hAnsiTheme="majorHAnsi"/>
        </w:rPr>
        <w:t xml:space="preserve">charities and </w:t>
      </w:r>
      <w:r w:rsidR="004038EA">
        <w:rPr>
          <w:rFonts w:asciiTheme="majorHAnsi" w:hAnsiTheme="majorHAnsi"/>
        </w:rPr>
        <w:t>independent bodies</w:t>
      </w:r>
      <w:r w:rsidRPr="005C7730" w:rsidR="00895D5C">
        <w:rPr>
          <w:rFonts w:asciiTheme="majorHAnsi" w:hAnsiTheme="majorHAnsi"/>
        </w:rPr>
        <w:t xml:space="preserve"> for exam</w:t>
      </w:r>
      <w:r w:rsidR="004208F7">
        <w:rPr>
          <w:rFonts w:asciiTheme="majorHAnsi" w:hAnsiTheme="majorHAnsi"/>
        </w:rPr>
        <w:t>p</w:t>
      </w:r>
      <w:r w:rsidRPr="005C7730" w:rsidR="00895D5C">
        <w:rPr>
          <w:rFonts w:asciiTheme="majorHAnsi" w:hAnsiTheme="majorHAnsi"/>
        </w:rPr>
        <w:t xml:space="preserve">le) </w:t>
      </w:r>
      <w:r w:rsidRPr="005C7730" w:rsidR="00385DD3">
        <w:rPr>
          <w:rFonts w:asciiTheme="majorHAnsi" w:hAnsiTheme="majorHAnsi"/>
        </w:rPr>
        <w:t>and routes of engagement</w:t>
      </w:r>
      <w:r w:rsidRPr="005C7730" w:rsidR="00895D5C">
        <w:rPr>
          <w:rFonts w:asciiTheme="majorHAnsi" w:hAnsiTheme="majorHAnsi"/>
        </w:rPr>
        <w:t xml:space="preserve">, consent </w:t>
      </w:r>
      <w:r w:rsidRPr="005C7730" w:rsidR="00385DD3">
        <w:rPr>
          <w:rFonts w:asciiTheme="majorHAnsi" w:hAnsiTheme="majorHAnsi"/>
        </w:rPr>
        <w:t xml:space="preserve">capture </w:t>
      </w:r>
      <w:r w:rsidRPr="005C7730" w:rsidR="00895D5C">
        <w:rPr>
          <w:rFonts w:asciiTheme="majorHAnsi" w:hAnsiTheme="majorHAnsi"/>
        </w:rPr>
        <w:t>and flow of consent data between parties will be key to enabling impact.</w:t>
      </w:r>
    </w:p>
    <w:p w:rsidRPr="005C7730" w:rsidR="000B21E8" w:rsidP="00C93724" w:rsidRDefault="000B21E8" w14:paraId="19884A0F" w14:textId="19F27176">
      <w:pPr>
        <w:pStyle w:val="ListParagraph"/>
        <w:numPr>
          <w:ilvl w:val="0"/>
          <w:numId w:val="19"/>
        </w:numPr>
        <w:rPr>
          <w:rFonts w:asciiTheme="majorHAnsi" w:hAnsiTheme="majorHAnsi"/>
        </w:rPr>
      </w:pPr>
      <w:r w:rsidRPr="005C7730">
        <w:rPr>
          <w:rFonts w:asciiTheme="majorHAnsi" w:hAnsiTheme="majorHAnsi"/>
        </w:rPr>
        <w:t xml:space="preserve">In context with the VIVID project; </w:t>
      </w:r>
    </w:p>
    <w:p w:rsidRPr="005C7730" w:rsidR="000B21E8" w:rsidP="000B21E8" w:rsidRDefault="00DB2ACE" w14:paraId="230FD94C" w14:textId="04BA8914">
      <w:pPr>
        <w:pStyle w:val="ListParagraph"/>
        <w:numPr>
          <w:ilvl w:val="1"/>
          <w:numId w:val="19"/>
        </w:numPr>
        <w:rPr>
          <w:rFonts w:asciiTheme="majorHAnsi" w:hAnsiTheme="majorHAnsi"/>
        </w:rPr>
      </w:pPr>
      <w:r>
        <w:rPr>
          <w:rFonts w:asciiTheme="majorHAnsi" w:hAnsiTheme="majorHAnsi"/>
        </w:rPr>
        <w:t>A registered</w:t>
      </w:r>
      <w:r w:rsidR="00DE5550">
        <w:rPr>
          <w:rFonts w:asciiTheme="majorHAnsi" w:hAnsiTheme="majorHAnsi"/>
        </w:rPr>
        <w:t xml:space="preserve"> DCC Other User ha</w:t>
      </w:r>
      <w:r>
        <w:rPr>
          <w:rFonts w:asciiTheme="majorHAnsi" w:hAnsiTheme="majorHAnsi"/>
        </w:rPr>
        <w:t>s</w:t>
      </w:r>
      <w:r w:rsidRPr="005C7730" w:rsidR="0093291B">
        <w:rPr>
          <w:rFonts w:asciiTheme="majorHAnsi" w:hAnsiTheme="majorHAnsi"/>
        </w:rPr>
        <w:t xml:space="preserve"> been required to </w:t>
      </w:r>
      <w:r w:rsidRPr="005C7730" w:rsidR="00B7207B">
        <w:rPr>
          <w:rFonts w:asciiTheme="majorHAnsi" w:hAnsiTheme="majorHAnsi"/>
        </w:rPr>
        <w:t>undertake a further privacy audit to reflect</w:t>
      </w:r>
      <w:r w:rsidRPr="005C7730" w:rsidR="00EF3265">
        <w:rPr>
          <w:rFonts w:asciiTheme="majorHAnsi" w:hAnsiTheme="majorHAnsi"/>
        </w:rPr>
        <w:t xml:space="preserve"> </w:t>
      </w:r>
      <w:r w:rsidRPr="005C7730" w:rsidR="008F3290">
        <w:rPr>
          <w:rFonts w:asciiTheme="majorHAnsi" w:hAnsiTheme="majorHAnsi"/>
        </w:rPr>
        <w:t>p</w:t>
      </w:r>
      <w:r w:rsidR="005C7730">
        <w:rPr>
          <w:rFonts w:asciiTheme="majorHAnsi" w:hAnsiTheme="majorHAnsi"/>
        </w:rPr>
        <w:t xml:space="preserve">roposed </w:t>
      </w:r>
      <w:r w:rsidRPr="005C7730" w:rsidR="008F3290">
        <w:rPr>
          <w:rFonts w:asciiTheme="majorHAnsi" w:hAnsiTheme="majorHAnsi"/>
        </w:rPr>
        <w:t xml:space="preserve">changes in consent capture required to meet the project approach. </w:t>
      </w:r>
      <w:r w:rsidRPr="005C7730" w:rsidR="002E0030">
        <w:rPr>
          <w:rFonts w:asciiTheme="majorHAnsi" w:hAnsiTheme="majorHAnsi"/>
        </w:rPr>
        <w:t xml:space="preserve">Whilst understandable, there appears insufficient flexibility in the process to enable </w:t>
      </w:r>
      <w:r w:rsidRPr="005C7730" w:rsidR="00041472">
        <w:rPr>
          <w:rFonts w:asciiTheme="majorHAnsi" w:hAnsiTheme="majorHAnsi"/>
        </w:rPr>
        <w:t xml:space="preserve">this audit to take place within the timeframe of the current </w:t>
      </w:r>
      <w:r w:rsidRPr="005C7730" w:rsidR="0073199D">
        <w:rPr>
          <w:rFonts w:asciiTheme="majorHAnsi" w:hAnsiTheme="majorHAnsi"/>
        </w:rPr>
        <w:t>6-month</w:t>
      </w:r>
      <w:r w:rsidRPr="005C7730" w:rsidR="00041472">
        <w:rPr>
          <w:rFonts w:asciiTheme="majorHAnsi" w:hAnsiTheme="majorHAnsi"/>
        </w:rPr>
        <w:t xml:space="preserve"> Alpha phase of the project.</w:t>
      </w:r>
      <w:r w:rsidR="004208F7">
        <w:rPr>
          <w:rFonts w:asciiTheme="majorHAnsi" w:hAnsiTheme="majorHAnsi"/>
        </w:rPr>
        <w:tab/>
      </w:r>
    </w:p>
    <w:p w:rsidRPr="005C7730" w:rsidR="00C93724" w:rsidP="000B21E8" w:rsidRDefault="00F20672" w14:paraId="0B06DAF7" w14:textId="5D19D2B3">
      <w:pPr>
        <w:pStyle w:val="ListParagraph"/>
        <w:numPr>
          <w:ilvl w:val="1"/>
          <w:numId w:val="19"/>
        </w:numPr>
        <w:rPr>
          <w:rFonts w:asciiTheme="majorHAnsi" w:hAnsiTheme="majorHAnsi"/>
        </w:rPr>
      </w:pPr>
      <w:r w:rsidRPr="005C7730">
        <w:rPr>
          <w:rFonts w:asciiTheme="majorHAnsi" w:hAnsiTheme="majorHAnsi"/>
        </w:rPr>
        <w:t>The i</w:t>
      </w:r>
      <w:r w:rsidRPr="005C7730" w:rsidR="00251B18">
        <w:rPr>
          <w:rFonts w:asciiTheme="majorHAnsi" w:hAnsiTheme="majorHAnsi"/>
        </w:rPr>
        <w:t xml:space="preserve">mportance of exploring </w:t>
      </w:r>
      <w:r w:rsidRPr="005C7730" w:rsidR="00230A4E">
        <w:rPr>
          <w:rFonts w:asciiTheme="majorHAnsi" w:hAnsiTheme="majorHAnsi"/>
        </w:rPr>
        <w:t xml:space="preserve">other lawful bases </w:t>
      </w:r>
      <w:r w:rsidRPr="005C7730" w:rsidR="00495E20">
        <w:rPr>
          <w:rFonts w:asciiTheme="majorHAnsi" w:hAnsiTheme="majorHAnsi"/>
        </w:rPr>
        <w:t xml:space="preserve">for data processing. </w:t>
      </w:r>
      <w:r w:rsidRPr="005C7730">
        <w:rPr>
          <w:rFonts w:asciiTheme="majorHAnsi" w:hAnsiTheme="majorHAnsi"/>
        </w:rPr>
        <w:t xml:space="preserve">At present, explicit consent is the only </w:t>
      </w:r>
      <w:r w:rsidRPr="005C7730" w:rsidR="00F00663">
        <w:rPr>
          <w:rFonts w:asciiTheme="majorHAnsi" w:hAnsiTheme="majorHAnsi"/>
        </w:rPr>
        <w:t>mechanis</w:t>
      </w:r>
      <w:r w:rsidRPr="005C7730" w:rsidR="00415B2B">
        <w:rPr>
          <w:rFonts w:asciiTheme="majorHAnsi" w:hAnsiTheme="majorHAnsi"/>
        </w:rPr>
        <w:t xml:space="preserve">m allowable under the smart meter data privacy framework. </w:t>
      </w:r>
      <w:r w:rsidRPr="005C7730" w:rsidR="00AA37A8">
        <w:rPr>
          <w:rFonts w:asciiTheme="majorHAnsi" w:hAnsiTheme="majorHAnsi"/>
        </w:rPr>
        <w:t xml:space="preserve">Whilst the original rationale for this is understandable, the position </w:t>
      </w:r>
      <w:r w:rsidRPr="005C7730" w:rsidR="00415B2B">
        <w:rPr>
          <w:rFonts w:asciiTheme="majorHAnsi" w:hAnsiTheme="majorHAnsi"/>
        </w:rPr>
        <w:t>is misaligne</w:t>
      </w:r>
      <w:r w:rsidRPr="005C7730" w:rsidR="00AA37A8">
        <w:rPr>
          <w:rFonts w:asciiTheme="majorHAnsi" w:hAnsiTheme="majorHAnsi"/>
        </w:rPr>
        <w:t xml:space="preserve">d with </w:t>
      </w:r>
      <w:r w:rsidRPr="005C7730" w:rsidR="00C02E2E">
        <w:rPr>
          <w:rFonts w:asciiTheme="majorHAnsi" w:hAnsiTheme="majorHAnsi"/>
        </w:rPr>
        <w:t>GDPR,</w:t>
      </w:r>
      <w:r w:rsidRPr="005C7730" w:rsidR="00AA37A8">
        <w:rPr>
          <w:rFonts w:asciiTheme="majorHAnsi" w:hAnsiTheme="majorHAnsi"/>
        </w:rPr>
        <w:t xml:space="preserve"> and</w:t>
      </w:r>
      <w:r w:rsidR="00C30503">
        <w:rPr>
          <w:rFonts w:asciiTheme="majorHAnsi" w:hAnsiTheme="majorHAnsi"/>
        </w:rPr>
        <w:t xml:space="preserve"> other</w:t>
      </w:r>
      <w:r w:rsidR="00C02E2E">
        <w:rPr>
          <w:rFonts w:asciiTheme="majorHAnsi" w:hAnsiTheme="majorHAnsi"/>
        </w:rPr>
        <w:t xml:space="preserve"> channels of</w:t>
      </w:r>
      <w:r w:rsidRPr="005C7730" w:rsidR="00AA37A8">
        <w:rPr>
          <w:rFonts w:asciiTheme="majorHAnsi" w:hAnsiTheme="majorHAnsi"/>
        </w:rPr>
        <w:t xml:space="preserve"> </w:t>
      </w:r>
      <w:r w:rsidRPr="005C7730" w:rsidR="00A52F0E">
        <w:rPr>
          <w:rFonts w:asciiTheme="majorHAnsi" w:hAnsiTheme="majorHAnsi"/>
        </w:rPr>
        <w:t xml:space="preserve">vulnerability </w:t>
      </w:r>
      <w:r w:rsidRPr="005C7730" w:rsidR="00BF5D0C">
        <w:rPr>
          <w:rFonts w:asciiTheme="majorHAnsi" w:hAnsiTheme="majorHAnsi"/>
        </w:rPr>
        <w:t xml:space="preserve">support provided in the public sector. </w:t>
      </w:r>
    </w:p>
    <w:p w:rsidR="00A907BE" w:rsidP="00A907BE" w:rsidRDefault="00BF5D0C" w14:paraId="4BB4799D" w14:textId="77777777">
      <w:pPr>
        <w:pStyle w:val="ListParagraph"/>
        <w:numPr>
          <w:ilvl w:val="0"/>
          <w:numId w:val="19"/>
        </w:numPr>
        <w:rPr>
          <w:rFonts w:asciiTheme="majorHAnsi" w:hAnsiTheme="majorHAnsi"/>
        </w:rPr>
      </w:pPr>
      <w:r w:rsidRPr="005C7730">
        <w:rPr>
          <w:rFonts w:asciiTheme="majorHAnsi" w:hAnsiTheme="majorHAnsi"/>
        </w:rPr>
        <w:t>Ensuring any</w:t>
      </w:r>
      <w:r w:rsidRPr="005C7730" w:rsidR="00143F2D">
        <w:rPr>
          <w:rFonts w:asciiTheme="majorHAnsi" w:hAnsiTheme="majorHAnsi"/>
        </w:rPr>
        <w:t xml:space="preserve"> flow of data from additional devices via the smart meter system</w:t>
      </w:r>
      <w:r w:rsidR="00C02E2E">
        <w:rPr>
          <w:rFonts w:asciiTheme="majorHAnsi" w:hAnsiTheme="majorHAnsi"/>
        </w:rPr>
        <w:t xml:space="preserve"> (temperature and humidity data for example)</w:t>
      </w:r>
      <w:r w:rsidRPr="005C7730" w:rsidR="00143F2D">
        <w:rPr>
          <w:rFonts w:asciiTheme="majorHAnsi" w:hAnsiTheme="majorHAnsi"/>
        </w:rPr>
        <w:t xml:space="preserve"> is aligned both with future</w:t>
      </w:r>
      <w:r w:rsidRPr="005C7730">
        <w:rPr>
          <w:rFonts w:asciiTheme="majorHAnsi" w:hAnsiTheme="majorHAnsi"/>
        </w:rPr>
        <w:t xml:space="preserve"> consumer consent </w:t>
      </w:r>
      <w:r w:rsidRPr="005C7730" w:rsidR="00143F2D">
        <w:rPr>
          <w:rFonts w:asciiTheme="majorHAnsi" w:hAnsiTheme="majorHAnsi"/>
        </w:rPr>
        <w:t xml:space="preserve">solutions and accessible </w:t>
      </w:r>
      <w:r w:rsidR="00E74EA4">
        <w:rPr>
          <w:rFonts w:asciiTheme="majorHAnsi" w:hAnsiTheme="majorHAnsi"/>
        </w:rPr>
        <w:t>in</w:t>
      </w:r>
      <w:r w:rsidRPr="005C7730" w:rsidR="00143F2D">
        <w:rPr>
          <w:rFonts w:asciiTheme="majorHAnsi" w:hAnsiTheme="majorHAnsi"/>
        </w:rPr>
        <w:t xml:space="preserve"> aggregate</w:t>
      </w:r>
      <w:r w:rsidR="00E74EA4">
        <w:rPr>
          <w:rFonts w:asciiTheme="majorHAnsi" w:hAnsiTheme="majorHAnsi"/>
        </w:rPr>
        <w:t>d,</w:t>
      </w:r>
      <w:r w:rsidRPr="005C7730" w:rsidR="00143F2D">
        <w:rPr>
          <w:rFonts w:asciiTheme="majorHAnsi" w:hAnsiTheme="majorHAnsi"/>
        </w:rPr>
        <w:t xml:space="preserve"> anonymised</w:t>
      </w:r>
      <w:r w:rsidR="00C02E2E">
        <w:rPr>
          <w:rFonts w:asciiTheme="majorHAnsi" w:hAnsiTheme="majorHAnsi"/>
        </w:rPr>
        <w:t xml:space="preserve"> form</w:t>
      </w:r>
      <w:r w:rsidRPr="005C7730" w:rsidR="00143F2D">
        <w:rPr>
          <w:rFonts w:asciiTheme="majorHAnsi" w:hAnsiTheme="majorHAnsi"/>
        </w:rPr>
        <w:t xml:space="preserve"> to support the broadest array of public benefit use cases.</w:t>
      </w:r>
    </w:p>
    <w:p w:rsidRPr="00A907BE" w:rsidR="00AD1A04" w:rsidP="00A907BE" w:rsidRDefault="00A907BE" w14:paraId="2333FFEC" w14:textId="1DAF8FEE">
      <w:pPr>
        <w:ind w:left="709"/>
        <w:rPr>
          <w:rFonts w:asciiTheme="majorHAnsi" w:hAnsiTheme="majorHAnsi"/>
        </w:rPr>
      </w:pPr>
      <w:r>
        <w:t xml:space="preserve">Finally, we note the call for input reference </w:t>
      </w:r>
      <w:r w:rsidR="004D563A">
        <w:t>toward energy companies and water companies sharing data as well as broader Ofgem exploration of a cross-sectoral Priority Services Register</w:t>
      </w:r>
      <w:r w:rsidR="002138C9">
        <w:t xml:space="preserve"> (PSR)</w:t>
      </w:r>
      <w:r w:rsidR="004D563A">
        <w:t xml:space="preserve">.  In context with </w:t>
      </w:r>
      <w:r w:rsidR="004F0406">
        <w:t>DCC’s operation of the Centralised Switching Service, there may be scope for consumer registration to the PSR</w:t>
      </w:r>
      <w:r w:rsidR="002138C9">
        <w:t xml:space="preserve"> </w:t>
      </w:r>
      <w:r w:rsidR="00901994">
        <w:t xml:space="preserve">to </w:t>
      </w:r>
      <w:r w:rsidR="00162B7D">
        <w:t xml:space="preserve">be transferable </w:t>
      </w:r>
      <w:r w:rsidR="00E906C1">
        <w:t>between</w:t>
      </w:r>
      <w:r w:rsidR="00212C9E">
        <w:t xml:space="preserve"> energy suppliers at the point of switch (to avoid </w:t>
      </w:r>
      <w:r w:rsidR="00BF593B">
        <w:t xml:space="preserve">the need for re-registration) and </w:t>
      </w:r>
      <w:r w:rsidR="00087EF7">
        <w:t xml:space="preserve">potentially into other utilities. </w:t>
      </w:r>
    </w:p>
    <w:p w:rsidR="00A60AA4" w:rsidP="00A60AA4" w:rsidRDefault="00EC2996" w14:paraId="2322F372" w14:textId="117C339E">
      <w:pPr>
        <w:pStyle w:val="Heading1"/>
      </w:pPr>
      <w:r>
        <w:t>Do you agree with our method and scoring of options?</w:t>
      </w:r>
    </w:p>
    <w:p w:rsidR="00693F52" w:rsidP="00C02E2E" w:rsidRDefault="00606380" w14:paraId="2BA603C7" w14:textId="77777777">
      <w:pPr>
        <w:ind w:left="709"/>
      </w:pPr>
      <w:r>
        <w:t>We</w:t>
      </w:r>
      <w:r w:rsidR="005E251B">
        <w:t xml:space="preserve"> agree with the method of scoring and the identified Critical Success Factors</w:t>
      </w:r>
      <w:r w:rsidR="00FB0FD4">
        <w:t xml:space="preserve"> (CSF)</w:t>
      </w:r>
      <w:r w:rsidR="005E251B">
        <w:t xml:space="preserve">. </w:t>
      </w:r>
      <w:r w:rsidR="002303C2">
        <w:t xml:space="preserve">However, further information on </w:t>
      </w:r>
      <w:r w:rsidR="005F71ED">
        <w:t xml:space="preserve">the </w:t>
      </w:r>
      <w:r w:rsidR="003A0B40">
        <w:t>weighting</w:t>
      </w:r>
      <w:r w:rsidR="005F71ED">
        <w:t>s</w:t>
      </w:r>
      <w:r w:rsidR="003A0B40">
        <w:t xml:space="preserve"> for each CSF</w:t>
      </w:r>
      <w:r w:rsidR="005F71ED">
        <w:t xml:space="preserve"> would be helpfu</w:t>
      </w:r>
      <w:r w:rsidR="00693F52">
        <w:t>l</w:t>
      </w:r>
      <w:r w:rsidR="003A0B40">
        <w:t>.</w:t>
      </w:r>
      <w:r w:rsidR="6A09C539">
        <w:t xml:space="preserve"> </w:t>
      </w:r>
    </w:p>
    <w:p w:rsidR="00C02E2E" w:rsidP="00C02E2E" w:rsidRDefault="000C781F" w14:paraId="63932583" w14:textId="77777777">
      <w:pPr>
        <w:ind w:left="709"/>
      </w:pPr>
      <w:r>
        <w:t>On scoring, w</w:t>
      </w:r>
      <w:r w:rsidR="005D5BC5">
        <w:t>e appreciate that this is an initial analysis which will be further informed by the responses to this Call for Input and cost-benefit analyses.</w:t>
      </w:r>
      <w:r w:rsidR="003E1058">
        <w:t xml:space="preserve"> </w:t>
      </w:r>
      <w:r w:rsidR="00C02E2E">
        <w:t>T</w:t>
      </w:r>
      <w:r w:rsidR="00504CE7">
        <w:t>he value of scoring options based on</w:t>
      </w:r>
      <w:r w:rsidR="007C33F0">
        <w:t xml:space="preserve"> costs, benefits and other considerations </w:t>
      </w:r>
      <w:r w:rsidR="00504CE7">
        <w:t xml:space="preserve">may </w:t>
      </w:r>
      <w:r w:rsidR="00C02E2E">
        <w:t xml:space="preserve">therefore be somewhat </w:t>
      </w:r>
      <w:r w:rsidR="00504CE7">
        <w:t xml:space="preserve">limited </w:t>
      </w:r>
      <w:r w:rsidR="00C02E2E">
        <w:t>un</w:t>
      </w:r>
      <w:r w:rsidR="00504CE7">
        <w:t>til further detail of options is available</w:t>
      </w:r>
      <w:r w:rsidR="00E95434">
        <w:t xml:space="preserve">, especially for criteria such as Value for Money. </w:t>
      </w:r>
    </w:p>
    <w:p w:rsidRPr="005D5BC5" w:rsidR="00DB4CDA" w:rsidP="00C02E2E" w:rsidRDefault="00504CE7" w14:paraId="1E180599" w14:textId="72DA94DC">
      <w:pPr>
        <w:ind w:left="709"/>
      </w:pPr>
      <w:r>
        <w:t xml:space="preserve">Equally, further information on the interaction between </w:t>
      </w:r>
      <w:r w:rsidR="25D9052D">
        <w:t>qualitative fee</w:t>
      </w:r>
      <w:r w:rsidR="002069D6">
        <w:t>d</w:t>
      </w:r>
      <w:r w:rsidR="25D9052D">
        <w:t>back received in response to the CfI</w:t>
      </w:r>
      <w:r w:rsidR="00096894">
        <w:t xml:space="preserve">, </w:t>
      </w:r>
      <w:r>
        <w:t>future iterations of the scoring</w:t>
      </w:r>
      <w:r w:rsidR="00096894">
        <w:t xml:space="preserve"> and Ofgem’s decision and prioritisation fo</w:t>
      </w:r>
      <w:r w:rsidR="00C02E2E">
        <w:t>r</w:t>
      </w:r>
      <w:r w:rsidR="00096894">
        <w:t xml:space="preserve"> options </w:t>
      </w:r>
      <w:r>
        <w:t>would be welcomed</w:t>
      </w:r>
      <w:r w:rsidR="00096894">
        <w:t xml:space="preserve">. </w:t>
      </w:r>
    </w:p>
    <w:p w:rsidR="00DB4CDA" w:rsidP="00C02E2E" w:rsidRDefault="00096894" w14:paraId="34DFFA68" w14:textId="3F7E679B">
      <w:pPr>
        <w:ind w:left="709"/>
      </w:pPr>
      <w:r>
        <w:t>Further</w:t>
      </w:r>
      <w:r w:rsidR="00737E8D">
        <w:t xml:space="preserve"> information </w:t>
      </w:r>
      <w:r>
        <w:t>would also be welcomed</w:t>
      </w:r>
      <w:r w:rsidR="00B9190F">
        <w:t xml:space="preserve"> on</w:t>
      </w:r>
      <w:r w:rsidR="00737E8D">
        <w:t xml:space="preserve"> each of the options </w:t>
      </w:r>
      <w:r w:rsidR="00B9190F">
        <w:t>and the rationale for scoring given. O</w:t>
      </w:r>
      <w:r w:rsidR="00E81087">
        <w:t>n speed of implementation,</w:t>
      </w:r>
      <w:r w:rsidR="00B9190F">
        <w:t xml:space="preserve"> for example,</w:t>
      </w:r>
      <w:r w:rsidR="00E81087">
        <w:t xml:space="preserve"> </w:t>
      </w:r>
      <w:r w:rsidR="00FA196B">
        <w:t>whil</w:t>
      </w:r>
      <w:r w:rsidR="00B9190F">
        <w:t>st</w:t>
      </w:r>
      <w:r w:rsidR="00FA196B">
        <w:t xml:space="preserve"> Option 2 and 3 have both </w:t>
      </w:r>
      <w:r w:rsidR="00B9190F">
        <w:t xml:space="preserve">received a </w:t>
      </w:r>
      <w:r w:rsidR="00FA196B">
        <w:t>score of 4</w:t>
      </w:r>
      <w:r w:rsidR="00E616F5">
        <w:t xml:space="preserve">, </w:t>
      </w:r>
      <w:r w:rsidR="00FA196B">
        <w:t>Option 2</w:t>
      </w:r>
      <w:r w:rsidR="00E616F5">
        <w:t>, which would be driven by</w:t>
      </w:r>
      <w:r w:rsidR="00FA196B">
        <w:t xml:space="preserve"> Ofgem</w:t>
      </w:r>
      <w:r w:rsidR="00A51CE3">
        <w:t>, with fixed timescales,</w:t>
      </w:r>
      <w:r w:rsidR="00FA196B">
        <w:t xml:space="preserve"> </w:t>
      </w:r>
      <w:r w:rsidR="00E616F5">
        <w:t xml:space="preserve">could </w:t>
      </w:r>
      <w:r w:rsidR="000922AA">
        <w:t>potentially</w:t>
      </w:r>
      <w:r w:rsidR="006C4E8F">
        <w:t xml:space="preserve"> be implemented faster than Option </w:t>
      </w:r>
      <w:r w:rsidR="3CE466E2">
        <w:t>3</w:t>
      </w:r>
      <w:r w:rsidR="006C4E8F">
        <w:t xml:space="preserve"> which will require </w:t>
      </w:r>
      <w:r w:rsidR="00391A44">
        <w:t xml:space="preserve">agreement </w:t>
      </w:r>
      <w:r w:rsidR="000922AA">
        <w:t>and alignment across multiple energy sector organisations</w:t>
      </w:r>
      <w:r w:rsidR="00C727C5">
        <w:t>, with limited levers t</w:t>
      </w:r>
      <w:r w:rsidR="00A51CE3">
        <w:t xml:space="preserve">o accelerate progress. </w:t>
      </w:r>
    </w:p>
    <w:p w:rsidRPr="004530B9" w:rsidR="00DB4CDA" w:rsidP="005A2E3E" w:rsidRDefault="00BB4A80" w14:paraId="07B403C4" w14:textId="47B43875">
      <w:pPr>
        <w:ind w:left="709"/>
      </w:pPr>
      <w:r>
        <w:t xml:space="preserve">As identified, in the CfI </w:t>
      </w:r>
      <w:r w:rsidR="00A75B25">
        <w:t>the approach would be s</w:t>
      </w:r>
      <w:r w:rsidR="00F37374">
        <w:t>imilar to the Energy Data Best Practice</w:t>
      </w:r>
      <w:r w:rsidR="007A11C4">
        <w:t>. This obligated (amongst other things) that</w:t>
      </w:r>
      <w:r w:rsidR="00D95BEF">
        <w:t xml:space="preserve"> </w:t>
      </w:r>
      <w:r w:rsidR="00F60F79">
        <w:t xml:space="preserve">distribution networks to </w:t>
      </w:r>
      <w:r w:rsidR="005A2E3E">
        <w:t>publish aggregated smart meter consumption data in an interoperable format by 28 February 2024</w:t>
      </w:r>
      <w:r w:rsidR="004530B9">
        <w:t xml:space="preserve"> </w:t>
      </w:r>
      <w:r w:rsidR="007A11C4">
        <w:t xml:space="preserve">and the degree to which this obligation is met may prove a valuable reference point. </w:t>
      </w:r>
    </w:p>
    <w:p w:rsidR="00376A8E" w:rsidP="00376A8E" w:rsidRDefault="00376A8E" w14:paraId="7AA38AF7" w14:textId="6F3C6FD5">
      <w:pPr>
        <w:pStyle w:val="Heading1"/>
      </w:pPr>
      <w:r>
        <w:t>Which of the options referenced in this chapter do you believe would be the most appropriate Consumer Consent solution, for the industry, the government, and the consumer?</w:t>
      </w:r>
    </w:p>
    <w:p w:rsidRPr="003466B2" w:rsidR="003466B2" w:rsidP="003466B2" w:rsidRDefault="00BD2189" w14:paraId="5D6022F7" w14:textId="2D147193">
      <w:pPr>
        <w:pStyle w:val="ListParagraph"/>
        <w:numPr>
          <w:ilvl w:val="0"/>
          <w:numId w:val="0"/>
        </w:numPr>
        <w:ind w:left="720"/>
        <w:rPr>
          <w:rFonts w:ascii="Lato" w:hAnsi="Lato"/>
        </w:rPr>
      </w:pPr>
      <w:r>
        <w:rPr>
          <w:rFonts w:ascii="Lato" w:hAnsi="Lato"/>
        </w:rPr>
        <w:t>B</w:t>
      </w:r>
      <w:r w:rsidR="00D30BB3">
        <w:rPr>
          <w:rFonts w:ascii="Lato" w:hAnsi="Lato"/>
        </w:rPr>
        <w:t xml:space="preserve">ased on the information presented and building on our own experience, we believe that option 1 </w:t>
      </w:r>
      <w:r w:rsidR="003466B2">
        <w:rPr>
          <w:rFonts w:ascii="Lato" w:hAnsi="Lato"/>
        </w:rPr>
        <w:t>will provide the most appropriate consumer consent solution</w:t>
      </w:r>
      <w:r w:rsidR="00E93E72">
        <w:rPr>
          <w:rFonts w:ascii="Lato" w:hAnsi="Lato"/>
        </w:rPr>
        <w:t xml:space="preserve"> for industry, government, and the consumer</w:t>
      </w:r>
      <w:r w:rsidR="003466B2">
        <w:rPr>
          <w:rFonts w:ascii="Lato" w:hAnsi="Lato"/>
        </w:rPr>
        <w:t xml:space="preserve">. </w:t>
      </w:r>
      <w:r w:rsidR="00E93E72">
        <w:rPr>
          <w:rFonts w:ascii="Lato" w:hAnsi="Lato"/>
        </w:rPr>
        <w:t>W</w:t>
      </w:r>
      <w:r w:rsidRPr="003466B2" w:rsidR="003A6803">
        <w:rPr>
          <w:rFonts w:ascii="Lato" w:hAnsi="Lato"/>
        </w:rPr>
        <w:t xml:space="preserve">e </w:t>
      </w:r>
      <w:r w:rsidRPr="003466B2" w:rsidR="00A430E0">
        <w:rPr>
          <w:rFonts w:ascii="Lato" w:hAnsi="Lato"/>
        </w:rPr>
        <w:t>would,</w:t>
      </w:r>
      <w:r w:rsidRPr="003466B2" w:rsidR="003466B2">
        <w:rPr>
          <w:rFonts w:ascii="Lato" w:hAnsi="Lato"/>
        </w:rPr>
        <w:t xml:space="preserve"> however,</w:t>
      </w:r>
      <w:r w:rsidRPr="003466B2" w:rsidR="003A6803">
        <w:rPr>
          <w:rFonts w:ascii="Lato" w:hAnsi="Lato"/>
        </w:rPr>
        <w:t xml:space="preserve"> encourage Ofgem to keep </w:t>
      </w:r>
      <w:r w:rsidRPr="003466B2" w:rsidR="003466B2">
        <w:rPr>
          <w:rFonts w:ascii="Lato" w:hAnsi="Lato"/>
        </w:rPr>
        <w:t xml:space="preserve">all </w:t>
      </w:r>
      <w:r w:rsidRPr="003466B2" w:rsidR="003A6803">
        <w:rPr>
          <w:rFonts w:ascii="Lato" w:hAnsi="Lato"/>
        </w:rPr>
        <w:t xml:space="preserve">options open </w:t>
      </w:r>
      <w:r w:rsidRPr="003466B2" w:rsidR="00D5302B">
        <w:rPr>
          <w:rFonts w:ascii="Lato" w:hAnsi="Lato"/>
        </w:rPr>
        <w:t>to ensure the benefits and</w:t>
      </w:r>
      <w:r w:rsidR="00A430E0">
        <w:rPr>
          <w:rFonts w:ascii="Lato" w:hAnsi="Lato"/>
        </w:rPr>
        <w:t xml:space="preserve"> delivery</w:t>
      </w:r>
      <w:r w:rsidRPr="003466B2" w:rsidR="00D5302B">
        <w:rPr>
          <w:rFonts w:ascii="Lato" w:hAnsi="Lato"/>
        </w:rPr>
        <w:t xml:space="preserve"> considerations are fully understood and shared with stakeholders </w:t>
      </w:r>
      <w:r w:rsidRPr="003466B2" w:rsidR="003466B2">
        <w:rPr>
          <w:rFonts w:ascii="Lato" w:hAnsi="Lato"/>
        </w:rPr>
        <w:t>in</w:t>
      </w:r>
      <w:r w:rsidRPr="003466B2" w:rsidR="001A6146">
        <w:rPr>
          <w:rFonts w:ascii="Lato" w:hAnsi="Lato"/>
        </w:rPr>
        <w:t xml:space="preserve"> </w:t>
      </w:r>
      <w:r w:rsidRPr="003466B2" w:rsidR="003466B2">
        <w:rPr>
          <w:rFonts w:ascii="Lato" w:hAnsi="Lato"/>
        </w:rPr>
        <w:t>any subsequent</w:t>
      </w:r>
      <w:r w:rsidRPr="003466B2" w:rsidR="001A6146">
        <w:rPr>
          <w:rFonts w:ascii="Lato" w:hAnsi="Lato"/>
        </w:rPr>
        <w:t xml:space="preserve"> consultation. </w:t>
      </w:r>
    </w:p>
    <w:p w:rsidRPr="00DE30D5" w:rsidR="00C94CEA" w:rsidP="00610C16" w:rsidRDefault="003466B2" w14:paraId="500B9906" w14:textId="50BD8694">
      <w:pPr>
        <w:pStyle w:val="ListParagraph"/>
        <w:numPr>
          <w:ilvl w:val="0"/>
          <w:numId w:val="0"/>
        </w:numPr>
        <w:ind w:left="720"/>
        <w:rPr>
          <w:rFonts w:ascii="Lato" w:hAnsi="Lato"/>
        </w:rPr>
      </w:pPr>
      <w:r>
        <w:rPr>
          <w:rFonts w:ascii="Lato" w:hAnsi="Lato"/>
        </w:rPr>
        <w:t xml:space="preserve">In addition, we don’t see all three options as mutually exclusive. </w:t>
      </w:r>
      <w:r w:rsidRPr="00DE30D5" w:rsidR="00252392">
        <w:rPr>
          <w:rFonts w:ascii="Lato" w:hAnsi="Lato"/>
        </w:rPr>
        <w:t>E</w:t>
      </w:r>
      <w:r w:rsidRPr="00DE30D5" w:rsidR="009A1655">
        <w:rPr>
          <w:rFonts w:ascii="Lato" w:hAnsi="Lato"/>
        </w:rPr>
        <w:t>ach option implemented will need aspects of the other options to be successful. For example, if progressing the technical solution (Option 1), aspects of the</w:t>
      </w:r>
      <w:r w:rsidR="00966B1E">
        <w:rPr>
          <w:rFonts w:ascii="Lato" w:hAnsi="Lato"/>
        </w:rPr>
        <w:t xml:space="preserve"> industry-</w:t>
      </w:r>
      <w:r w:rsidRPr="00DD51A8" w:rsidR="00966B1E">
        <w:rPr>
          <w:rFonts w:ascii="Lato" w:hAnsi="Lato"/>
        </w:rPr>
        <w:t>led approach to develop</w:t>
      </w:r>
      <w:r w:rsidRPr="00DD51A8" w:rsidR="009A1655">
        <w:rPr>
          <w:rFonts w:ascii="Lato" w:hAnsi="Lato"/>
        </w:rPr>
        <w:t xml:space="preserve"> principles </w:t>
      </w:r>
      <w:r w:rsidRPr="00DD51A8" w:rsidR="00966B1E">
        <w:rPr>
          <w:rFonts w:ascii="Lato" w:hAnsi="Lato"/>
        </w:rPr>
        <w:t>and guidelines</w:t>
      </w:r>
      <w:r w:rsidR="00966B1E">
        <w:rPr>
          <w:rFonts w:ascii="Lato" w:hAnsi="Lato"/>
        </w:rPr>
        <w:t xml:space="preserve"> proposed within </w:t>
      </w:r>
      <w:r w:rsidRPr="00DE30D5" w:rsidR="009A1655">
        <w:rPr>
          <w:rFonts w:ascii="Lato" w:hAnsi="Lato"/>
        </w:rPr>
        <w:t>Options 2 and 3 are likely to be required.</w:t>
      </w:r>
      <w:r w:rsidRPr="00DE30D5" w:rsidR="00610C16">
        <w:rPr>
          <w:rFonts w:ascii="Lato" w:hAnsi="Lato"/>
        </w:rPr>
        <w:t xml:space="preserve"> </w:t>
      </w:r>
    </w:p>
    <w:p w:rsidRPr="00DE30D5" w:rsidR="00D5302B" w:rsidP="00610C16" w:rsidRDefault="00C94CEA" w14:paraId="361052A2" w14:textId="1A9954E2">
      <w:pPr>
        <w:pStyle w:val="ListParagraph"/>
        <w:numPr>
          <w:ilvl w:val="0"/>
          <w:numId w:val="0"/>
        </w:numPr>
        <w:ind w:left="720"/>
        <w:rPr>
          <w:rFonts w:ascii="Lato" w:hAnsi="Lato"/>
        </w:rPr>
      </w:pPr>
      <w:r w:rsidRPr="00DE30D5">
        <w:rPr>
          <w:rFonts w:ascii="Lato" w:hAnsi="Lato"/>
        </w:rPr>
        <w:t>W</w:t>
      </w:r>
      <w:r w:rsidRPr="00DE30D5" w:rsidR="001A6146">
        <w:rPr>
          <w:rFonts w:ascii="Lato" w:hAnsi="Lato"/>
        </w:rPr>
        <w:t xml:space="preserve">hilst Option 1 best aligns with the </w:t>
      </w:r>
      <w:r w:rsidRPr="00DE30D5" w:rsidR="009A1655">
        <w:rPr>
          <w:rFonts w:ascii="Lato" w:hAnsi="Lato"/>
        </w:rPr>
        <w:t>taskforce’s recommendations,</w:t>
      </w:r>
      <w:r w:rsidRPr="00DE30D5" w:rsidR="00252392">
        <w:rPr>
          <w:rFonts w:ascii="Lato" w:hAnsi="Lato"/>
        </w:rPr>
        <w:t xml:space="preserve"> there may be benefits to </w:t>
      </w:r>
      <w:r w:rsidRPr="00DE30D5" w:rsidR="00CA0D75">
        <w:rPr>
          <w:rFonts w:ascii="Lato" w:hAnsi="Lato"/>
        </w:rPr>
        <w:t>developing principles around consent management and consumer engagement, contained within Option 2, before committing to Option 1</w:t>
      </w:r>
      <w:r w:rsidRPr="00DE30D5" w:rsidR="00DB18F0">
        <w:rPr>
          <w:rFonts w:ascii="Lato" w:hAnsi="Lato"/>
        </w:rPr>
        <w:t xml:space="preserve">. </w:t>
      </w:r>
      <w:r w:rsidRPr="00DE30D5" w:rsidR="007B1F98">
        <w:rPr>
          <w:rFonts w:ascii="Lato" w:hAnsi="Lato"/>
        </w:rPr>
        <w:t xml:space="preserve">The technical requirements for a consent solution (Option 1) can </w:t>
      </w:r>
      <w:r w:rsidRPr="00DE30D5" w:rsidR="00771534">
        <w:rPr>
          <w:rFonts w:ascii="Lato" w:hAnsi="Lato"/>
        </w:rPr>
        <w:t xml:space="preserve">therefore </w:t>
      </w:r>
      <w:r w:rsidRPr="00DE30D5" w:rsidR="007B1F98">
        <w:rPr>
          <w:rFonts w:ascii="Lato" w:hAnsi="Lato"/>
        </w:rPr>
        <w:t>be developed to align with the principles developed</w:t>
      </w:r>
      <w:r w:rsidRPr="00DE30D5" w:rsidR="00771534">
        <w:rPr>
          <w:rFonts w:ascii="Lato" w:hAnsi="Lato"/>
        </w:rPr>
        <w:t xml:space="preserve"> (Option 2). T</w:t>
      </w:r>
      <w:r w:rsidRPr="00DE30D5" w:rsidR="00DB18F0">
        <w:rPr>
          <w:rFonts w:ascii="Lato" w:hAnsi="Lato"/>
        </w:rPr>
        <w:t xml:space="preserve">his would </w:t>
      </w:r>
      <w:r w:rsidRPr="00DE30D5" w:rsidR="00371E05">
        <w:rPr>
          <w:rFonts w:ascii="Lato" w:hAnsi="Lato"/>
        </w:rPr>
        <w:t>help ensure the</w:t>
      </w:r>
      <w:r w:rsidRPr="00DE30D5" w:rsidR="00762444">
        <w:rPr>
          <w:rFonts w:ascii="Lato" w:hAnsi="Lato"/>
        </w:rPr>
        <w:t xml:space="preserve"> technical</w:t>
      </w:r>
      <w:r w:rsidRPr="00DE30D5" w:rsidR="00371E05">
        <w:rPr>
          <w:rFonts w:ascii="Lato" w:hAnsi="Lato"/>
        </w:rPr>
        <w:t xml:space="preserve"> solution </w:t>
      </w:r>
      <w:r w:rsidRPr="00DE30D5" w:rsidR="005A4DC1">
        <w:rPr>
          <w:rFonts w:ascii="Lato" w:hAnsi="Lato"/>
        </w:rPr>
        <w:t>has industry buy-in and is fit for purpose</w:t>
      </w:r>
      <w:r w:rsidRPr="00DE30D5" w:rsidR="00371E05">
        <w:rPr>
          <w:rFonts w:ascii="Lato" w:hAnsi="Lato"/>
        </w:rPr>
        <w:t>.</w:t>
      </w:r>
    </w:p>
    <w:p w:rsidR="003A6803" w:rsidP="00345D57" w:rsidRDefault="003A6803" w14:paraId="61293571" w14:textId="77777777"/>
    <w:p w:rsidR="00345D57" w:rsidP="00345D57" w:rsidRDefault="00B038FE" w14:paraId="30A748CD" w14:textId="137417B2">
      <w:pPr>
        <w:pStyle w:val="Heading1"/>
      </w:pPr>
      <w:r>
        <w:t>Please can you explain why you chose a specific option? Do you have any suggestions on how to improve this option?</w:t>
      </w:r>
    </w:p>
    <w:p w:rsidR="00953DC9" w:rsidP="00953DC9" w:rsidRDefault="00D2348F" w14:paraId="1A9266B6" w14:textId="1A70A910">
      <w:pPr>
        <w:ind w:left="709"/>
      </w:pPr>
      <w:r>
        <w:t xml:space="preserve">We agree with the benefits of Option 1. </w:t>
      </w:r>
      <w:r w:rsidR="0054135D">
        <w:t>A t</w:t>
      </w:r>
      <w:r w:rsidR="00FC07E2">
        <w:t xml:space="preserve">echnical consent solution is well aligned </w:t>
      </w:r>
      <w:r w:rsidR="0054135D">
        <w:t xml:space="preserve">with </w:t>
      </w:r>
      <w:r w:rsidR="00FC07E2">
        <w:t>the broader direction of travel</w:t>
      </w:r>
      <w:r w:rsidR="008200BB">
        <w:t xml:space="preserve"> for</w:t>
      </w:r>
      <w:r w:rsidRPr="008200BB" w:rsidR="008200BB">
        <w:t xml:space="preserve"> </w:t>
      </w:r>
      <w:r w:rsidR="008200BB">
        <w:t>data standardisation</w:t>
      </w:r>
      <w:r w:rsidR="00FC07E2">
        <w:t xml:space="preserve"> </w:t>
      </w:r>
      <w:r w:rsidR="008200BB">
        <w:t xml:space="preserve">and the role it will play in underpinning the </w:t>
      </w:r>
      <w:r w:rsidR="00FC07E2">
        <w:t>digitalisation of</w:t>
      </w:r>
      <w:r w:rsidR="008200BB">
        <w:t xml:space="preserve"> the</w:t>
      </w:r>
      <w:r w:rsidR="00FC07E2">
        <w:t xml:space="preserve"> energy sector</w:t>
      </w:r>
      <w:r w:rsidR="008200BB">
        <w:t xml:space="preserve">. A single approach can help to mitigate the impact of </w:t>
      </w:r>
      <w:r w:rsidR="00261ED4">
        <w:t>multiple, fragmented approaches</w:t>
      </w:r>
      <w:r w:rsidR="008200BB">
        <w:t xml:space="preserve"> that increase rather than reduce </w:t>
      </w:r>
      <w:r w:rsidR="00E21E29">
        <w:t>complication</w:t>
      </w:r>
      <w:r w:rsidR="008200BB">
        <w:t xml:space="preserve"> </w:t>
      </w:r>
      <w:r w:rsidR="00E21E29">
        <w:t xml:space="preserve">in an area that </w:t>
      </w:r>
      <w:r w:rsidR="002E1479">
        <w:t xml:space="preserve">is already proving to be highly complex for consumers to engage with. </w:t>
      </w:r>
    </w:p>
    <w:p w:rsidRPr="002E1479" w:rsidR="00DD51A8" w:rsidP="007A147B" w:rsidRDefault="00F9071C" w14:paraId="775FE97C" w14:textId="2B4252C2">
      <w:pPr>
        <w:ind w:left="709"/>
      </w:pPr>
      <w:r>
        <w:t>We also see potential for a solution to drive faster adoption of smart meters</w:t>
      </w:r>
      <w:r w:rsidR="00EC2F43">
        <w:t>.  Data privacy concern</w:t>
      </w:r>
      <w:r w:rsidR="008E0BEB">
        <w:t>s remain for some consumer segments and ability to provide greater confidence, transparency</w:t>
      </w:r>
      <w:r w:rsidR="00760B36">
        <w:t>,</w:t>
      </w:r>
      <w:r w:rsidR="008E0BEB">
        <w:t xml:space="preserve"> and trust through </w:t>
      </w:r>
      <w:r w:rsidR="00E45ACE">
        <w:t>consent management (particularly if accompanied by targeted campaigns from Smart Energy GB for example) m</w:t>
      </w:r>
      <w:r w:rsidR="00760B36">
        <w:t>a</w:t>
      </w:r>
      <w:r w:rsidR="00E45ACE">
        <w:t xml:space="preserve">y help to </w:t>
      </w:r>
      <w:r w:rsidR="007A147B">
        <w:t xml:space="preserve">reduce barriers. </w:t>
      </w:r>
    </w:p>
    <w:p w:rsidRPr="00DE30D5" w:rsidR="00BC10FA" w:rsidP="007353B7" w:rsidRDefault="002E1479" w14:paraId="6FCFC0A6" w14:textId="6136EC54">
      <w:pPr>
        <w:pStyle w:val="ListParagraph"/>
        <w:numPr>
          <w:ilvl w:val="0"/>
          <w:numId w:val="0"/>
        </w:numPr>
        <w:ind w:left="720"/>
        <w:rPr>
          <w:rFonts w:ascii="Lato" w:hAnsi="Lato"/>
        </w:rPr>
      </w:pPr>
      <w:r>
        <w:rPr>
          <w:rFonts w:ascii="Lato" w:hAnsi="Lato"/>
        </w:rPr>
        <w:t>Whilst we</w:t>
      </w:r>
      <w:r w:rsidR="007A147B">
        <w:rPr>
          <w:rFonts w:ascii="Lato" w:hAnsi="Lato"/>
        </w:rPr>
        <w:t xml:space="preserve"> are supportive of option 1, we recognise that </w:t>
      </w:r>
      <w:r w:rsidR="00B10B70">
        <w:rPr>
          <w:rFonts w:ascii="Lato" w:hAnsi="Lato"/>
        </w:rPr>
        <w:t xml:space="preserve">further </w:t>
      </w:r>
      <w:r w:rsidR="007A147B">
        <w:rPr>
          <w:rFonts w:ascii="Lato" w:hAnsi="Lato"/>
        </w:rPr>
        <w:t xml:space="preserve">detail </w:t>
      </w:r>
      <w:r w:rsidR="00BB2DC2">
        <w:rPr>
          <w:rFonts w:ascii="Lato" w:hAnsi="Lato"/>
        </w:rPr>
        <w:t xml:space="preserve">and industry </w:t>
      </w:r>
      <w:r w:rsidRPr="00DE30D5" w:rsidR="00A70F1B">
        <w:rPr>
          <w:rFonts w:ascii="Lato" w:hAnsi="Lato"/>
        </w:rPr>
        <w:t>engage</w:t>
      </w:r>
      <w:r w:rsidR="00BB2DC2">
        <w:rPr>
          <w:rFonts w:ascii="Lato" w:hAnsi="Lato"/>
        </w:rPr>
        <w:t>ment i</w:t>
      </w:r>
      <w:r w:rsidR="00B10B70">
        <w:rPr>
          <w:rFonts w:ascii="Lato" w:hAnsi="Lato"/>
        </w:rPr>
        <w:t xml:space="preserve">s needed to support decision making and as identified above, we would </w:t>
      </w:r>
      <w:r w:rsidR="00BB2007">
        <w:rPr>
          <w:rFonts w:ascii="Lato" w:hAnsi="Lato"/>
        </w:rPr>
        <w:t>encourage Ofgem to kee</w:t>
      </w:r>
      <w:r w:rsidR="007C5635">
        <w:rPr>
          <w:rFonts w:ascii="Lato" w:hAnsi="Lato"/>
        </w:rPr>
        <w:t>p</w:t>
      </w:r>
      <w:r w:rsidR="00BB2007">
        <w:rPr>
          <w:rFonts w:ascii="Lato" w:hAnsi="Lato"/>
        </w:rPr>
        <w:t xml:space="preserve"> options </w:t>
      </w:r>
      <w:r w:rsidR="007C5635">
        <w:rPr>
          <w:rFonts w:ascii="Lato" w:hAnsi="Lato"/>
        </w:rPr>
        <w:t xml:space="preserve">open </w:t>
      </w:r>
      <w:r w:rsidR="00BB2007">
        <w:rPr>
          <w:rFonts w:ascii="Lato" w:hAnsi="Lato"/>
        </w:rPr>
        <w:t xml:space="preserve">until this point. </w:t>
      </w:r>
    </w:p>
    <w:p w:rsidRPr="00DE30D5" w:rsidR="009108B7" w:rsidP="009108B7" w:rsidRDefault="007353B7" w14:paraId="27F77D0F" w14:textId="05BCF7E3">
      <w:pPr>
        <w:pStyle w:val="ListParagraph"/>
        <w:numPr>
          <w:ilvl w:val="0"/>
          <w:numId w:val="0"/>
        </w:numPr>
        <w:ind w:left="720"/>
        <w:rPr>
          <w:rFonts w:ascii="Lato" w:hAnsi="Lato"/>
        </w:rPr>
      </w:pPr>
      <w:r>
        <w:rPr>
          <w:rFonts w:ascii="Lato" w:hAnsi="Lato"/>
        </w:rPr>
        <w:t>Equally, h</w:t>
      </w:r>
      <w:r w:rsidRPr="00DE30D5" w:rsidR="00BC10FA">
        <w:rPr>
          <w:rFonts w:ascii="Lato" w:hAnsi="Lato"/>
        </w:rPr>
        <w:t xml:space="preserve">ow the consumer is engaged and impacted </w:t>
      </w:r>
      <w:r w:rsidRPr="00DE30D5" w:rsidR="00A60BFF">
        <w:rPr>
          <w:rFonts w:ascii="Lato" w:hAnsi="Lato"/>
        </w:rPr>
        <w:t xml:space="preserve">will be important to the success of the chosen option. </w:t>
      </w:r>
      <w:r w:rsidRPr="00DE30D5" w:rsidR="009108B7">
        <w:rPr>
          <w:rFonts w:ascii="Lato" w:hAnsi="Lato"/>
        </w:rPr>
        <w:t>The c</w:t>
      </w:r>
      <w:r>
        <w:rPr>
          <w:rFonts w:ascii="Lato" w:hAnsi="Lato"/>
        </w:rPr>
        <w:t xml:space="preserve">all for input </w:t>
      </w:r>
      <w:r w:rsidRPr="00DE30D5" w:rsidR="009108B7">
        <w:rPr>
          <w:rFonts w:ascii="Lato" w:hAnsi="Lato"/>
        </w:rPr>
        <w:t>references consumer research to be undertaken to inform development of the solution. It would be useful to share the outputs of this research with stakeholders before progressing with a preferred option.</w:t>
      </w:r>
      <w:r w:rsidRPr="00DE30D5" w:rsidR="009E37DE">
        <w:rPr>
          <w:rFonts w:ascii="Lato" w:hAnsi="Lato"/>
        </w:rPr>
        <w:t xml:space="preserve"> Furthermore, the</w:t>
      </w:r>
      <w:r w:rsidRPr="00DE30D5" w:rsidR="00DD6EE8">
        <w:rPr>
          <w:rFonts w:ascii="Lato" w:hAnsi="Lato"/>
        </w:rPr>
        <w:t xml:space="preserve"> chosen solution needs to be seamlessly incorporated into customer journeys to be effective</w:t>
      </w:r>
      <w:r w:rsidR="009A69A7">
        <w:rPr>
          <w:rFonts w:ascii="Lato" w:hAnsi="Lato"/>
        </w:rPr>
        <w:t>, ensuring there is as little friction as possible for consumers</w:t>
      </w:r>
      <w:r w:rsidRPr="00DE30D5" w:rsidR="00DD6EE8">
        <w:rPr>
          <w:rFonts w:ascii="Lato" w:hAnsi="Lato"/>
        </w:rPr>
        <w:t xml:space="preserve">. </w:t>
      </w:r>
      <w:r w:rsidRPr="00DE30D5" w:rsidR="00610C16">
        <w:rPr>
          <w:rFonts w:ascii="Lato" w:hAnsi="Lato"/>
        </w:rPr>
        <w:t xml:space="preserve">Ofgem could begin engaging with industry to understand how each option </w:t>
      </w:r>
      <w:r w:rsidRPr="00DE30D5" w:rsidR="00D815E5">
        <w:rPr>
          <w:rFonts w:ascii="Lato" w:hAnsi="Lato"/>
        </w:rPr>
        <w:t>would</w:t>
      </w:r>
      <w:r w:rsidRPr="00DE30D5" w:rsidR="00610C16">
        <w:rPr>
          <w:rFonts w:ascii="Lato" w:hAnsi="Lato"/>
        </w:rPr>
        <w:t xml:space="preserve"> fit within customer journeys, </w:t>
      </w:r>
      <w:r w:rsidRPr="00DE30D5" w:rsidR="00994975">
        <w:rPr>
          <w:rFonts w:ascii="Lato" w:hAnsi="Lato"/>
        </w:rPr>
        <w:t xml:space="preserve">considering the benefits and risks of each option, </w:t>
      </w:r>
      <w:r w:rsidRPr="00DE30D5" w:rsidR="00610C16">
        <w:rPr>
          <w:rFonts w:ascii="Lato" w:hAnsi="Lato"/>
        </w:rPr>
        <w:t xml:space="preserve">to help </w:t>
      </w:r>
      <w:r w:rsidRPr="00DE30D5" w:rsidR="00BC10FA">
        <w:rPr>
          <w:rFonts w:ascii="Lato" w:hAnsi="Lato"/>
        </w:rPr>
        <w:t xml:space="preserve">with </w:t>
      </w:r>
      <w:r w:rsidRPr="00DE30D5" w:rsidR="00371E05">
        <w:rPr>
          <w:rFonts w:ascii="Lato" w:hAnsi="Lato"/>
        </w:rPr>
        <w:t>deci</w:t>
      </w:r>
      <w:r w:rsidRPr="00DE30D5" w:rsidR="00BC10FA">
        <w:rPr>
          <w:rFonts w:ascii="Lato" w:hAnsi="Lato"/>
        </w:rPr>
        <w:t>sion making</w:t>
      </w:r>
      <w:r w:rsidRPr="00DE30D5" w:rsidR="00610C16">
        <w:rPr>
          <w:rFonts w:ascii="Lato" w:hAnsi="Lato"/>
        </w:rPr>
        <w:t>.</w:t>
      </w:r>
    </w:p>
    <w:p w:rsidR="00953DC9" w:rsidP="00953DC9" w:rsidRDefault="00953DC9" w14:paraId="2AE67DFC" w14:textId="77777777">
      <w:pPr>
        <w:pStyle w:val="Heading1"/>
        <w:numPr>
          <w:ilvl w:val="0"/>
          <w:numId w:val="0"/>
        </w:numPr>
        <w:ind w:left="709"/>
      </w:pPr>
    </w:p>
    <w:p w:rsidRPr="007353B7" w:rsidR="00B82A74" w:rsidP="007353B7" w:rsidRDefault="00B17D2E" w14:paraId="51A0DDB2" w14:textId="5D043895">
      <w:pPr>
        <w:pStyle w:val="Heading1"/>
      </w:pPr>
      <w:r>
        <w:t>What barriers do you see to the successful implementation of a new consent solution?</w:t>
      </w:r>
    </w:p>
    <w:p w:rsidRPr="00DE30D5" w:rsidR="00546A9F" w:rsidP="00546A9F" w:rsidRDefault="00741063" w14:paraId="4ABED109" w14:textId="77777777">
      <w:pPr>
        <w:pStyle w:val="ListParagraph"/>
        <w:numPr>
          <w:ilvl w:val="0"/>
          <w:numId w:val="0"/>
        </w:numPr>
        <w:ind w:left="720"/>
        <w:rPr>
          <w:rFonts w:ascii="Lato" w:hAnsi="Lato"/>
        </w:rPr>
      </w:pPr>
      <w:r w:rsidRPr="00DE30D5">
        <w:rPr>
          <w:rFonts w:ascii="Lato" w:hAnsi="Lato"/>
        </w:rPr>
        <w:t xml:space="preserve">A robust Cost Benefit Analysis needs to be undertaken to help choose between options. </w:t>
      </w:r>
    </w:p>
    <w:p w:rsidR="007353B7" w:rsidP="00546A9F" w:rsidRDefault="00741063" w14:paraId="1F54B57D" w14:textId="77777777">
      <w:pPr>
        <w:pStyle w:val="ListParagraph"/>
        <w:numPr>
          <w:ilvl w:val="0"/>
          <w:numId w:val="0"/>
        </w:numPr>
        <w:ind w:left="720"/>
        <w:rPr>
          <w:rFonts w:ascii="Lato" w:hAnsi="Lato"/>
        </w:rPr>
      </w:pPr>
      <w:r w:rsidRPr="00DE30D5">
        <w:rPr>
          <w:rFonts w:ascii="Lato" w:hAnsi="Lato"/>
        </w:rPr>
        <w:t xml:space="preserve">Option 1 will likely come with considerably higher costs than Options 2 and 3. At present consultation document is not clear on how </w:t>
      </w:r>
      <w:r w:rsidRPr="00DE30D5" w:rsidR="0062112D">
        <w:rPr>
          <w:rFonts w:ascii="Lato" w:hAnsi="Lato"/>
        </w:rPr>
        <w:t xml:space="preserve">the </w:t>
      </w:r>
      <w:r w:rsidRPr="00DE30D5">
        <w:rPr>
          <w:rFonts w:ascii="Lato" w:hAnsi="Lato"/>
        </w:rPr>
        <w:t>costs of the solution w</w:t>
      </w:r>
      <w:r w:rsidRPr="00DE30D5" w:rsidR="0062112D">
        <w:rPr>
          <w:rFonts w:ascii="Lato" w:hAnsi="Lato"/>
        </w:rPr>
        <w:t>ill</w:t>
      </w:r>
      <w:r w:rsidRPr="00DE30D5">
        <w:rPr>
          <w:rFonts w:ascii="Lato" w:hAnsi="Lato"/>
        </w:rPr>
        <w:t xml:space="preserve"> be paid for. </w:t>
      </w:r>
    </w:p>
    <w:p w:rsidRPr="00DE30D5" w:rsidR="00741063" w:rsidP="00546A9F" w:rsidRDefault="007353B7" w14:paraId="474CC768" w14:textId="7ABAA9C6">
      <w:pPr>
        <w:pStyle w:val="ListParagraph"/>
        <w:numPr>
          <w:ilvl w:val="0"/>
          <w:numId w:val="0"/>
        </w:numPr>
        <w:ind w:left="720"/>
        <w:rPr>
          <w:rFonts w:ascii="Lato" w:hAnsi="Lato"/>
        </w:rPr>
      </w:pPr>
      <w:r>
        <w:rPr>
          <w:rFonts w:ascii="Lato" w:hAnsi="Lato"/>
        </w:rPr>
        <w:t>We agree that there is a risk that O</w:t>
      </w:r>
      <w:r w:rsidRPr="00DE30D5" w:rsidR="00741063">
        <w:rPr>
          <w:rFonts w:ascii="Lato" w:hAnsi="Lato"/>
        </w:rPr>
        <w:t>ption 1 will also take longer to implement than the other options –</w:t>
      </w:r>
      <w:r w:rsidRPr="00DE30D5" w:rsidR="0062112D">
        <w:rPr>
          <w:rFonts w:ascii="Lato" w:hAnsi="Lato"/>
        </w:rPr>
        <w:t xml:space="preserve"> and </w:t>
      </w:r>
      <w:r w:rsidRPr="00DE30D5" w:rsidR="00741063">
        <w:rPr>
          <w:rFonts w:ascii="Lato" w:hAnsi="Lato"/>
        </w:rPr>
        <w:t>th</w:t>
      </w:r>
      <w:r>
        <w:rPr>
          <w:rFonts w:ascii="Lato" w:hAnsi="Lato"/>
        </w:rPr>
        <w:t>at this could be</w:t>
      </w:r>
      <w:r w:rsidRPr="00DE30D5" w:rsidR="00741063">
        <w:rPr>
          <w:rFonts w:ascii="Lato" w:hAnsi="Lato"/>
        </w:rPr>
        <w:t xml:space="preserve"> outpaced </w:t>
      </w:r>
      <w:r w:rsidRPr="00DE30D5" w:rsidR="00896D64">
        <w:rPr>
          <w:rFonts w:ascii="Lato" w:hAnsi="Lato"/>
        </w:rPr>
        <w:t>by</w:t>
      </w:r>
      <w:r w:rsidRPr="00DE30D5" w:rsidR="00741063">
        <w:rPr>
          <w:rFonts w:ascii="Lato" w:hAnsi="Lato"/>
        </w:rPr>
        <w:t xml:space="preserve"> a </w:t>
      </w:r>
      <w:r w:rsidRPr="00DE30D5" w:rsidR="00546A9F">
        <w:rPr>
          <w:rFonts w:ascii="Lato" w:hAnsi="Lato"/>
        </w:rPr>
        <w:t>market-based</w:t>
      </w:r>
      <w:r w:rsidRPr="00DE30D5" w:rsidR="00741063">
        <w:rPr>
          <w:rFonts w:ascii="Lato" w:hAnsi="Lato"/>
        </w:rPr>
        <w:t xml:space="preserve"> solution that is developed in paralle</w:t>
      </w:r>
      <w:r w:rsidR="005473DE">
        <w:rPr>
          <w:rFonts w:ascii="Lato" w:hAnsi="Lato"/>
        </w:rPr>
        <w:t>l</w:t>
      </w:r>
      <w:r w:rsidRPr="00DE30D5" w:rsidR="00741063">
        <w:rPr>
          <w:rFonts w:ascii="Lato" w:hAnsi="Lato"/>
        </w:rPr>
        <w:t xml:space="preserve">. If Option 1 </w:t>
      </w:r>
      <w:r w:rsidRPr="00DE30D5" w:rsidR="00896D64">
        <w:rPr>
          <w:rFonts w:ascii="Lato" w:hAnsi="Lato"/>
        </w:rPr>
        <w:t xml:space="preserve">is </w:t>
      </w:r>
      <w:r w:rsidRPr="00DE30D5" w:rsidR="00741063">
        <w:rPr>
          <w:rFonts w:ascii="Lato" w:hAnsi="Lato"/>
        </w:rPr>
        <w:t>chosen it would need to be flexible to meet new requirements</w:t>
      </w:r>
      <w:r w:rsidRPr="00DE30D5" w:rsidR="00DB1350">
        <w:rPr>
          <w:rFonts w:ascii="Lato" w:hAnsi="Lato"/>
        </w:rPr>
        <w:t xml:space="preserve">, to ensure it remains fit for purpose in an industry undergoing a fast </w:t>
      </w:r>
      <w:r w:rsidRPr="00DE30D5" w:rsidR="00741063">
        <w:rPr>
          <w:rFonts w:ascii="Lato" w:hAnsi="Lato"/>
        </w:rPr>
        <w:t>pace of change</w:t>
      </w:r>
      <w:r w:rsidRPr="00DE30D5" w:rsidR="00DB1350">
        <w:rPr>
          <w:rFonts w:ascii="Lato" w:hAnsi="Lato"/>
        </w:rPr>
        <w:t>.</w:t>
      </w:r>
      <w:r w:rsidRPr="00DE30D5" w:rsidR="00BB383E">
        <w:rPr>
          <w:rFonts w:ascii="Lato" w:hAnsi="Lato"/>
        </w:rPr>
        <w:t xml:space="preserve"> </w:t>
      </w:r>
    </w:p>
    <w:p w:rsidRPr="00EC28FB" w:rsidR="00144662" w:rsidP="00EC28FB" w:rsidRDefault="00A00F6F" w14:paraId="4E8708F1" w14:textId="4EA5E93B">
      <w:pPr>
        <w:pStyle w:val="ListParagraph"/>
        <w:numPr>
          <w:ilvl w:val="0"/>
          <w:numId w:val="0"/>
        </w:numPr>
        <w:ind w:left="720"/>
        <w:rPr>
          <w:rFonts w:ascii="Lato" w:hAnsi="Lato"/>
        </w:rPr>
      </w:pPr>
      <w:r w:rsidRPr="00DE30D5">
        <w:rPr>
          <w:rFonts w:ascii="Lato" w:hAnsi="Lato"/>
        </w:rPr>
        <w:t xml:space="preserve">For </w:t>
      </w:r>
      <w:r w:rsidRPr="00DE30D5" w:rsidR="00546A9F">
        <w:rPr>
          <w:rFonts w:ascii="Lato" w:hAnsi="Lato"/>
        </w:rPr>
        <w:t xml:space="preserve">Options 2 and 3 there are potential barriers around ensuring compliance with whatever is </w:t>
      </w:r>
      <w:r w:rsidRPr="00DE30D5" w:rsidR="00F46B68">
        <w:rPr>
          <w:rFonts w:ascii="Lato" w:hAnsi="Lato"/>
        </w:rPr>
        <w:t xml:space="preserve">principles or code of practice are </w:t>
      </w:r>
      <w:r w:rsidRPr="00DE30D5" w:rsidR="00546A9F">
        <w:rPr>
          <w:rFonts w:ascii="Lato" w:hAnsi="Lato"/>
        </w:rPr>
        <w:t xml:space="preserve">agreed, </w:t>
      </w:r>
      <w:r w:rsidR="005473DE">
        <w:rPr>
          <w:rFonts w:ascii="Lato" w:hAnsi="Lato"/>
        </w:rPr>
        <w:t xml:space="preserve">as </w:t>
      </w:r>
      <w:r w:rsidRPr="00DE30D5" w:rsidR="00546A9F">
        <w:rPr>
          <w:rFonts w:ascii="Lato" w:hAnsi="Lato"/>
        </w:rPr>
        <w:t xml:space="preserve">the regulatory levers are not </w:t>
      </w:r>
      <w:r w:rsidR="005473DE">
        <w:rPr>
          <w:rFonts w:ascii="Lato" w:hAnsi="Lato"/>
        </w:rPr>
        <w:t>clear</w:t>
      </w:r>
      <w:r w:rsidRPr="00DE30D5" w:rsidR="00546A9F">
        <w:rPr>
          <w:rFonts w:ascii="Lato" w:hAnsi="Lato"/>
        </w:rPr>
        <w:t>.</w:t>
      </w:r>
      <w:r w:rsidR="00787742">
        <w:rPr>
          <w:rFonts w:ascii="Lato" w:hAnsi="Lato"/>
        </w:rPr>
        <w:t xml:space="preserve">  Historically, we have seen challenges arise</w:t>
      </w:r>
      <w:r w:rsidR="00144662">
        <w:rPr>
          <w:rFonts w:ascii="Lato" w:hAnsi="Lato"/>
        </w:rPr>
        <w:t xml:space="preserve"> from comparable approaches.  In smart metering for example, the </w:t>
      </w:r>
      <w:r w:rsidR="00A70369">
        <w:rPr>
          <w:rFonts w:ascii="Lato" w:hAnsi="Lato"/>
        </w:rPr>
        <w:t xml:space="preserve">initial </w:t>
      </w:r>
      <w:r w:rsidR="00144662">
        <w:rPr>
          <w:rFonts w:ascii="Lato" w:hAnsi="Lato"/>
        </w:rPr>
        <w:t xml:space="preserve">SMETS 1 </w:t>
      </w:r>
      <w:r w:rsidR="00A70369">
        <w:rPr>
          <w:rFonts w:ascii="Lato" w:hAnsi="Lato"/>
        </w:rPr>
        <w:t xml:space="preserve">programme, </w:t>
      </w:r>
      <w:r w:rsidR="00D20169">
        <w:rPr>
          <w:rFonts w:ascii="Lato" w:hAnsi="Lato"/>
        </w:rPr>
        <w:t xml:space="preserve">despite being developed around common standards, resulted in </w:t>
      </w:r>
      <w:r w:rsidR="00EC28FB">
        <w:rPr>
          <w:rFonts w:ascii="Lato" w:hAnsi="Lato"/>
        </w:rPr>
        <w:t xml:space="preserve">lack of interoperability and poor consumer experience.  </w:t>
      </w:r>
    </w:p>
    <w:p w:rsidRPr="00DE30D5" w:rsidR="00546A9F" w:rsidP="00546A9F" w:rsidRDefault="005E2690" w14:paraId="19F22911" w14:textId="5A946F3C">
      <w:pPr>
        <w:pStyle w:val="ListParagraph"/>
        <w:numPr>
          <w:ilvl w:val="0"/>
          <w:numId w:val="0"/>
        </w:numPr>
        <w:ind w:left="720"/>
        <w:rPr>
          <w:rFonts w:ascii="Lato" w:hAnsi="Lato"/>
        </w:rPr>
      </w:pPr>
      <w:r w:rsidRPr="00DE30D5">
        <w:rPr>
          <w:rFonts w:ascii="Lato" w:hAnsi="Lato"/>
        </w:rPr>
        <w:t xml:space="preserve">Without </w:t>
      </w:r>
      <w:r w:rsidRPr="00DE30D5" w:rsidR="00011E23">
        <w:rPr>
          <w:rFonts w:ascii="Lato" w:hAnsi="Lato"/>
        </w:rPr>
        <w:t>regulatory oversight o</w:t>
      </w:r>
      <w:r w:rsidR="006378C4">
        <w:rPr>
          <w:rFonts w:ascii="Lato" w:hAnsi="Lato"/>
        </w:rPr>
        <w:t>r</w:t>
      </w:r>
      <w:r w:rsidRPr="00DE30D5" w:rsidR="00011E23">
        <w:rPr>
          <w:rFonts w:ascii="Lato" w:hAnsi="Lato"/>
        </w:rPr>
        <w:t xml:space="preserve"> compliance there is a risk the ob</w:t>
      </w:r>
      <w:r w:rsidRPr="00DE30D5" w:rsidR="00C10DB1">
        <w:rPr>
          <w:rFonts w:ascii="Lato" w:hAnsi="Lato"/>
        </w:rPr>
        <w:t>jectives of the consent management solution</w:t>
      </w:r>
      <w:r w:rsidRPr="00DE30D5" w:rsidR="00B63FF9">
        <w:rPr>
          <w:rFonts w:ascii="Lato" w:hAnsi="Lato"/>
        </w:rPr>
        <w:t xml:space="preserve"> are not achieved. </w:t>
      </w:r>
    </w:p>
    <w:p w:rsidRPr="00DE30D5" w:rsidR="00546A9F" w:rsidP="00546A9F" w:rsidRDefault="00546A9F" w14:paraId="086F34EB" w14:textId="69FB37CC">
      <w:pPr>
        <w:pStyle w:val="ListParagraph"/>
        <w:numPr>
          <w:ilvl w:val="0"/>
          <w:numId w:val="0"/>
        </w:numPr>
        <w:ind w:left="720"/>
        <w:rPr>
          <w:rFonts w:ascii="Lato" w:hAnsi="Lato"/>
        </w:rPr>
      </w:pPr>
      <w:r w:rsidRPr="00DE30D5">
        <w:rPr>
          <w:rFonts w:ascii="Lato" w:hAnsi="Lato"/>
        </w:rPr>
        <w:t xml:space="preserve">Whichever option </w:t>
      </w:r>
      <w:r w:rsidRPr="00DE30D5" w:rsidR="005E2690">
        <w:rPr>
          <w:rFonts w:ascii="Lato" w:hAnsi="Lato"/>
        </w:rPr>
        <w:t xml:space="preserve">is </w:t>
      </w:r>
      <w:r w:rsidRPr="00DE30D5">
        <w:rPr>
          <w:rFonts w:ascii="Lato" w:hAnsi="Lato"/>
        </w:rPr>
        <w:t xml:space="preserve">selected consumer engagement is important to ensure it meets consumer requirements and </w:t>
      </w:r>
      <w:r w:rsidRPr="00DE30D5" w:rsidR="003D5F7C">
        <w:rPr>
          <w:rFonts w:ascii="Lato" w:hAnsi="Lato"/>
        </w:rPr>
        <w:t>achieve</w:t>
      </w:r>
      <w:r w:rsidRPr="00DE30D5">
        <w:rPr>
          <w:rFonts w:ascii="Lato" w:hAnsi="Lato"/>
        </w:rPr>
        <w:t xml:space="preserve"> the</w:t>
      </w:r>
      <w:r w:rsidR="00EC28FB">
        <w:rPr>
          <w:rFonts w:ascii="Lato" w:hAnsi="Lato"/>
        </w:rPr>
        <w:t>ir</w:t>
      </w:r>
      <w:r w:rsidRPr="00DE30D5">
        <w:rPr>
          <w:rFonts w:ascii="Lato" w:hAnsi="Lato"/>
        </w:rPr>
        <w:t xml:space="preserve"> buy in. </w:t>
      </w:r>
      <w:r w:rsidRPr="00DE30D5" w:rsidR="00DE4FC4">
        <w:rPr>
          <w:rFonts w:ascii="Lato" w:hAnsi="Lato"/>
        </w:rPr>
        <w:t>Furthermore, the chosen solution needs to be seamlessly incorporated into customer journeys to be effective.</w:t>
      </w:r>
    </w:p>
    <w:p w:rsidRPr="00DE30D5" w:rsidR="00FD2AA2" w:rsidP="00FD2AA2" w:rsidRDefault="00EC28FB" w14:paraId="50798A49" w14:textId="151BEC4C">
      <w:pPr>
        <w:pStyle w:val="ListParagraph"/>
        <w:numPr>
          <w:ilvl w:val="0"/>
          <w:numId w:val="0"/>
        </w:numPr>
        <w:ind w:left="720"/>
        <w:rPr>
          <w:rFonts w:ascii="Lato" w:hAnsi="Lato"/>
        </w:rPr>
      </w:pPr>
      <w:r>
        <w:rPr>
          <w:rFonts w:ascii="Lato" w:hAnsi="Lato"/>
        </w:rPr>
        <w:t xml:space="preserve">We would encourage </w:t>
      </w:r>
      <w:r w:rsidRPr="00DE30D5" w:rsidR="00FD2AA2">
        <w:rPr>
          <w:rFonts w:ascii="Lato" w:hAnsi="Lato"/>
        </w:rPr>
        <w:t>Ofgem</w:t>
      </w:r>
      <w:r>
        <w:rPr>
          <w:rFonts w:ascii="Lato" w:hAnsi="Lato"/>
        </w:rPr>
        <w:t xml:space="preserve"> to</w:t>
      </w:r>
      <w:r w:rsidRPr="00DE30D5" w:rsidR="00FD2AA2">
        <w:rPr>
          <w:rFonts w:ascii="Lato" w:hAnsi="Lato"/>
        </w:rPr>
        <w:t xml:space="preserve"> assess </w:t>
      </w:r>
      <w:r>
        <w:rPr>
          <w:rFonts w:ascii="Lato" w:hAnsi="Lato"/>
        </w:rPr>
        <w:t>broader</w:t>
      </w:r>
      <w:r w:rsidRPr="00DE30D5" w:rsidR="00FD2AA2">
        <w:rPr>
          <w:rFonts w:ascii="Lato" w:hAnsi="Lato"/>
        </w:rPr>
        <w:t xml:space="preserve"> barriers to product and service</w:t>
      </w:r>
      <w:r>
        <w:rPr>
          <w:rFonts w:ascii="Lato" w:hAnsi="Lato"/>
        </w:rPr>
        <w:t xml:space="preserve"> development across </w:t>
      </w:r>
      <w:r w:rsidRPr="00DE30D5" w:rsidR="00C83077">
        <w:rPr>
          <w:rFonts w:ascii="Lato" w:hAnsi="Lato"/>
        </w:rPr>
        <w:t>the industry</w:t>
      </w:r>
      <w:r w:rsidRPr="00DE30D5" w:rsidR="00FD2AA2">
        <w:rPr>
          <w:rFonts w:ascii="Lato" w:hAnsi="Lato"/>
        </w:rPr>
        <w:t xml:space="preserve">, </w:t>
      </w:r>
      <w:r>
        <w:rPr>
          <w:rFonts w:ascii="Lato" w:hAnsi="Lato"/>
        </w:rPr>
        <w:t xml:space="preserve">beyond </w:t>
      </w:r>
      <w:r w:rsidRPr="00DE30D5" w:rsidR="00FD2AA2">
        <w:rPr>
          <w:rFonts w:ascii="Lato" w:hAnsi="Lato"/>
        </w:rPr>
        <w:t>consumer consent</w:t>
      </w:r>
      <w:r w:rsidR="00EE4867">
        <w:rPr>
          <w:rFonts w:ascii="Lato" w:hAnsi="Lato"/>
        </w:rPr>
        <w:t>, including for example the need for greater regulatory flexibility</w:t>
      </w:r>
      <w:r w:rsidR="00F83256">
        <w:rPr>
          <w:rFonts w:ascii="Lato" w:hAnsi="Lato"/>
        </w:rPr>
        <w:t xml:space="preserve"> within the SEC</w:t>
      </w:r>
      <w:r w:rsidR="00BB7946">
        <w:rPr>
          <w:rFonts w:ascii="Lato" w:hAnsi="Lato"/>
        </w:rPr>
        <w:t xml:space="preserve"> to support trialling and testing of new solutions. </w:t>
      </w:r>
    </w:p>
    <w:p w:rsidR="00546A9F" w:rsidP="00546A9F" w:rsidRDefault="00546A9F" w14:paraId="6B5DD66A" w14:textId="77777777"/>
    <w:p w:rsidR="00741063" w:rsidP="00741063" w:rsidRDefault="00741063" w14:paraId="70D14264" w14:textId="678AADCE">
      <w:pPr>
        <w:pStyle w:val="ListParagraph"/>
        <w:numPr>
          <w:ilvl w:val="0"/>
          <w:numId w:val="0"/>
        </w:numPr>
        <w:ind w:left="720"/>
      </w:pPr>
    </w:p>
    <w:p w:rsidR="00E63181" w:rsidP="00741063" w:rsidRDefault="00E63181" w14:paraId="3BF35BE6" w14:textId="26ECE214">
      <w:pPr>
        <w:ind w:left="709"/>
        <w:rPr>
          <w:b/>
          <w:bCs/>
        </w:rPr>
      </w:pPr>
    </w:p>
    <w:p w:rsidR="00E63181" w:rsidP="006E5C9A" w:rsidRDefault="00E63181" w14:paraId="215A8276" w14:textId="77777777">
      <w:pPr>
        <w:rPr>
          <w:b/>
          <w:bCs/>
        </w:rPr>
      </w:pPr>
    </w:p>
    <w:p w:rsidR="00E63181" w:rsidP="00E63181" w:rsidRDefault="0092081E" w14:paraId="7BBBF679" w14:textId="1801A87E">
      <w:pPr>
        <w:pStyle w:val="Heading1"/>
      </w:pPr>
      <w:r>
        <w:t>What do you think are the roles of Ofgem, industry and other stakeholders in enabling a simple and effective consent solution?</w:t>
      </w:r>
    </w:p>
    <w:p w:rsidRPr="004632A7" w:rsidR="004B11F4" w:rsidP="004632A7" w:rsidRDefault="00E970D8" w14:paraId="1FCDCDF3" w14:textId="0B6DF82A">
      <w:pPr>
        <w:ind w:left="709"/>
        <w:rPr>
          <w:rStyle w:val="normaltextrun"/>
        </w:rPr>
      </w:pPr>
      <w:r>
        <w:t>As identified in our response to Question 1, DCC offers the necessary capabilities and expertise to deliver a centralised solution.  Doing so would drive efficiencies</w:t>
      </w:r>
      <w:r w:rsidR="004632A7">
        <w:t xml:space="preserve"> through alignment with existing </w:t>
      </w:r>
      <w:r w:rsidR="00FB7CCB">
        <w:t>industry</w:t>
      </w:r>
      <w:r w:rsidR="004632A7">
        <w:t xml:space="preserve"> processes</w:t>
      </w:r>
      <w:r w:rsidR="00DE469C">
        <w:t xml:space="preserve"> (including cost recovery – subject to the funding approach taken)</w:t>
      </w:r>
      <w:r>
        <w:t xml:space="preserve"> avoid duplication and </w:t>
      </w:r>
      <w:r w:rsidR="004632A7">
        <w:t xml:space="preserve">enable accelerated deployment. </w:t>
      </w:r>
      <w:r w:rsidR="00DE469C">
        <w:t>The existing and future regulatory framework, through re-set of the DCC licence provides a</w:t>
      </w:r>
      <w:r w:rsidR="00AA63F2">
        <w:t xml:space="preserve"> robust yet flexible </w:t>
      </w:r>
      <w:r w:rsidR="00DE469C">
        <w:t xml:space="preserve">mechanism through </w:t>
      </w:r>
      <w:r w:rsidR="00AA63F2">
        <w:t xml:space="preserve">which governance, accountability and </w:t>
      </w:r>
      <w:r w:rsidR="001613D4">
        <w:t xml:space="preserve">value for money can be assured. </w:t>
      </w:r>
    </w:p>
    <w:p w:rsidRPr="00EA55B5" w:rsidR="00656ACC" w:rsidP="00F83256" w:rsidRDefault="00A2396E" w14:paraId="55541A05" w14:textId="5B7E88E8">
      <w:pPr>
        <w:ind w:left="709"/>
        <w:rPr>
          <w:rFonts w:asciiTheme="minorHAnsi" w:hAnsiTheme="minorHAnsi"/>
          <w:color w:val="000000"/>
          <w:shd w:val="clear" w:color="auto" w:fill="FFFFFF"/>
        </w:rPr>
      </w:pPr>
      <w:r w:rsidRPr="00163FE4">
        <w:rPr>
          <w:rFonts w:asciiTheme="minorHAnsi" w:hAnsiTheme="minorHAnsi"/>
        </w:rPr>
        <w:t xml:space="preserve">The roles of Ofgem, industry and other stakeholders </w:t>
      </w:r>
      <w:r w:rsidRPr="00163FE4" w:rsidR="00105A45">
        <w:rPr>
          <w:rFonts w:asciiTheme="minorHAnsi" w:hAnsiTheme="minorHAnsi"/>
        </w:rPr>
        <w:t xml:space="preserve">should centre around </w:t>
      </w:r>
      <w:r w:rsidRPr="00163FE4" w:rsidR="00526B9F">
        <w:rPr>
          <w:rFonts w:asciiTheme="minorHAnsi" w:hAnsiTheme="minorHAnsi"/>
        </w:rPr>
        <w:t>ensuring</w:t>
      </w:r>
      <w:r w:rsidRPr="00163FE4" w:rsidR="00105A45">
        <w:rPr>
          <w:rFonts w:asciiTheme="minorHAnsi" w:hAnsiTheme="minorHAnsi"/>
        </w:rPr>
        <w:t xml:space="preserve"> delivery of Ofgem’s three objectives </w:t>
      </w:r>
      <w:r w:rsidRPr="00163FE4" w:rsidR="00CB3045">
        <w:rPr>
          <w:rFonts w:asciiTheme="minorHAnsi" w:hAnsiTheme="minorHAnsi"/>
        </w:rPr>
        <w:t>for empowering cons</w:t>
      </w:r>
      <w:r w:rsidRPr="00163FE4" w:rsidR="00656ACC">
        <w:rPr>
          <w:rFonts w:asciiTheme="minorHAnsi" w:hAnsiTheme="minorHAnsi"/>
        </w:rPr>
        <w:t>umers</w:t>
      </w:r>
      <w:r w:rsidRPr="00163FE4" w:rsidR="00CB3045">
        <w:rPr>
          <w:rFonts w:asciiTheme="minorHAnsi" w:hAnsiTheme="minorHAnsi"/>
        </w:rPr>
        <w:t xml:space="preserve"> to share energy data, and </w:t>
      </w:r>
      <w:r w:rsidRPr="00163FE4" w:rsidR="002249D1">
        <w:rPr>
          <w:rFonts w:asciiTheme="minorHAnsi" w:hAnsiTheme="minorHAnsi"/>
        </w:rPr>
        <w:t xml:space="preserve">the necessity of </w:t>
      </w:r>
      <w:r w:rsidRPr="00163FE4" w:rsidR="00656ACC">
        <w:rPr>
          <w:rFonts w:asciiTheme="minorHAnsi" w:hAnsiTheme="minorHAnsi"/>
        </w:rPr>
        <w:t xml:space="preserve">benefits accruing to consumers themselves, the energy system and the wider public good. </w:t>
      </w:r>
    </w:p>
    <w:p w:rsidRPr="00163FE4" w:rsidR="00526B9F" w:rsidP="00F83256" w:rsidRDefault="00282971" w14:paraId="22EE0EF8" w14:textId="77777777">
      <w:pPr>
        <w:ind w:left="709"/>
        <w:rPr>
          <w:rStyle w:val="cf01"/>
          <w:rFonts w:asciiTheme="minorHAnsi" w:hAnsiTheme="minorHAnsi"/>
          <w:sz w:val="22"/>
          <w:szCs w:val="22"/>
        </w:rPr>
      </w:pPr>
      <w:r w:rsidRPr="00163FE4">
        <w:rPr>
          <w:rFonts w:asciiTheme="minorHAnsi" w:hAnsiTheme="minorHAnsi"/>
        </w:rPr>
        <w:t>In line with</w:t>
      </w:r>
      <w:r w:rsidRPr="00163FE4" w:rsidR="00B31EEC">
        <w:rPr>
          <w:rFonts w:asciiTheme="minorHAnsi" w:hAnsiTheme="minorHAnsi"/>
        </w:rPr>
        <w:t xml:space="preserve"> </w:t>
      </w:r>
      <w:r w:rsidRPr="00163FE4" w:rsidR="00656ACC">
        <w:rPr>
          <w:rFonts w:asciiTheme="minorHAnsi" w:hAnsiTheme="minorHAnsi"/>
        </w:rPr>
        <w:t>the objectives to improve consu</w:t>
      </w:r>
      <w:r w:rsidRPr="00163FE4" w:rsidR="00242325">
        <w:rPr>
          <w:rFonts w:asciiTheme="minorHAnsi" w:hAnsiTheme="minorHAnsi"/>
        </w:rPr>
        <w:t>mer</w:t>
      </w:r>
      <w:r w:rsidRPr="00163FE4" w:rsidR="00656ACC">
        <w:rPr>
          <w:rFonts w:asciiTheme="minorHAnsi" w:hAnsiTheme="minorHAnsi"/>
        </w:rPr>
        <w:t xml:space="preserve"> trust and access to data,</w:t>
      </w:r>
      <w:r w:rsidRPr="00163FE4" w:rsidR="00B31EEC">
        <w:rPr>
          <w:rFonts w:asciiTheme="minorHAnsi" w:hAnsiTheme="minorHAnsi"/>
        </w:rPr>
        <w:t xml:space="preserve"> Ofgem’s role </w:t>
      </w:r>
      <w:r w:rsidRPr="00163FE4" w:rsidR="00FF07C3">
        <w:rPr>
          <w:rFonts w:asciiTheme="minorHAnsi" w:hAnsiTheme="minorHAnsi"/>
        </w:rPr>
        <w:t>is to create a</w:t>
      </w:r>
      <w:r w:rsidRPr="00163FE4" w:rsidR="00AC3FDC">
        <w:rPr>
          <w:rFonts w:asciiTheme="minorHAnsi" w:hAnsiTheme="minorHAnsi"/>
        </w:rPr>
        <w:t xml:space="preserve"> coordinated</w:t>
      </w:r>
      <w:r w:rsidRPr="00163FE4" w:rsidR="00FF07C3">
        <w:rPr>
          <w:rFonts w:asciiTheme="minorHAnsi" w:hAnsiTheme="minorHAnsi"/>
        </w:rPr>
        <w:t xml:space="preserve"> policy and regulatory</w:t>
      </w:r>
      <w:r w:rsidRPr="00163FE4" w:rsidR="000C0A24">
        <w:rPr>
          <w:rFonts w:asciiTheme="minorHAnsi" w:hAnsiTheme="minorHAnsi"/>
        </w:rPr>
        <w:t xml:space="preserve"> framework</w:t>
      </w:r>
      <w:r w:rsidRPr="00163FE4" w:rsidR="00AC3FDC">
        <w:rPr>
          <w:rFonts w:asciiTheme="minorHAnsi" w:hAnsiTheme="minorHAnsi"/>
        </w:rPr>
        <w:t xml:space="preserve"> that enables </w:t>
      </w:r>
      <w:r w:rsidRPr="00163FE4" w:rsidR="008138F4">
        <w:rPr>
          <w:rFonts w:asciiTheme="minorHAnsi" w:hAnsiTheme="minorHAnsi"/>
        </w:rPr>
        <w:t xml:space="preserve">delivery </w:t>
      </w:r>
      <w:r w:rsidRPr="00163FE4" w:rsidR="00727F48">
        <w:rPr>
          <w:rFonts w:asciiTheme="minorHAnsi" w:hAnsiTheme="minorHAnsi"/>
        </w:rPr>
        <w:t xml:space="preserve">of </w:t>
      </w:r>
      <w:r w:rsidRPr="00163FE4" w:rsidR="000C0A24">
        <w:rPr>
          <w:rFonts w:asciiTheme="minorHAnsi" w:hAnsiTheme="minorHAnsi"/>
        </w:rPr>
        <w:t xml:space="preserve">an effective solution. </w:t>
      </w:r>
      <w:r w:rsidRPr="00163FE4" w:rsidR="00611BDB">
        <w:rPr>
          <w:rStyle w:val="cf01"/>
          <w:rFonts w:asciiTheme="minorHAnsi" w:hAnsiTheme="minorHAnsi"/>
          <w:sz w:val="22"/>
          <w:szCs w:val="22"/>
        </w:rPr>
        <w:t>As we hav</w:t>
      </w:r>
      <w:r w:rsidRPr="00163FE4" w:rsidR="00AC3619">
        <w:rPr>
          <w:rStyle w:val="cf01"/>
          <w:rFonts w:asciiTheme="minorHAnsi" w:hAnsiTheme="minorHAnsi"/>
          <w:sz w:val="22"/>
          <w:szCs w:val="22"/>
        </w:rPr>
        <w:t>e noted</w:t>
      </w:r>
      <w:r w:rsidRPr="00163FE4" w:rsidR="00611BDB">
        <w:rPr>
          <w:rStyle w:val="cf01"/>
          <w:rFonts w:asciiTheme="minorHAnsi" w:hAnsiTheme="minorHAnsi"/>
          <w:sz w:val="22"/>
          <w:szCs w:val="22"/>
        </w:rPr>
        <w:t xml:space="preserve"> in previous a</w:t>
      </w:r>
      <w:r w:rsidRPr="00163FE4" w:rsidR="00AC3619">
        <w:rPr>
          <w:rStyle w:val="cf01"/>
          <w:rFonts w:asciiTheme="minorHAnsi" w:hAnsiTheme="minorHAnsi"/>
          <w:sz w:val="22"/>
          <w:szCs w:val="22"/>
        </w:rPr>
        <w:t>nswers,</w:t>
      </w:r>
      <w:r w:rsidRPr="00163FE4" w:rsidR="00611BDB">
        <w:rPr>
          <w:rStyle w:val="cf01"/>
          <w:rFonts w:asciiTheme="minorHAnsi" w:hAnsiTheme="minorHAnsi"/>
          <w:sz w:val="22"/>
          <w:szCs w:val="22"/>
        </w:rPr>
        <w:t xml:space="preserve"> </w:t>
      </w:r>
      <w:r w:rsidRPr="00163FE4" w:rsidR="00932F27">
        <w:rPr>
          <w:rStyle w:val="cf01"/>
          <w:rFonts w:asciiTheme="minorHAnsi" w:hAnsiTheme="minorHAnsi"/>
          <w:sz w:val="22"/>
          <w:szCs w:val="22"/>
        </w:rPr>
        <w:t>a consent solution alone</w:t>
      </w:r>
      <w:r w:rsidRPr="00163FE4" w:rsidR="007C183E">
        <w:rPr>
          <w:rStyle w:val="cf01"/>
          <w:rFonts w:asciiTheme="minorHAnsi" w:hAnsiTheme="minorHAnsi"/>
          <w:sz w:val="22"/>
          <w:szCs w:val="22"/>
        </w:rPr>
        <w:t xml:space="preserve"> is unlikely to engage and empower consumers to the level needed. </w:t>
      </w:r>
      <w:r w:rsidRPr="00163FE4" w:rsidR="00333149">
        <w:rPr>
          <w:rStyle w:val="cf01"/>
          <w:rFonts w:asciiTheme="minorHAnsi" w:hAnsiTheme="minorHAnsi"/>
          <w:sz w:val="22"/>
          <w:szCs w:val="22"/>
        </w:rPr>
        <w:t xml:space="preserve">Ofgem should therefore coordinate delivery of a consent solution with </w:t>
      </w:r>
      <w:r w:rsidRPr="00163FE4" w:rsidR="00611BDB">
        <w:rPr>
          <w:rStyle w:val="cf01"/>
          <w:rFonts w:asciiTheme="minorHAnsi" w:hAnsiTheme="minorHAnsi"/>
          <w:sz w:val="22"/>
          <w:szCs w:val="22"/>
        </w:rPr>
        <w:t>broader data privacy considerations, regulatory change and other limitations to greater data access.</w:t>
      </w:r>
      <w:r w:rsidRPr="00163FE4" w:rsidR="00333149">
        <w:rPr>
          <w:rStyle w:val="cf01"/>
          <w:rFonts w:asciiTheme="minorHAnsi" w:hAnsiTheme="minorHAnsi"/>
          <w:sz w:val="22"/>
          <w:szCs w:val="22"/>
        </w:rPr>
        <w:t xml:space="preserve"> These wider considerations will ultimately impact the level of improvement realised by any consent solution alone and therefore the effectiveness of that solution. </w:t>
      </w:r>
    </w:p>
    <w:p w:rsidR="00163FE4" w:rsidP="00F83256" w:rsidRDefault="008F0DC3" w14:paraId="2C6E115A" w14:textId="1F819624">
      <w:pPr>
        <w:ind w:left="709"/>
        <w:rPr>
          <w:rStyle w:val="normaltextrun"/>
          <w:rFonts w:asciiTheme="minorHAnsi" w:hAnsiTheme="minorHAnsi"/>
          <w:color w:val="000000"/>
          <w:shd w:val="clear" w:color="auto" w:fill="FFFFFF"/>
        </w:rPr>
      </w:pPr>
      <w:r w:rsidRPr="00163FE4">
        <w:rPr>
          <w:rStyle w:val="cf01"/>
          <w:rFonts w:asciiTheme="minorHAnsi" w:hAnsiTheme="minorHAnsi"/>
          <w:sz w:val="22"/>
          <w:szCs w:val="22"/>
        </w:rPr>
        <w:t>Considerations and regulatory changes specific to access and be</w:t>
      </w:r>
      <w:r w:rsidRPr="00163FE4" w:rsidR="00526B9F">
        <w:rPr>
          <w:rStyle w:val="cf01"/>
          <w:rFonts w:asciiTheme="minorHAnsi" w:hAnsiTheme="minorHAnsi"/>
          <w:sz w:val="22"/>
          <w:szCs w:val="22"/>
        </w:rPr>
        <w:t>tter</w:t>
      </w:r>
      <w:r w:rsidRPr="00163FE4">
        <w:rPr>
          <w:rStyle w:val="cf01"/>
          <w:rFonts w:asciiTheme="minorHAnsi" w:hAnsiTheme="minorHAnsi"/>
          <w:sz w:val="22"/>
          <w:szCs w:val="22"/>
        </w:rPr>
        <w:t xml:space="preserve"> use of smart metering data include improvement to the onboarding process for Other Users </w:t>
      </w:r>
      <w:r w:rsidRPr="00163FE4" w:rsidR="00526B9F">
        <w:rPr>
          <w:rStyle w:val="cf01"/>
          <w:rFonts w:asciiTheme="minorHAnsi" w:hAnsiTheme="minorHAnsi"/>
          <w:sz w:val="22"/>
          <w:szCs w:val="22"/>
        </w:rPr>
        <w:t xml:space="preserve">and changes to the SEC’s </w:t>
      </w:r>
      <w:r w:rsidRPr="00163FE4" w:rsidR="00526B9F">
        <w:rPr>
          <w:rStyle w:val="normaltextrun"/>
          <w:rFonts w:asciiTheme="minorHAnsi" w:hAnsiTheme="minorHAnsi"/>
          <w:color w:val="000000"/>
          <w:shd w:val="clear" w:color="auto" w:fill="FFFFFF"/>
        </w:rPr>
        <w:t xml:space="preserve">smart meter data access regime. </w:t>
      </w:r>
      <w:r w:rsidRPr="00163FE4" w:rsidR="00B77735">
        <w:rPr>
          <w:rStyle w:val="normaltextrun"/>
          <w:rFonts w:asciiTheme="minorHAnsi" w:hAnsiTheme="minorHAnsi"/>
          <w:color w:val="000000"/>
          <w:shd w:val="clear" w:color="auto" w:fill="FFFFFF"/>
        </w:rPr>
        <w:t>Likewise,</w:t>
      </w:r>
      <w:r w:rsidRPr="00163FE4" w:rsidR="00526B9F">
        <w:rPr>
          <w:rStyle w:val="normaltextrun"/>
          <w:rFonts w:asciiTheme="minorHAnsi" w:hAnsiTheme="minorHAnsi"/>
          <w:color w:val="000000"/>
          <w:shd w:val="clear" w:color="auto" w:fill="FFFFFF"/>
        </w:rPr>
        <w:t xml:space="preserve"> Ofgem should coordinate </w:t>
      </w:r>
      <w:r w:rsidRPr="00163FE4" w:rsidR="00B77735">
        <w:rPr>
          <w:rStyle w:val="normaltextrun"/>
          <w:rFonts w:asciiTheme="minorHAnsi" w:hAnsiTheme="minorHAnsi"/>
          <w:color w:val="000000"/>
          <w:shd w:val="clear" w:color="auto" w:fill="FFFFFF"/>
        </w:rPr>
        <w:t xml:space="preserve">creation of a consent solution with </w:t>
      </w:r>
      <w:r w:rsidRPr="00163FE4" w:rsidR="00163FE4">
        <w:rPr>
          <w:rStyle w:val="normaltextrun"/>
          <w:rFonts w:asciiTheme="minorHAnsi" w:hAnsiTheme="minorHAnsi"/>
          <w:color w:val="000000"/>
          <w:shd w:val="clear" w:color="auto" w:fill="FFFFFF"/>
        </w:rPr>
        <w:t>programmes on better use of data in the energy sector, including those on</w:t>
      </w:r>
      <w:r w:rsidRPr="00163FE4" w:rsidR="00B77735">
        <w:rPr>
          <w:rFonts w:asciiTheme="minorHAnsi" w:hAnsiTheme="minorHAnsi"/>
          <w:bCs/>
        </w:rPr>
        <w:t xml:space="preserve"> Modernising Energy Data Access,</w:t>
      </w:r>
      <w:r w:rsidRPr="00163FE4" w:rsidR="00163FE4">
        <w:rPr>
          <w:rFonts w:asciiTheme="minorHAnsi" w:hAnsiTheme="minorHAnsi"/>
          <w:bCs/>
        </w:rPr>
        <w:t xml:space="preserve"> the</w:t>
      </w:r>
      <w:r w:rsidRPr="00163FE4" w:rsidR="00B77735">
        <w:rPr>
          <w:rFonts w:asciiTheme="minorHAnsi" w:hAnsiTheme="minorHAnsi"/>
          <w:bCs/>
        </w:rPr>
        <w:t xml:space="preserve"> Smart Meter Energy Data Repository</w:t>
      </w:r>
      <w:r w:rsidRPr="00163FE4" w:rsidR="00163FE4">
        <w:rPr>
          <w:rFonts w:asciiTheme="minorHAnsi" w:hAnsiTheme="minorHAnsi"/>
          <w:bCs/>
        </w:rPr>
        <w:t xml:space="preserve"> and the </w:t>
      </w:r>
      <w:r w:rsidRPr="00163FE4" w:rsidR="00B77735">
        <w:rPr>
          <w:rFonts w:asciiTheme="minorHAnsi" w:hAnsiTheme="minorHAnsi"/>
          <w:bCs/>
        </w:rPr>
        <w:t>Smart Data Challenge</w:t>
      </w:r>
      <w:r w:rsidRPr="00163FE4" w:rsidR="00163FE4">
        <w:rPr>
          <w:rFonts w:asciiTheme="minorHAnsi" w:hAnsiTheme="minorHAnsi"/>
          <w:bCs/>
        </w:rPr>
        <w:t>.</w:t>
      </w:r>
      <w:r w:rsidRPr="00163FE4" w:rsidR="00526B9F">
        <w:rPr>
          <w:rStyle w:val="normaltextrun"/>
          <w:rFonts w:asciiTheme="minorHAnsi" w:hAnsiTheme="minorHAnsi"/>
          <w:color w:val="000000"/>
          <w:shd w:val="clear" w:color="auto" w:fill="FFFFFF"/>
        </w:rPr>
        <w:t xml:space="preserve"> </w:t>
      </w:r>
      <w:r w:rsidR="005C6740">
        <w:rPr>
          <w:rStyle w:val="normaltextrun"/>
          <w:rFonts w:asciiTheme="minorHAnsi" w:hAnsiTheme="minorHAnsi"/>
          <w:color w:val="000000"/>
          <w:shd w:val="clear" w:color="auto" w:fill="FFFFFF"/>
        </w:rPr>
        <w:t xml:space="preserve">These programmes all seek to enable greater delivery of benefits to consumers and the energy system, with potential for application </w:t>
      </w:r>
      <w:r w:rsidR="00A15B16">
        <w:rPr>
          <w:rStyle w:val="normaltextrun"/>
          <w:rFonts w:asciiTheme="minorHAnsi" w:hAnsiTheme="minorHAnsi"/>
          <w:color w:val="000000"/>
          <w:shd w:val="clear" w:color="auto" w:fill="FFFFFF"/>
        </w:rPr>
        <w:t xml:space="preserve">to the wider public good. </w:t>
      </w:r>
      <w:r w:rsidR="00117152">
        <w:rPr>
          <w:rStyle w:val="normaltextrun"/>
          <w:rFonts w:asciiTheme="minorHAnsi" w:hAnsiTheme="minorHAnsi"/>
          <w:color w:val="000000"/>
          <w:shd w:val="clear" w:color="auto" w:fill="FFFFFF"/>
        </w:rPr>
        <w:t>It is imperative these benefits are then clearly communicated and drive enhanced levels of engagement and trust</w:t>
      </w:r>
      <w:r w:rsidR="00C76EDC">
        <w:rPr>
          <w:rStyle w:val="normaltextrun"/>
          <w:rFonts w:asciiTheme="minorHAnsi" w:hAnsiTheme="minorHAnsi"/>
          <w:color w:val="000000"/>
          <w:shd w:val="clear" w:color="auto" w:fill="FFFFFF"/>
        </w:rPr>
        <w:t>.</w:t>
      </w:r>
    </w:p>
    <w:p w:rsidR="00EA55B5" w:rsidP="00F83256" w:rsidRDefault="009C6E82" w14:paraId="68E6CE85" w14:textId="70FF58AC">
      <w:pPr>
        <w:ind w:left="709"/>
        <w:rPr>
          <w:rStyle w:val="normaltextrun"/>
          <w:rFonts w:asciiTheme="minorHAnsi" w:hAnsiTheme="minorHAnsi"/>
          <w:color w:val="000000"/>
          <w:shd w:val="clear" w:color="auto" w:fill="FFFFFF"/>
        </w:rPr>
      </w:pPr>
      <w:r>
        <w:rPr>
          <w:rStyle w:val="normaltextrun"/>
          <w:rFonts w:asciiTheme="minorHAnsi" w:hAnsiTheme="minorHAnsi"/>
          <w:color w:val="000000"/>
          <w:shd w:val="clear" w:color="auto" w:fill="FFFFFF"/>
        </w:rPr>
        <w:t xml:space="preserve">Furthermore, to ensure </w:t>
      </w:r>
      <w:r w:rsidR="00FE2AAC">
        <w:rPr>
          <w:rStyle w:val="normaltextrun"/>
          <w:rFonts w:asciiTheme="minorHAnsi" w:hAnsiTheme="minorHAnsi"/>
          <w:color w:val="000000"/>
          <w:shd w:val="clear" w:color="auto" w:fill="FFFFFF"/>
        </w:rPr>
        <w:t xml:space="preserve">that </w:t>
      </w:r>
      <w:r w:rsidR="004B11F4">
        <w:rPr>
          <w:rStyle w:val="normaltextrun"/>
          <w:rFonts w:asciiTheme="minorHAnsi" w:hAnsiTheme="minorHAnsi"/>
          <w:color w:val="000000"/>
          <w:shd w:val="clear" w:color="auto" w:fill="FFFFFF"/>
        </w:rPr>
        <w:t>consumer trust is improved</w:t>
      </w:r>
      <w:r w:rsidR="00F51B34">
        <w:rPr>
          <w:rStyle w:val="normaltextrun"/>
          <w:rFonts w:asciiTheme="minorHAnsi" w:hAnsiTheme="minorHAnsi"/>
          <w:color w:val="000000"/>
          <w:shd w:val="clear" w:color="auto" w:fill="FFFFFF"/>
        </w:rPr>
        <w:t>,</w:t>
      </w:r>
      <w:r w:rsidR="001241F2">
        <w:rPr>
          <w:rStyle w:val="normaltextrun"/>
          <w:rFonts w:asciiTheme="minorHAnsi" w:hAnsiTheme="minorHAnsi"/>
          <w:color w:val="000000"/>
          <w:shd w:val="clear" w:color="auto" w:fill="FFFFFF"/>
        </w:rPr>
        <w:t xml:space="preserve"> </w:t>
      </w:r>
      <w:r w:rsidR="00D44095">
        <w:rPr>
          <w:rStyle w:val="normaltextrun"/>
          <w:rFonts w:asciiTheme="minorHAnsi" w:hAnsiTheme="minorHAnsi"/>
          <w:color w:val="000000"/>
          <w:shd w:val="clear" w:color="auto" w:fill="FFFFFF"/>
        </w:rPr>
        <w:t xml:space="preserve">there may be a role for </w:t>
      </w:r>
      <w:r w:rsidR="003153D9">
        <w:rPr>
          <w:rStyle w:val="normaltextrun"/>
          <w:rFonts w:asciiTheme="minorHAnsi" w:hAnsiTheme="minorHAnsi"/>
          <w:color w:val="000000"/>
          <w:shd w:val="clear" w:color="auto" w:fill="FFFFFF"/>
        </w:rPr>
        <w:t>cons</w:t>
      </w:r>
      <w:r w:rsidR="009253FE">
        <w:rPr>
          <w:rStyle w:val="normaltextrun"/>
          <w:rFonts w:asciiTheme="minorHAnsi" w:hAnsiTheme="minorHAnsi"/>
          <w:color w:val="000000"/>
          <w:shd w:val="clear" w:color="auto" w:fill="FFFFFF"/>
        </w:rPr>
        <w:t>umer</w:t>
      </w:r>
      <w:r w:rsidR="003153D9">
        <w:rPr>
          <w:rStyle w:val="normaltextrun"/>
          <w:rFonts w:asciiTheme="minorHAnsi" w:hAnsiTheme="minorHAnsi"/>
          <w:color w:val="000000"/>
          <w:shd w:val="clear" w:color="auto" w:fill="FFFFFF"/>
        </w:rPr>
        <w:t xml:space="preserve"> organisations such as Citizens Advice to </w:t>
      </w:r>
      <w:r w:rsidR="00F51B34">
        <w:rPr>
          <w:rStyle w:val="normaltextrun"/>
          <w:rFonts w:asciiTheme="minorHAnsi" w:hAnsiTheme="minorHAnsi"/>
          <w:color w:val="000000"/>
          <w:shd w:val="clear" w:color="auto" w:fill="FFFFFF"/>
        </w:rPr>
        <w:t>closely inform policy development</w:t>
      </w:r>
      <w:r w:rsidR="009253FE">
        <w:rPr>
          <w:rStyle w:val="normaltextrun"/>
          <w:rFonts w:asciiTheme="minorHAnsi" w:hAnsiTheme="minorHAnsi"/>
          <w:color w:val="000000"/>
          <w:shd w:val="clear" w:color="auto" w:fill="FFFFFF"/>
        </w:rPr>
        <w:t xml:space="preserve"> </w:t>
      </w:r>
      <w:r w:rsidR="00264618">
        <w:rPr>
          <w:rStyle w:val="normaltextrun"/>
          <w:rFonts w:asciiTheme="minorHAnsi" w:hAnsiTheme="minorHAnsi"/>
          <w:color w:val="000000"/>
          <w:shd w:val="clear" w:color="auto" w:fill="FFFFFF"/>
        </w:rPr>
        <w:t>to deliver th</w:t>
      </w:r>
      <w:r w:rsidR="00335EB5">
        <w:rPr>
          <w:rStyle w:val="normaltextrun"/>
          <w:rFonts w:asciiTheme="minorHAnsi" w:hAnsiTheme="minorHAnsi"/>
          <w:color w:val="000000"/>
          <w:shd w:val="clear" w:color="auto" w:fill="FFFFFF"/>
        </w:rPr>
        <w:t>is objective</w:t>
      </w:r>
      <w:r w:rsidR="00264618">
        <w:rPr>
          <w:rStyle w:val="normaltextrun"/>
          <w:rFonts w:asciiTheme="minorHAnsi" w:hAnsiTheme="minorHAnsi"/>
          <w:color w:val="000000"/>
          <w:shd w:val="clear" w:color="auto" w:fill="FFFFFF"/>
        </w:rPr>
        <w:t xml:space="preserve">. </w:t>
      </w:r>
      <w:r w:rsidR="005541F0">
        <w:rPr>
          <w:rStyle w:val="normaltextrun"/>
          <w:rFonts w:asciiTheme="minorHAnsi" w:hAnsiTheme="minorHAnsi"/>
          <w:color w:val="000000"/>
          <w:shd w:val="clear" w:color="auto" w:fill="FFFFFF"/>
        </w:rPr>
        <w:t xml:space="preserve"> Areas for consideration include inclusive design of solutions</w:t>
      </w:r>
      <w:r w:rsidR="00534FED">
        <w:rPr>
          <w:rStyle w:val="normaltextrun"/>
          <w:rFonts w:asciiTheme="minorHAnsi" w:hAnsiTheme="minorHAnsi"/>
          <w:color w:val="000000"/>
          <w:shd w:val="clear" w:color="auto" w:fill="FFFFFF"/>
        </w:rPr>
        <w:t xml:space="preserve"> and how automation will be engaged with</w:t>
      </w:r>
      <w:r w:rsidR="005541F0">
        <w:rPr>
          <w:rStyle w:val="normaltextrun"/>
          <w:rFonts w:asciiTheme="minorHAnsi" w:hAnsiTheme="minorHAnsi"/>
          <w:color w:val="000000"/>
          <w:shd w:val="clear" w:color="auto" w:fill="FFFFFF"/>
        </w:rPr>
        <w:t>, principle</w:t>
      </w:r>
      <w:r w:rsidR="0006661D">
        <w:rPr>
          <w:rStyle w:val="normaltextrun"/>
          <w:rFonts w:asciiTheme="minorHAnsi" w:hAnsiTheme="minorHAnsi"/>
          <w:color w:val="000000"/>
          <w:shd w:val="clear" w:color="auto" w:fill="FFFFFF"/>
        </w:rPr>
        <w:t>s for</w:t>
      </w:r>
      <w:r w:rsidR="00BF493C">
        <w:rPr>
          <w:rStyle w:val="normaltextrun"/>
          <w:rFonts w:asciiTheme="minorHAnsi" w:hAnsiTheme="minorHAnsi"/>
          <w:color w:val="000000"/>
          <w:shd w:val="clear" w:color="auto" w:fill="FFFFFF"/>
        </w:rPr>
        <w:t xml:space="preserve"> communication </w:t>
      </w:r>
      <w:r w:rsidR="00EA3339">
        <w:rPr>
          <w:rStyle w:val="normaltextrun"/>
          <w:rFonts w:asciiTheme="minorHAnsi" w:hAnsiTheme="minorHAnsi"/>
          <w:color w:val="000000"/>
          <w:shd w:val="clear" w:color="auto" w:fill="FFFFFF"/>
        </w:rPr>
        <w:t>with</w:t>
      </w:r>
      <w:r w:rsidR="00BF493C">
        <w:rPr>
          <w:rStyle w:val="normaltextrun"/>
          <w:rFonts w:asciiTheme="minorHAnsi" w:hAnsiTheme="minorHAnsi"/>
          <w:color w:val="000000"/>
          <w:shd w:val="clear" w:color="auto" w:fill="FFFFFF"/>
        </w:rPr>
        <w:t xml:space="preserve"> consumers</w:t>
      </w:r>
      <w:r w:rsidR="0006661D">
        <w:rPr>
          <w:rStyle w:val="normaltextrun"/>
          <w:rFonts w:asciiTheme="minorHAnsi" w:hAnsiTheme="minorHAnsi"/>
          <w:color w:val="000000"/>
          <w:shd w:val="clear" w:color="auto" w:fill="FFFFFF"/>
        </w:rPr>
        <w:t>,</w:t>
      </w:r>
      <w:r w:rsidR="00BF493C">
        <w:rPr>
          <w:rStyle w:val="normaltextrun"/>
          <w:rFonts w:asciiTheme="minorHAnsi" w:hAnsiTheme="minorHAnsi"/>
          <w:color w:val="000000"/>
          <w:shd w:val="clear" w:color="auto" w:fill="FFFFFF"/>
        </w:rPr>
        <w:t xml:space="preserve"> </w:t>
      </w:r>
      <w:r w:rsidR="00722918">
        <w:rPr>
          <w:rStyle w:val="normaltextrun"/>
          <w:rFonts w:asciiTheme="minorHAnsi" w:hAnsiTheme="minorHAnsi"/>
          <w:color w:val="000000"/>
          <w:shd w:val="clear" w:color="auto" w:fill="FFFFFF"/>
        </w:rPr>
        <w:t>in particular</w:t>
      </w:r>
      <w:r w:rsidR="00EA3339">
        <w:rPr>
          <w:rStyle w:val="normaltextrun"/>
          <w:rFonts w:asciiTheme="minorHAnsi" w:hAnsiTheme="minorHAnsi"/>
          <w:color w:val="000000"/>
          <w:shd w:val="clear" w:color="auto" w:fill="FFFFFF"/>
        </w:rPr>
        <w:t xml:space="preserve"> on</w:t>
      </w:r>
      <w:r w:rsidR="00722918">
        <w:rPr>
          <w:rStyle w:val="normaltextrun"/>
          <w:rFonts w:asciiTheme="minorHAnsi" w:hAnsiTheme="minorHAnsi"/>
          <w:color w:val="000000"/>
          <w:shd w:val="clear" w:color="auto" w:fill="FFFFFF"/>
        </w:rPr>
        <w:t xml:space="preserve"> how and why </w:t>
      </w:r>
      <w:r w:rsidR="00534FED">
        <w:rPr>
          <w:rStyle w:val="normaltextrun"/>
          <w:rFonts w:asciiTheme="minorHAnsi" w:hAnsiTheme="minorHAnsi"/>
          <w:color w:val="000000"/>
          <w:shd w:val="clear" w:color="auto" w:fill="FFFFFF"/>
        </w:rPr>
        <w:t>their</w:t>
      </w:r>
      <w:r w:rsidR="00722918">
        <w:rPr>
          <w:rStyle w:val="normaltextrun"/>
          <w:rFonts w:asciiTheme="minorHAnsi" w:hAnsiTheme="minorHAnsi"/>
          <w:color w:val="000000"/>
          <w:shd w:val="clear" w:color="auto" w:fill="FFFFFF"/>
        </w:rPr>
        <w:t xml:space="preserve"> data will be shared</w:t>
      </w:r>
      <w:r w:rsidR="00EA3339">
        <w:rPr>
          <w:rStyle w:val="normaltextrun"/>
          <w:rFonts w:asciiTheme="minorHAnsi" w:hAnsiTheme="minorHAnsi"/>
          <w:color w:val="000000"/>
          <w:shd w:val="clear" w:color="auto" w:fill="FFFFFF"/>
        </w:rPr>
        <w:t>, and</w:t>
      </w:r>
      <w:r w:rsidR="00A31FFB">
        <w:rPr>
          <w:rStyle w:val="normaltextrun"/>
          <w:rFonts w:asciiTheme="minorHAnsi" w:hAnsiTheme="minorHAnsi"/>
          <w:color w:val="000000"/>
          <w:shd w:val="clear" w:color="auto" w:fill="FFFFFF"/>
        </w:rPr>
        <w:t xml:space="preserve"> on </w:t>
      </w:r>
      <w:r w:rsidR="00534FED">
        <w:rPr>
          <w:rStyle w:val="normaltextrun"/>
          <w:rFonts w:asciiTheme="minorHAnsi" w:hAnsiTheme="minorHAnsi"/>
          <w:color w:val="000000"/>
          <w:shd w:val="clear" w:color="auto" w:fill="FFFFFF"/>
        </w:rPr>
        <w:t xml:space="preserve">whether </w:t>
      </w:r>
      <w:r w:rsidR="00A31FFB">
        <w:rPr>
          <w:rStyle w:val="normaltextrun"/>
          <w:rFonts w:asciiTheme="minorHAnsi" w:hAnsiTheme="minorHAnsi"/>
          <w:color w:val="000000"/>
          <w:shd w:val="clear" w:color="auto" w:fill="FFFFFF"/>
        </w:rPr>
        <w:t>additional consumer protection measures beyond GDPR</w:t>
      </w:r>
      <w:r w:rsidR="00534FED">
        <w:rPr>
          <w:rStyle w:val="normaltextrun"/>
          <w:rFonts w:asciiTheme="minorHAnsi" w:hAnsiTheme="minorHAnsi"/>
          <w:color w:val="000000"/>
          <w:shd w:val="clear" w:color="auto" w:fill="FFFFFF"/>
        </w:rPr>
        <w:t xml:space="preserve"> are required</w:t>
      </w:r>
      <w:r w:rsidR="00722918">
        <w:rPr>
          <w:rStyle w:val="normaltextrun"/>
          <w:rFonts w:asciiTheme="minorHAnsi" w:hAnsiTheme="minorHAnsi"/>
          <w:color w:val="000000"/>
          <w:shd w:val="clear" w:color="auto" w:fill="FFFFFF"/>
        </w:rPr>
        <w:t xml:space="preserve">. </w:t>
      </w:r>
    </w:p>
    <w:p w:rsidRPr="00335EB5" w:rsidR="0006661D" w:rsidP="00F83256" w:rsidRDefault="0011273D" w14:paraId="6F78CABC" w14:textId="3CB95822">
      <w:pPr>
        <w:ind w:left="709"/>
        <w:rPr>
          <w:rStyle w:val="normaltextrun"/>
          <w:rFonts w:asciiTheme="minorHAnsi" w:hAnsiTheme="minorHAnsi"/>
          <w:shd w:val="clear" w:color="auto" w:fill="FFFFFF"/>
        </w:rPr>
      </w:pPr>
      <w:r w:rsidRPr="00335EB5">
        <w:rPr>
          <w:rStyle w:val="normaltextrun"/>
          <w:rFonts w:asciiTheme="minorHAnsi" w:hAnsiTheme="minorHAnsi"/>
          <w:shd w:val="clear" w:color="auto" w:fill="FFFFFF"/>
        </w:rPr>
        <w:t xml:space="preserve">Finally, </w:t>
      </w:r>
      <w:r w:rsidRPr="00335EB5" w:rsidR="00662774">
        <w:rPr>
          <w:rStyle w:val="normaltextrun"/>
          <w:rFonts w:asciiTheme="minorHAnsi" w:hAnsiTheme="minorHAnsi"/>
          <w:shd w:val="clear" w:color="auto" w:fill="FFFFFF"/>
        </w:rPr>
        <w:t xml:space="preserve">to ensure the benefits of a consent solution are accrued </w:t>
      </w:r>
      <w:r w:rsidRPr="00335EB5" w:rsidR="00A2471D">
        <w:rPr>
          <w:rStyle w:val="normaltextrun"/>
          <w:rFonts w:asciiTheme="minorHAnsi" w:hAnsiTheme="minorHAnsi"/>
          <w:shd w:val="clear" w:color="auto" w:fill="FFFFFF"/>
        </w:rPr>
        <w:t xml:space="preserve">as widely as possible </w:t>
      </w:r>
      <w:r w:rsidRPr="00335EB5" w:rsidR="00662774">
        <w:rPr>
          <w:rStyle w:val="normaltextrun"/>
          <w:rFonts w:asciiTheme="minorHAnsi" w:hAnsiTheme="minorHAnsi"/>
          <w:shd w:val="clear" w:color="auto" w:fill="FFFFFF"/>
        </w:rPr>
        <w:t>by consumers</w:t>
      </w:r>
      <w:r w:rsidRPr="00335EB5" w:rsidR="00A2471D">
        <w:rPr>
          <w:rStyle w:val="normaltextrun"/>
          <w:rFonts w:asciiTheme="minorHAnsi" w:hAnsiTheme="minorHAnsi"/>
          <w:shd w:val="clear" w:color="auto" w:fill="FFFFFF"/>
        </w:rPr>
        <w:t xml:space="preserve">, </w:t>
      </w:r>
      <w:r w:rsidRPr="00335EB5" w:rsidR="006659C0">
        <w:rPr>
          <w:rStyle w:val="normaltextrun"/>
          <w:rFonts w:asciiTheme="minorHAnsi" w:hAnsiTheme="minorHAnsi"/>
          <w:shd w:val="clear" w:color="auto" w:fill="FFFFFF"/>
        </w:rPr>
        <w:t xml:space="preserve">prior to a solution being delivered, </w:t>
      </w:r>
      <w:r w:rsidRPr="00335EB5" w:rsidR="00764D79">
        <w:rPr>
          <w:rStyle w:val="normaltextrun"/>
          <w:rFonts w:asciiTheme="minorHAnsi" w:hAnsiTheme="minorHAnsi"/>
          <w:shd w:val="clear" w:color="auto" w:fill="FFFFFF"/>
        </w:rPr>
        <w:t>greater</w:t>
      </w:r>
      <w:r w:rsidRPr="00335EB5" w:rsidR="00662774">
        <w:rPr>
          <w:rStyle w:val="normaltextrun"/>
          <w:rFonts w:asciiTheme="minorHAnsi" w:hAnsiTheme="minorHAnsi"/>
          <w:shd w:val="clear" w:color="auto" w:fill="FFFFFF"/>
        </w:rPr>
        <w:t xml:space="preserve"> </w:t>
      </w:r>
      <w:r w:rsidRPr="00335EB5" w:rsidR="002225D2">
        <w:rPr>
          <w:rStyle w:val="normaltextrun"/>
          <w:rFonts w:asciiTheme="minorHAnsi" w:hAnsiTheme="minorHAnsi"/>
          <w:shd w:val="clear" w:color="auto" w:fill="FFFFFF"/>
        </w:rPr>
        <w:t>insight</w:t>
      </w:r>
      <w:r w:rsidRPr="00335EB5" w:rsidR="00662774">
        <w:rPr>
          <w:rStyle w:val="normaltextrun"/>
          <w:rFonts w:asciiTheme="minorHAnsi" w:hAnsiTheme="minorHAnsi"/>
          <w:shd w:val="clear" w:color="auto" w:fill="FFFFFF"/>
        </w:rPr>
        <w:t xml:space="preserve"> </w:t>
      </w:r>
      <w:r w:rsidRPr="00335EB5" w:rsidR="00764D79">
        <w:rPr>
          <w:rStyle w:val="normaltextrun"/>
          <w:rFonts w:asciiTheme="minorHAnsi" w:hAnsiTheme="minorHAnsi"/>
          <w:shd w:val="clear" w:color="auto" w:fill="FFFFFF"/>
        </w:rPr>
        <w:t>is requi</w:t>
      </w:r>
      <w:r w:rsidRPr="00335EB5" w:rsidR="00094433">
        <w:rPr>
          <w:rStyle w:val="normaltextrun"/>
          <w:rFonts w:asciiTheme="minorHAnsi" w:hAnsiTheme="minorHAnsi"/>
          <w:shd w:val="clear" w:color="auto" w:fill="FFFFFF"/>
        </w:rPr>
        <w:t xml:space="preserve">red on </w:t>
      </w:r>
      <w:r w:rsidRPr="00335EB5" w:rsidR="006659C0">
        <w:rPr>
          <w:rStyle w:val="normaltextrun"/>
          <w:rFonts w:asciiTheme="minorHAnsi" w:hAnsiTheme="minorHAnsi"/>
          <w:shd w:val="clear" w:color="auto" w:fill="FFFFFF"/>
        </w:rPr>
        <w:t xml:space="preserve">establishing why </w:t>
      </w:r>
      <w:r w:rsidRPr="00335EB5" w:rsidR="009D5BDE">
        <w:rPr>
          <w:rStyle w:val="normaltextrun"/>
          <w:rFonts w:asciiTheme="minorHAnsi" w:hAnsiTheme="minorHAnsi"/>
          <w:shd w:val="clear" w:color="auto" w:fill="FFFFFF"/>
        </w:rPr>
        <w:t xml:space="preserve">many </w:t>
      </w:r>
      <w:r w:rsidRPr="00335EB5" w:rsidR="006659C0">
        <w:rPr>
          <w:rStyle w:val="normaltextrun"/>
          <w:rFonts w:asciiTheme="minorHAnsi" w:hAnsiTheme="minorHAnsi"/>
          <w:shd w:val="clear" w:color="auto" w:fill="FFFFFF"/>
        </w:rPr>
        <w:t xml:space="preserve">consumers do not engage with the energy system </w:t>
      </w:r>
      <w:r w:rsidRPr="00335EB5" w:rsidR="009D5BDE">
        <w:rPr>
          <w:rStyle w:val="normaltextrun"/>
          <w:rFonts w:asciiTheme="minorHAnsi" w:hAnsiTheme="minorHAnsi"/>
          <w:shd w:val="clear" w:color="auto" w:fill="FFFFFF"/>
        </w:rPr>
        <w:t>to begin with</w:t>
      </w:r>
      <w:r w:rsidRPr="00335EB5" w:rsidR="006659C0">
        <w:rPr>
          <w:rStyle w:val="normaltextrun"/>
          <w:rFonts w:asciiTheme="minorHAnsi" w:hAnsiTheme="minorHAnsi"/>
          <w:shd w:val="clear" w:color="auto" w:fill="FFFFFF"/>
        </w:rPr>
        <w:t xml:space="preserve">. </w:t>
      </w:r>
      <w:r w:rsidRPr="00335EB5" w:rsidR="005262D0">
        <w:rPr>
          <w:rStyle w:val="normaltextrun"/>
          <w:rFonts w:asciiTheme="minorHAnsi" w:hAnsiTheme="minorHAnsi"/>
          <w:shd w:val="clear" w:color="auto" w:fill="FFFFFF"/>
        </w:rPr>
        <w:t xml:space="preserve">Appropriate use of smart metering data </w:t>
      </w:r>
      <w:r w:rsidRPr="00335EB5" w:rsidR="00335EB5">
        <w:rPr>
          <w:rStyle w:val="normaltextrun"/>
          <w:rFonts w:asciiTheme="minorHAnsi" w:hAnsiTheme="minorHAnsi"/>
          <w:shd w:val="clear" w:color="auto" w:fill="FFFFFF"/>
        </w:rPr>
        <w:t xml:space="preserve">(for example </w:t>
      </w:r>
      <w:r w:rsidRPr="00335EB5" w:rsidR="001613D4">
        <w:rPr>
          <w:rStyle w:val="normaltextrun"/>
          <w:rFonts w:asciiTheme="minorHAnsi" w:hAnsiTheme="minorHAnsi"/>
          <w:shd w:val="clear" w:color="auto" w:fill="FFFFFF"/>
        </w:rPr>
        <w:t>on visibility</w:t>
      </w:r>
      <w:r w:rsidRPr="00335EB5" w:rsidR="00335EB5">
        <w:rPr>
          <w:shd w:val="clear" w:color="auto" w:fill="FFFFFF"/>
        </w:rPr>
        <w:t xml:space="preserve"> of households on emergency credit and those who have self-disconnected)</w:t>
      </w:r>
      <w:r w:rsidRPr="00335EB5" w:rsidR="005262D0">
        <w:rPr>
          <w:rStyle w:val="normaltextrun"/>
          <w:rFonts w:asciiTheme="minorHAnsi" w:hAnsiTheme="minorHAnsi"/>
          <w:shd w:val="clear" w:color="auto" w:fill="FFFFFF"/>
        </w:rPr>
        <w:t xml:space="preserve"> </w:t>
      </w:r>
      <w:r w:rsidRPr="00335EB5" w:rsidR="009D5BDE">
        <w:rPr>
          <w:rStyle w:val="normaltextrun"/>
          <w:rFonts w:asciiTheme="minorHAnsi" w:hAnsiTheme="minorHAnsi"/>
          <w:shd w:val="clear" w:color="auto" w:fill="FFFFFF"/>
        </w:rPr>
        <w:t xml:space="preserve">combined with other data sets </w:t>
      </w:r>
      <w:r w:rsidRPr="00335EB5" w:rsidR="005262D0">
        <w:rPr>
          <w:rStyle w:val="normaltextrun"/>
          <w:rFonts w:asciiTheme="minorHAnsi" w:hAnsiTheme="minorHAnsi"/>
          <w:shd w:val="clear" w:color="auto" w:fill="FFFFFF"/>
        </w:rPr>
        <w:t>allows for up</w:t>
      </w:r>
      <w:r w:rsidRPr="00335EB5" w:rsidR="00EA3339">
        <w:rPr>
          <w:rStyle w:val="normaltextrun"/>
          <w:rFonts w:asciiTheme="minorHAnsi" w:hAnsiTheme="minorHAnsi"/>
          <w:shd w:val="clear" w:color="auto" w:fill="FFFFFF"/>
        </w:rPr>
        <w:t>-</w:t>
      </w:r>
      <w:r w:rsidRPr="00335EB5" w:rsidR="005262D0">
        <w:rPr>
          <w:rStyle w:val="normaltextrun"/>
          <w:rFonts w:asciiTheme="minorHAnsi" w:hAnsiTheme="minorHAnsi"/>
          <w:shd w:val="clear" w:color="auto" w:fill="FFFFFF"/>
        </w:rPr>
        <w:t>to</w:t>
      </w:r>
      <w:r w:rsidRPr="00335EB5" w:rsidR="00EA3339">
        <w:rPr>
          <w:rStyle w:val="normaltextrun"/>
          <w:rFonts w:asciiTheme="minorHAnsi" w:hAnsiTheme="minorHAnsi"/>
          <w:shd w:val="clear" w:color="auto" w:fill="FFFFFF"/>
        </w:rPr>
        <w:t>-</w:t>
      </w:r>
      <w:r w:rsidRPr="00335EB5" w:rsidR="005262D0">
        <w:rPr>
          <w:rStyle w:val="normaltextrun"/>
          <w:rFonts w:asciiTheme="minorHAnsi" w:hAnsiTheme="minorHAnsi"/>
          <w:shd w:val="clear" w:color="auto" w:fill="FFFFFF"/>
        </w:rPr>
        <w:t xml:space="preserve">date consumer segmentation and profiling which can </w:t>
      </w:r>
      <w:r w:rsidRPr="00335EB5" w:rsidR="00552B07">
        <w:rPr>
          <w:rStyle w:val="normaltextrun"/>
          <w:rFonts w:asciiTheme="minorHAnsi" w:hAnsiTheme="minorHAnsi"/>
          <w:shd w:val="clear" w:color="auto" w:fill="FFFFFF"/>
        </w:rPr>
        <w:t>enhance the policy development and d</w:t>
      </w:r>
      <w:r w:rsidRPr="00335EB5" w:rsidR="00335EB5">
        <w:rPr>
          <w:rStyle w:val="normaltextrun"/>
          <w:rFonts w:asciiTheme="minorHAnsi" w:hAnsiTheme="minorHAnsi"/>
          <w:shd w:val="clear" w:color="auto" w:fill="FFFFFF"/>
        </w:rPr>
        <w:t>elivery</w:t>
      </w:r>
      <w:r w:rsidRPr="00335EB5" w:rsidR="00552B07">
        <w:rPr>
          <w:rStyle w:val="normaltextrun"/>
          <w:rFonts w:asciiTheme="minorHAnsi" w:hAnsiTheme="minorHAnsi"/>
          <w:shd w:val="clear" w:color="auto" w:fill="FFFFFF"/>
        </w:rPr>
        <w:t xml:space="preserve"> </w:t>
      </w:r>
      <w:r w:rsidRPr="00335EB5" w:rsidR="00C064C9">
        <w:rPr>
          <w:rStyle w:val="normaltextrun"/>
          <w:rFonts w:asciiTheme="minorHAnsi" w:hAnsiTheme="minorHAnsi"/>
          <w:shd w:val="clear" w:color="auto" w:fill="FFFFFF"/>
        </w:rPr>
        <w:t xml:space="preserve">of </w:t>
      </w:r>
      <w:r w:rsidRPr="00335EB5" w:rsidR="005844C0">
        <w:rPr>
          <w:rStyle w:val="normaltextrun"/>
          <w:rFonts w:asciiTheme="minorHAnsi" w:hAnsiTheme="minorHAnsi"/>
          <w:shd w:val="clear" w:color="auto" w:fill="FFFFFF"/>
        </w:rPr>
        <w:t xml:space="preserve">the </w:t>
      </w:r>
      <w:r w:rsidRPr="00335EB5" w:rsidR="00335EB5">
        <w:rPr>
          <w:rStyle w:val="normaltextrun"/>
          <w:rFonts w:asciiTheme="minorHAnsi" w:hAnsiTheme="minorHAnsi"/>
          <w:shd w:val="clear" w:color="auto" w:fill="FFFFFF"/>
        </w:rPr>
        <w:t xml:space="preserve">decided consent solution. </w:t>
      </w:r>
    </w:p>
    <w:p w:rsidR="00EA55B5" w:rsidP="00163FE4" w:rsidRDefault="00EA55B5" w14:paraId="4E76D6F6" w14:textId="77777777">
      <w:pPr>
        <w:rPr>
          <w:rStyle w:val="normaltextrun"/>
          <w:rFonts w:asciiTheme="minorHAnsi" w:hAnsiTheme="minorHAnsi"/>
          <w:color w:val="000000"/>
          <w:shd w:val="clear" w:color="auto" w:fill="FFFFFF"/>
        </w:rPr>
      </w:pPr>
    </w:p>
    <w:p w:rsidRPr="00314544" w:rsidR="00EB5E41" w:rsidP="00314544" w:rsidRDefault="00EB5E41" w14:paraId="664AAF09" w14:textId="77777777">
      <w:pPr>
        <w:ind w:left="936" w:hanging="227"/>
        <w:rPr>
          <w:rStyle w:val="normaltextrun"/>
          <w:rFonts w:asciiTheme="minorHAnsi" w:hAnsiTheme="minorHAnsi"/>
          <w:color w:val="000000"/>
          <w:shd w:val="clear" w:color="auto" w:fill="FFFFFF"/>
        </w:rPr>
      </w:pPr>
    </w:p>
    <w:p w:rsidR="004E44EA" w:rsidP="00163FE4" w:rsidRDefault="004E44EA" w14:paraId="28CAF727" w14:textId="77777777">
      <w:pPr>
        <w:rPr>
          <w:rStyle w:val="normaltextrun"/>
          <w:rFonts w:asciiTheme="minorHAnsi" w:hAnsiTheme="minorHAnsi"/>
          <w:color w:val="000000"/>
          <w:shd w:val="clear" w:color="auto" w:fill="FFFFFF"/>
        </w:rPr>
      </w:pPr>
    </w:p>
    <w:p w:rsidRPr="00163FE4" w:rsidR="00163FE4" w:rsidP="00163FE4" w:rsidRDefault="00163FE4" w14:paraId="2B286AE9" w14:textId="77777777">
      <w:pPr>
        <w:rPr>
          <w:rStyle w:val="cf01"/>
          <w:rFonts w:asciiTheme="minorHAnsi" w:hAnsiTheme="minorHAnsi" w:cstheme="minorBidi"/>
          <w:color w:val="000000"/>
          <w:sz w:val="22"/>
          <w:szCs w:val="22"/>
          <w:shd w:val="clear" w:color="auto" w:fill="FFFFFF"/>
        </w:rPr>
      </w:pPr>
    </w:p>
    <w:p w:rsidR="00526B9F" w:rsidP="00526B9F" w:rsidRDefault="00526B9F" w14:paraId="617EFBCE" w14:textId="60268193">
      <w:pPr>
        <w:rPr>
          <w:rStyle w:val="cf01"/>
          <w:rFonts w:asciiTheme="majorHAnsi" w:hAnsiTheme="majorHAnsi"/>
          <w:sz w:val="22"/>
          <w:szCs w:val="22"/>
        </w:rPr>
      </w:pPr>
    </w:p>
    <w:p w:rsidR="00C34690" w:rsidP="00735B78" w:rsidRDefault="00C34690" w14:paraId="7EEE8D29" w14:textId="77777777">
      <w:pPr>
        <w:rPr>
          <w:rStyle w:val="cf01"/>
          <w:rFonts w:asciiTheme="majorHAnsi" w:hAnsiTheme="majorHAnsi"/>
          <w:sz w:val="22"/>
          <w:szCs w:val="22"/>
        </w:rPr>
      </w:pPr>
    </w:p>
    <w:p w:rsidR="00F522AA" w:rsidP="00735B78" w:rsidRDefault="00F522AA" w14:paraId="1ACBC21C" w14:textId="77777777">
      <w:pPr>
        <w:rPr>
          <w:rStyle w:val="cf01"/>
          <w:rFonts w:asciiTheme="majorHAnsi" w:hAnsiTheme="majorHAnsi"/>
          <w:sz w:val="22"/>
          <w:szCs w:val="22"/>
        </w:rPr>
      </w:pPr>
    </w:p>
    <w:p w:rsidR="00F522AA" w:rsidP="00735B78" w:rsidRDefault="00F522AA" w14:paraId="29A167C9" w14:textId="77777777">
      <w:pPr>
        <w:rPr>
          <w:rStyle w:val="cf01"/>
          <w:rFonts w:asciiTheme="majorHAnsi" w:hAnsiTheme="majorHAnsi"/>
          <w:sz w:val="22"/>
          <w:szCs w:val="22"/>
        </w:rPr>
      </w:pPr>
    </w:p>
    <w:p w:rsidRPr="00AC3619" w:rsidR="00C152D2" w:rsidP="00735B78" w:rsidRDefault="00DC16D1" w14:paraId="06327F2E" w14:textId="396A4FCA">
      <w:pPr>
        <w:rPr>
          <w:rFonts w:asciiTheme="majorHAnsi" w:hAnsiTheme="majorHAnsi"/>
        </w:rPr>
      </w:pPr>
      <w:r>
        <w:rPr>
          <w:rStyle w:val="cf01"/>
          <w:rFonts w:asciiTheme="majorHAnsi" w:hAnsiTheme="majorHAnsi"/>
          <w:sz w:val="22"/>
          <w:szCs w:val="22"/>
        </w:rPr>
        <w:t xml:space="preserve">. </w:t>
      </w:r>
    </w:p>
    <w:sectPr w:rsidRPr="00AC3619" w:rsidR="00C152D2" w:rsidSect="00CE45E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orient="portrait"/>
      <w:pgMar w:top="2291" w:right="851" w:bottom="2291" w:left="851" w:header="340" w:footer="45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77D84" w:rsidP="00EA3739" w:rsidRDefault="00B77D84" w14:paraId="7D4A0E55" w14:textId="77777777">
      <w:r>
        <w:separator/>
      </w:r>
    </w:p>
  </w:endnote>
  <w:endnote w:type="continuationSeparator" w:id="0">
    <w:p w:rsidR="00B77D84" w:rsidP="00EA3739" w:rsidRDefault="00B77D84" w14:paraId="43C474DC" w14:textId="77777777">
      <w:r>
        <w:continuationSeparator/>
      </w:r>
    </w:p>
  </w:endnote>
  <w:endnote w:type="continuationNotice" w:id="1">
    <w:p w:rsidR="00B77D84" w:rsidRDefault="00B77D84" w14:paraId="138FA1D1"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bold">
    <w:altName w:val="Segoe UI"/>
    <w:panose1 w:val="020F0502020204030203"/>
    <w:charset w:val="00"/>
    <w:family w:val="roman"/>
    <w:pitch w:val="default"/>
  </w:font>
  <w:font w:name="Bradley Hand ITC">
    <w:panose1 w:val="03070402050302030203"/>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53637" w:rsidRDefault="005D2B40" w14:paraId="5C3BAC7F" w14:textId="613E3B86">
    <w:pPr>
      <w:pStyle w:val="Footer"/>
      <w:framePr w:wrap="none" w:hAnchor="margin" w:vAnchor="text" w:xAlign="right" w:y="1"/>
      <w:rPr>
        <w:rStyle w:val="PageNumber"/>
      </w:rPr>
    </w:pPr>
    <w:r>
      <w:rPr>
        <w:noProof/>
      </w:rPr>
      <mc:AlternateContent>
        <mc:Choice Requires="wps">
          <w:drawing>
            <wp:anchor distT="0" distB="0" distL="0" distR="0" simplePos="0" relativeHeight="251660289" behindDoc="0" locked="0" layoutInCell="1" allowOverlap="1" wp14:anchorId="2B7E8049" wp14:editId="68C5867E">
              <wp:simplePos x="635" y="635"/>
              <wp:positionH relativeFrom="page">
                <wp:align>center</wp:align>
              </wp:positionH>
              <wp:positionV relativeFrom="page">
                <wp:align>bottom</wp:align>
              </wp:positionV>
              <wp:extent cx="443865" cy="443865"/>
              <wp:effectExtent l="0" t="0" r="9525" b="0"/>
              <wp:wrapNone/>
              <wp:docPr id="10" name="Text Box 10"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D2B40" w:rsidR="005D2B40" w:rsidP="005D2B40" w:rsidRDefault="005D2B40" w14:paraId="05F21892" w14:textId="33A55548">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B7E8049">
              <v:stroke joinstyle="miter"/>
              <v:path gradientshapeok="t" o:connecttype="rect"/>
            </v:shapetype>
            <v:shape id="Text Box 10" style="position:absolute;margin-left:0;margin-top:0;width:34.95pt;height:34.95pt;z-index:251660289;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v:fill o:detectmouseclick="t"/>
              <v:textbox style="mso-fit-shape-to-text:t" inset="0,0,0,15pt">
                <w:txbxContent>
                  <w:p w:rsidRPr="005D2B40" w:rsidR="005D2B40" w:rsidP="005D2B40" w:rsidRDefault="005D2B40" w14:paraId="05F21892" w14:textId="33A55548">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v:textbox>
              <w10:wrap anchorx="page" anchory="page"/>
            </v:shape>
          </w:pict>
        </mc:Fallback>
      </mc:AlternateContent>
    </w:r>
    <w:r w:rsidR="00F53637">
      <w:rPr>
        <w:rStyle w:val="PageNumber"/>
      </w:rPr>
      <w:fldChar w:fldCharType="begin"/>
    </w:r>
    <w:r w:rsidR="00F53637">
      <w:rPr>
        <w:rStyle w:val="PageNumber"/>
      </w:rPr>
      <w:instrText xml:space="preserve">PAGE  </w:instrText>
    </w:r>
    <w:r w:rsidR="00F53637">
      <w:rPr>
        <w:rStyle w:val="PageNumber"/>
      </w:rPr>
      <w:fldChar w:fldCharType="separate"/>
    </w:r>
    <w:r w:rsidR="008938D7">
      <w:rPr>
        <w:rStyle w:val="PageNumber"/>
        <w:noProof/>
      </w:rPr>
      <w:t>2</w:t>
    </w:r>
    <w:r w:rsidR="00F53637">
      <w:rPr>
        <w:rStyle w:val="PageNumber"/>
      </w:rPr>
      <w:fldChar w:fldCharType="end"/>
    </w:r>
  </w:p>
  <w:p w:rsidR="00F53637" w:rsidP="00F53637" w:rsidRDefault="00F53637" w14:paraId="1EEF4520"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Pr="003C65A5" w:rsidR="00F53637" w:rsidP="003C65A5" w:rsidRDefault="005D2B40" w14:paraId="01A0A7DA" w14:textId="3EDB81E7">
    <w:pPr>
      <w:pStyle w:val="Footer"/>
      <w:tabs>
        <w:tab w:val="clear" w:pos="5103"/>
        <w:tab w:val="left" w:pos="10080"/>
      </w:tabs>
      <w:ind w:left="595"/>
      <w:rPr>
        <w:b/>
        <w:color w:val="CA005D" w:themeColor="accent3"/>
        <w:sz w:val="20"/>
        <w:szCs w:val="20"/>
      </w:rPr>
    </w:pPr>
    <w:r>
      <w:rPr>
        <w:b/>
        <w:noProof/>
        <w:color w:val="CA005D" w:themeColor="accent3"/>
      </w:rPr>
      <mc:AlternateContent>
        <mc:Choice Requires="wps">
          <w:drawing>
            <wp:anchor distT="0" distB="0" distL="0" distR="0" simplePos="0" relativeHeight="251661313" behindDoc="0" locked="0" layoutInCell="1" allowOverlap="1" wp14:anchorId="061350B7" wp14:editId="20892128">
              <wp:simplePos x="635" y="635"/>
              <wp:positionH relativeFrom="page">
                <wp:align>center</wp:align>
              </wp:positionH>
              <wp:positionV relativeFrom="page">
                <wp:align>bottom</wp:align>
              </wp:positionV>
              <wp:extent cx="443865" cy="443865"/>
              <wp:effectExtent l="0" t="0" r="9525" b="0"/>
              <wp:wrapNone/>
              <wp:docPr id="11" name="Text Box 1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D2B40" w:rsidR="005D2B40" w:rsidP="005D2B40" w:rsidRDefault="005D2B40" w14:paraId="2478FD1A" w14:textId="50928870">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61350B7">
              <v:stroke joinstyle="miter"/>
              <v:path gradientshapeok="t" o:connecttype="rect"/>
            </v:shapetype>
            <v:shape id="Text Box 11" style="position:absolute;left:0;text-align:left;margin-left:0;margin-top:0;width:34.95pt;height:34.95pt;z-index:251661313;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v:fill o:detectmouseclick="t"/>
              <v:textbox style="mso-fit-shape-to-text:t" inset="0,0,0,15pt">
                <w:txbxContent>
                  <w:p w:rsidRPr="005D2B40" w:rsidR="005D2B40" w:rsidP="005D2B40" w:rsidRDefault="005D2B40" w14:paraId="2478FD1A" w14:textId="50928870">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v:textbox>
              <w10:wrap anchorx="page" anchory="page"/>
            </v:shape>
          </w:pict>
        </mc:Fallback>
      </mc:AlternateContent>
    </w:r>
    <w:r w:rsidRPr="003C65A5" w:rsidR="00593E0E">
      <w:rPr>
        <w:b/>
        <w:color w:val="CA005D" w:themeColor="accent3"/>
      </w:rPr>
      <w:tab/>
    </w:r>
    <w:r w:rsidRPr="003C65A5" w:rsidR="00593E0E">
      <w:rPr>
        <w:b/>
        <w:color w:val="CA005D" w:themeColor="accent3"/>
      </w:rPr>
      <w:tab/>
    </w:r>
    <w:r w:rsidRPr="001B685B" w:rsidR="00593E0E">
      <w:rPr>
        <w:b/>
        <w:color w:val="000000" w:themeColor="text1"/>
        <w:sz w:val="20"/>
        <w:szCs w:val="20"/>
      </w:rPr>
      <w:fldChar w:fldCharType="begin"/>
    </w:r>
    <w:r w:rsidRPr="001B685B" w:rsidR="00593E0E">
      <w:rPr>
        <w:b/>
        <w:color w:val="000000" w:themeColor="text1"/>
        <w:sz w:val="20"/>
        <w:szCs w:val="20"/>
      </w:rPr>
      <w:instrText xml:space="preserve"> PAGE   \* MERGEFORMAT </w:instrText>
    </w:r>
    <w:r w:rsidRPr="001B685B" w:rsidR="00593E0E">
      <w:rPr>
        <w:b/>
        <w:color w:val="000000" w:themeColor="text1"/>
        <w:sz w:val="20"/>
        <w:szCs w:val="20"/>
      </w:rPr>
      <w:fldChar w:fldCharType="separate"/>
    </w:r>
    <w:r w:rsidR="00D918E9">
      <w:rPr>
        <w:b/>
        <w:noProof/>
        <w:color w:val="000000" w:themeColor="text1"/>
        <w:sz w:val="20"/>
        <w:szCs w:val="20"/>
      </w:rPr>
      <w:t>2</w:t>
    </w:r>
    <w:r w:rsidRPr="001B685B" w:rsidR="00593E0E">
      <w:rPr>
        <w:b/>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Pr="003C65A5" w:rsidR="003232E7" w:rsidP="003C65A5" w:rsidRDefault="005D2B40" w14:paraId="338680D8" w14:textId="7E889DBE">
    <w:pPr>
      <w:pStyle w:val="Footer"/>
      <w:tabs>
        <w:tab w:val="clear" w:pos="5103"/>
        <w:tab w:val="left" w:pos="10080"/>
      </w:tabs>
      <w:ind w:left="595"/>
      <w:rPr>
        <w:b/>
        <w:color w:val="CA005D" w:themeColor="accent3"/>
        <w:sz w:val="20"/>
        <w:szCs w:val="20"/>
      </w:rPr>
    </w:pPr>
    <w:r>
      <w:rPr>
        <w:b/>
        <w:noProof/>
        <w:color w:val="CA005D" w:themeColor="accent3"/>
      </w:rPr>
      <mc:AlternateContent>
        <mc:Choice Requires="wps">
          <w:drawing>
            <wp:anchor distT="0" distB="0" distL="0" distR="0" simplePos="0" relativeHeight="251659265" behindDoc="0" locked="0" layoutInCell="1" allowOverlap="1" wp14:anchorId="5A187FE7" wp14:editId="1187A15B">
              <wp:simplePos x="635" y="635"/>
              <wp:positionH relativeFrom="page">
                <wp:align>center</wp:align>
              </wp:positionH>
              <wp:positionV relativeFrom="page">
                <wp:align>bottom</wp:align>
              </wp:positionV>
              <wp:extent cx="443865" cy="443865"/>
              <wp:effectExtent l="0" t="0" r="9525" b="0"/>
              <wp:wrapNone/>
              <wp:docPr id="9" name="Text Box 9"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D2B40" w:rsidR="005D2B40" w:rsidP="005D2B40" w:rsidRDefault="005D2B40" w14:paraId="1BF6CBCE" w14:textId="65F56098">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A187FE7">
              <v:stroke joinstyle="miter"/>
              <v:path gradientshapeok="t" o:connecttype="rect"/>
            </v:shapetype>
            <v:shape id="Text Box 9" style="position:absolute;left:0;text-align:left;margin-left:0;margin-top:0;width:34.95pt;height:34.95pt;z-index:251659265;visibility:visible;mso-wrap-style:none;mso-wrap-distance-left:0;mso-wrap-distance-top:0;mso-wrap-distance-right:0;mso-wrap-distance-bottom:0;mso-position-horizontal:center;mso-position-horizontal-relative:page;mso-position-vertical:bottom;mso-position-vertical-relative:page;v-text-anchor:bottom" alt="OFFICIAL-InternalOnly"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fill o:detectmouseclick="t"/>
              <v:textbox style="mso-fit-shape-to-text:t" inset="0,0,0,15pt">
                <w:txbxContent>
                  <w:p w:rsidRPr="005D2B40" w:rsidR="005D2B40" w:rsidP="005D2B40" w:rsidRDefault="005D2B40" w14:paraId="1BF6CBCE" w14:textId="65F56098">
                    <w:pPr>
                      <w:spacing w:after="0"/>
                      <w:rPr>
                        <w:rFonts w:ascii="Calibri" w:hAnsi="Calibri" w:eastAsia="Calibri" w:cs="Calibri"/>
                        <w:noProof/>
                        <w:color w:val="000000"/>
                        <w:sz w:val="20"/>
                        <w:szCs w:val="20"/>
                      </w:rPr>
                    </w:pPr>
                    <w:r w:rsidRPr="005D2B40">
                      <w:rPr>
                        <w:rFonts w:ascii="Calibri" w:hAnsi="Calibri" w:eastAsia="Calibri" w:cs="Calibri"/>
                        <w:noProof/>
                        <w:color w:val="000000"/>
                        <w:sz w:val="20"/>
                        <w:szCs w:val="20"/>
                      </w:rPr>
                      <w:t>OFFICIAL-InternalOnly</w:t>
                    </w:r>
                  </w:p>
                </w:txbxContent>
              </v:textbox>
              <w10:wrap anchorx="page" anchory="page"/>
            </v:shape>
          </w:pict>
        </mc:Fallback>
      </mc:AlternateContent>
    </w:r>
    <w:r w:rsidRPr="003C65A5" w:rsidR="008938D7">
      <w:rPr>
        <w:b/>
        <w:color w:val="CA005D" w:themeColor="accent3"/>
      </w:rPr>
      <w:tab/>
    </w:r>
    <w:r w:rsidRPr="003C65A5" w:rsidR="00BE3F1A">
      <w:rPr>
        <w:b/>
        <w:color w:val="CA005D" w:themeColor="accent3"/>
      </w:rPr>
      <w:tab/>
    </w:r>
    <w:r w:rsidRPr="001B685B" w:rsidR="008938D7">
      <w:rPr>
        <w:b/>
        <w:color w:val="000000" w:themeColor="text1"/>
        <w:sz w:val="20"/>
        <w:szCs w:val="20"/>
      </w:rPr>
      <w:fldChar w:fldCharType="begin"/>
    </w:r>
    <w:r w:rsidRPr="001B685B" w:rsidR="008938D7">
      <w:rPr>
        <w:b/>
        <w:color w:val="000000" w:themeColor="text1"/>
        <w:sz w:val="20"/>
        <w:szCs w:val="20"/>
      </w:rPr>
      <w:instrText xml:space="preserve"> PAGE   \* MERGEFORMAT </w:instrText>
    </w:r>
    <w:r w:rsidRPr="001B685B" w:rsidR="008938D7">
      <w:rPr>
        <w:b/>
        <w:color w:val="000000" w:themeColor="text1"/>
        <w:sz w:val="20"/>
        <w:szCs w:val="20"/>
      </w:rPr>
      <w:fldChar w:fldCharType="separate"/>
    </w:r>
    <w:r w:rsidR="00D918E9">
      <w:rPr>
        <w:b/>
        <w:noProof/>
        <w:color w:val="000000" w:themeColor="text1"/>
        <w:sz w:val="20"/>
        <w:szCs w:val="20"/>
      </w:rPr>
      <w:t>1</w:t>
    </w:r>
    <w:r w:rsidRPr="001B685B" w:rsidR="008938D7">
      <w:rPr>
        <w:b/>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77D84" w:rsidP="00EA3739" w:rsidRDefault="00B77D84" w14:paraId="0BAAAA9B" w14:textId="77777777"/>
  </w:footnote>
  <w:footnote w:type="continuationSeparator" w:id="0">
    <w:p w:rsidR="00B77D84" w:rsidP="00EA3739" w:rsidRDefault="00B77D84" w14:paraId="4A29CC3A" w14:textId="77777777">
      <w:r>
        <w:continuationSeparator/>
      </w:r>
    </w:p>
  </w:footnote>
  <w:footnote w:type="continuationNotice" w:id="1">
    <w:p w:rsidR="00B77D84" w:rsidRDefault="00B77D84" w14:paraId="6F5F0524" w14:textId="77777777">
      <w:pPr>
        <w:spacing w:after="0"/>
      </w:pPr>
    </w:p>
  </w:footnote>
  <w:footnote w:id="2">
    <w:p w:rsidR="009237DF" w:rsidRDefault="009237DF" w14:paraId="7B818A46" w14:textId="32675238">
      <w:pPr>
        <w:pStyle w:val="FootnoteText"/>
      </w:pPr>
      <w:r>
        <w:rPr>
          <w:rStyle w:val="FootnoteReference"/>
        </w:rPr>
        <w:footnoteRef/>
      </w:r>
      <w:r>
        <w:t xml:space="preserve"> Meter Point Administration Number</w:t>
      </w:r>
    </w:p>
  </w:footnote>
  <w:footnote w:id="3">
    <w:p w:rsidR="008C12A6" w:rsidRDefault="008C12A6" w14:paraId="24D3A157" w14:textId="42BB5B01">
      <w:pPr>
        <w:pStyle w:val="FootnoteText"/>
      </w:pPr>
      <w:r>
        <w:rPr>
          <w:rStyle w:val="FootnoteReference"/>
        </w:rPr>
        <w:footnoteRef/>
      </w:r>
      <w:r>
        <w:t xml:space="preserve"> </w:t>
      </w:r>
      <w:hyperlink w:history="1" r:id="rId1">
        <w:r w:rsidR="00435BF7">
          <w:rPr>
            <w:rStyle w:val="Hyperlink"/>
          </w:rPr>
          <w:t>Data-For-Good-Final.pdf (esc-production-2021.s3.eu-west-2.amazonaws.com)</w:t>
        </w:r>
      </w:hyperlink>
    </w:p>
  </w:footnote>
  <w:footnote w:id="4">
    <w:p w:rsidR="002452B2" w:rsidRDefault="002452B2" w14:paraId="2FC50BE9" w14:textId="3CDF7390">
      <w:pPr>
        <w:pStyle w:val="FootnoteText"/>
      </w:pPr>
      <w:r>
        <w:rPr>
          <w:rStyle w:val="FootnoteReference"/>
        </w:rPr>
        <w:footnoteRef/>
      </w:r>
      <w:r w:rsidRPr="002452B2">
        <w:t xml:space="preserve"> </w:t>
      </w:r>
      <w:hyperlink w:history="1" r:id="rId2">
        <w:r w:rsidRPr="00446C41" w:rsidR="00446C41">
          <w:rPr>
            <w:rStyle w:val="Hyperlink"/>
          </w:rPr>
          <w:t>Which Survey March 2023</w:t>
        </w:r>
      </w:hyperlink>
      <w:r w:rsidR="00446C41">
        <w:t xml:space="preserve"> – only </w:t>
      </w:r>
      <w:r w:rsidRPr="002452B2">
        <w:t>16% of consumers say they trust the sector to act in their best interests,</w:t>
      </w:r>
    </w:p>
  </w:footnote>
  <w:footnote w:id="5">
    <w:p w:rsidR="00640607" w:rsidRDefault="00640607" w14:paraId="23A1AAA2" w14:textId="675B8EFB">
      <w:pPr>
        <w:pStyle w:val="FootnoteText"/>
      </w:pPr>
      <w:r>
        <w:rPr>
          <w:rStyle w:val="FootnoteReference"/>
        </w:rPr>
        <w:footnoteRef/>
      </w:r>
      <w:r>
        <w:t xml:space="preserve"> </w:t>
      </w:r>
      <w:hyperlink w:history="1" r:id="rId3">
        <w:r>
          <w:rPr>
            <w:rStyle w:val="Hyperlink"/>
          </w:rPr>
          <w:t>Consent granted to DCC under Conditions 9 and 10 of the Smart Meter Communication Licence, and Section M4.3 of the Smart Energy Code - August 2023 | Ofgem</w:t>
        </w:r>
      </w:hyperlink>
    </w:p>
  </w:footnote>
  <w:footnote w:id="6">
    <w:p w:rsidRPr="002F0AC1" w:rsidR="002F0AC1" w:rsidP="002F0AC1" w:rsidRDefault="00640607" w14:paraId="65EF17E9" w14:textId="6D1E590B">
      <w:pPr>
        <w:pStyle w:val="FootnoteText"/>
      </w:pPr>
      <w:r>
        <w:rPr>
          <w:rStyle w:val="FootnoteReference"/>
        </w:rPr>
        <w:footnoteRef/>
      </w:r>
      <w:r>
        <w:t xml:space="preserve"> </w:t>
      </w:r>
      <w:hyperlink w:history="1" r:id="rId4">
        <w:r w:rsidR="00432FCE">
          <w:rPr>
            <w:rStyle w:val="Hyperlink"/>
          </w:rPr>
          <w:t>VIVID | SSEN Innovation (ssen-innovation.co.uk)</w:t>
        </w:r>
      </w:hyperlink>
    </w:p>
  </w:footnote>
  <w:footnote w:id="7">
    <w:p w:rsidR="00D4792A" w:rsidP="001D5489" w:rsidRDefault="00D4792A" w14:paraId="32031DDD" w14:textId="677E5A66">
      <w:r w:rsidRPr="002F0F04">
        <w:rPr>
          <w:rStyle w:val="FootnoteReference"/>
          <w:sz w:val="18"/>
          <w:szCs w:val="18"/>
        </w:rPr>
        <w:footnoteRef/>
      </w:r>
      <w:r w:rsidRPr="002F0F04">
        <w:rPr>
          <w:sz w:val="18"/>
          <w:szCs w:val="18"/>
        </w:rPr>
        <w:t xml:space="preserve"> </w:t>
      </w:r>
      <w:r w:rsidR="002F0F04">
        <w:t xml:space="preserve"> </w:t>
      </w:r>
      <w:r w:rsidRPr="002F0F04" w:rsidR="002F0F04">
        <w:rPr>
          <w:rStyle w:val="Hyperlink"/>
          <w:rFonts w:ascii="Lato Light" w:hAnsi="Lato Light"/>
          <w:sz w:val="18"/>
          <w:szCs w:val="18"/>
        </w:rPr>
        <w:t>Health inequalities: Cold or damp homes - House of Commons Library (parliament.uk)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3637" w:rsidRDefault="00F53637" w14:paraId="7D8A7C4C" w14:textId="5B9EC4AE">
    <w:pPr>
      <w:pStyle w:val="Head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38D7">
      <w:rPr>
        <w:rStyle w:val="PageNumber"/>
        <w:noProof/>
      </w:rPr>
      <w:t>2</w:t>
    </w:r>
    <w:r>
      <w:rPr>
        <w:rStyle w:val="PageNumber"/>
      </w:rPr>
      <w:fldChar w:fldCharType="end"/>
    </w:r>
  </w:p>
  <w:p w:rsidR="00F53637" w:rsidP="00F53637" w:rsidRDefault="00F53637" w14:paraId="5E792251" w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C3409" w:rsidP="00F53637" w:rsidRDefault="00560EEF" w14:paraId="22D38493" w14:textId="306CDE74">
    <w:pPr>
      <w:pStyle w:val="Header"/>
      <w:ind w:right="360"/>
    </w:pPr>
    <w:r>
      <w:rPr>
        <w:noProof/>
        <w:lang w:eastAsia="en-GB"/>
      </w:rPr>
      <w:drawing>
        <wp:anchor distT="0" distB="0" distL="114300" distR="114300" simplePos="0" relativeHeight="251658241" behindDoc="1" locked="0" layoutInCell="1" allowOverlap="1" wp14:anchorId="2A6FB485" wp14:editId="03F3F0F6">
          <wp:simplePos x="0" y="0"/>
          <wp:positionH relativeFrom="page">
            <wp:align>right</wp:align>
          </wp:positionH>
          <wp:positionV relativeFrom="paragraph">
            <wp:posOffset>-288192</wp:posOffset>
          </wp:positionV>
          <wp:extent cx="7589519" cy="10735498"/>
          <wp:effectExtent l="0" t="0" r="0" b="0"/>
          <wp:wrapNone/>
          <wp:docPr id="346169833" name="Picture 34616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etterhead 52.jpg"/>
                  <pic:cNvPicPr/>
                </pic:nvPicPr>
                <pic:blipFill>
                  <a:blip r:embed="rId1">
                    <a:extLst>
                      <a:ext uri="{28A0092B-C50C-407E-A947-70E740481C1C}">
                        <a14:useLocalDpi xmlns:a14="http://schemas.microsoft.com/office/drawing/2010/main" val="0"/>
                      </a:ext>
                    </a:extLst>
                  </a:blip>
                  <a:stretch>
                    <a:fillRect/>
                  </a:stretch>
                </pic:blipFill>
                <pic:spPr>
                  <a:xfrm>
                    <a:off x="0" y="0"/>
                    <a:ext cx="7589519" cy="107354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96FC6" w:rsidP="002D36B9" w:rsidRDefault="006D3991" w14:paraId="54A62B30" w14:textId="11A98C02">
    <w:pPr>
      <w:pStyle w:val="Header"/>
      <w:tabs>
        <w:tab w:val="clear" w:pos="4513"/>
        <w:tab w:val="clear" w:pos="9026"/>
        <w:tab w:val="right" w:pos="15136"/>
      </w:tabs>
      <w:spacing w:before="120" w:after="120"/>
    </w:pPr>
    <w:r>
      <w:rPr>
        <w:noProof/>
        <w:lang w:eastAsia="en-GB"/>
      </w:rPr>
      <w:drawing>
        <wp:anchor distT="0" distB="0" distL="114300" distR="114300" simplePos="0" relativeHeight="251658240" behindDoc="1" locked="0" layoutInCell="1" allowOverlap="1" wp14:anchorId="4AE67A1A" wp14:editId="3E35F284">
          <wp:simplePos x="0" y="0"/>
          <wp:positionH relativeFrom="column">
            <wp:posOffset>-586880</wp:posOffset>
          </wp:positionH>
          <wp:positionV relativeFrom="paragraph">
            <wp:posOffset>-288290</wp:posOffset>
          </wp:positionV>
          <wp:extent cx="7589519" cy="10735498"/>
          <wp:effectExtent l="0" t="0" r="5715" b="8890"/>
          <wp:wrapNone/>
          <wp:docPr id="1451984408" name="Picture 1451984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etterhead 1.jpg"/>
                  <pic:cNvPicPr/>
                </pic:nvPicPr>
                <pic:blipFill>
                  <a:blip r:embed="rId1">
                    <a:extLst>
                      <a:ext uri="{28A0092B-C50C-407E-A947-70E740481C1C}">
                        <a14:useLocalDpi xmlns:a14="http://schemas.microsoft.com/office/drawing/2010/main" val="0"/>
                      </a:ext>
                    </a:extLst>
                  </a:blip>
                  <a:stretch>
                    <a:fillRect/>
                  </a:stretch>
                </pic:blipFill>
                <pic:spPr>
                  <a:xfrm>
                    <a:off x="0" y="0"/>
                    <a:ext cx="7589519" cy="1073549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DCEABD6"/>
    <w:lvl w:ilvl="0">
      <w:start w:val="1"/>
      <w:numFmt w:val="decimal"/>
      <w:lvlText w:val="%1."/>
      <w:lvlJc w:val="left"/>
      <w:pPr>
        <w:tabs>
          <w:tab w:val="num" w:pos="360"/>
        </w:tabs>
        <w:ind w:left="360" w:hanging="360"/>
      </w:pPr>
    </w:lvl>
  </w:abstractNum>
  <w:abstractNum w:abstractNumId="1" w15:restartNumberingAfterBreak="0">
    <w:nsid w:val="0113528B"/>
    <w:multiLevelType w:val="multilevel"/>
    <w:tmpl w:val="BC7EBE40"/>
    <w:lvl w:ilvl="0">
      <w:start w:val="1"/>
      <w:numFmt w:val="bullet"/>
      <w:pStyle w:val="ListTick"/>
      <w:lvlText w:val=""/>
      <w:lvlJc w:val="left"/>
      <w:pPr>
        <w:ind w:left="947" w:hanging="255"/>
      </w:pPr>
      <w:rPr>
        <w:rFonts w:hint="default" w:ascii="Wingdings" w:hAnsi="Wingdings"/>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 w15:restartNumberingAfterBreak="0">
    <w:nsid w:val="035929EC"/>
    <w:multiLevelType w:val="multilevel"/>
    <w:tmpl w:val="F4F624D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55E09CB"/>
    <w:multiLevelType w:val="hybridMultilevel"/>
    <w:tmpl w:val="5BC60D04"/>
    <w:lvl w:ilvl="0" w:tplc="9240412E">
      <w:start w:val="1"/>
      <w:numFmt w:val="bullet"/>
      <w:pStyle w:val="ListBullet1"/>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7976F02"/>
    <w:multiLevelType w:val="multilevel"/>
    <w:tmpl w:val="B93E0DA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C097650"/>
    <w:multiLevelType w:val="multilevel"/>
    <w:tmpl w:val="05C6E4AE"/>
    <w:lvl w:ilvl="0">
      <w:start w:val="1"/>
      <w:numFmt w:val="decimal"/>
      <w:pStyle w:val="Heading1"/>
      <w:lvlText w:val="%1."/>
      <w:lvlJc w:val="left"/>
      <w:pPr>
        <w:ind w:left="567" w:hanging="567"/>
      </w:pPr>
      <w:rPr>
        <w:rFonts w:hint="default"/>
      </w:rPr>
    </w:lvl>
    <w:lvl w:ilvl="1">
      <w:start w:val="1"/>
      <w:numFmt w:val="decimal"/>
      <w:pStyle w:val="Heading2"/>
      <w:lvlText w:val="%1.%2."/>
      <w:lvlJc w:val="left"/>
      <w:pPr>
        <w:ind w:left="1247" w:hanging="680"/>
      </w:pPr>
      <w:rPr>
        <w:rFonts w:hint="default"/>
      </w:rPr>
    </w:lvl>
    <w:lvl w:ilvl="2">
      <w:start w:val="1"/>
      <w:numFmt w:val="decimal"/>
      <w:pStyle w:val="Heading3"/>
      <w:lvlText w:val="%1.%2.%3."/>
      <w:lvlJc w:val="left"/>
      <w:pPr>
        <w:ind w:left="204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2634BD"/>
    <w:multiLevelType w:val="hybridMultilevel"/>
    <w:tmpl w:val="53DA64C0"/>
    <w:lvl w:ilvl="0" w:tplc="55424AEA">
      <w:start w:val="1"/>
      <w:numFmt w:val="bullet"/>
      <w:lvlText w:val="-"/>
      <w:lvlJc w:val="left"/>
      <w:pPr>
        <w:ind w:left="1069" w:hanging="360"/>
      </w:pPr>
      <w:rPr>
        <w:rFonts w:hint="default" w:ascii="Lato" w:hAnsi="Lato" w:eastAsiaTheme="minorHAnsi" w:cstheme="minorBidi"/>
      </w:rPr>
    </w:lvl>
    <w:lvl w:ilvl="1" w:tplc="08090003" w:tentative="1">
      <w:start w:val="1"/>
      <w:numFmt w:val="bullet"/>
      <w:lvlText w:val="o"/>
      <w:lvlJc w:val="left"/>
      <w:pPr>
        <w:ind w:left="1789" w:hanging="360"/>
      </w:pPr>
      <w:rPr>
        <w:rFonts w:hint="default" w:ascii="Courier New" w:hAnsi="Courier New" w:cs="Courier New"/>
      </w:rPr>
    </w:lvl>
    <w:lvl w:ilvl="2" w:tplc="08090005" w:tentative="1">
      <w:start w:val="1"/>
      <w:numFmt w:val="bullet"/>
      <w:lvlText w:val=""/>
      <w:lvlJc w:val="left"/>
      <w:pPr>
        <w:ind w:left="2509" w:hanging="360"/>
      </w:pPr>
      <w:rPr>
        <w:rFonts w:hint="default" w:ascii="Wingdings" w:hAnsi="Wingdings"/>
      </w:rPr>
    </w:lvl>
    <w:lvl w:ilvl="3" w:tplc="08090001" w:tentative="1">
      <w:start w:val="1"/>
      <w:numFmt w:val="bullet"/>
      <w:lvlText w:val=""/>
      <w:lvlJc w:val="left"/>
      <w:pPr>
        <w:ind w:left="3229" w:hanging="360"/>
      </w:pPr>
      <w:rPr>
        <w:rFonts w:hint="default" w:ascii="Symbol" w:hAnsi="Symbol"/>
      </w:rPr>
    </w:lvl>
    <w:lvl w:ilvl="4" w:tplc="08090003" w:tentative="1">
      <w:start w:val="1"/>
      <w:numFmt w:val="bullet"/>
      <w:lvlText w:val="o"/>
      <w:lvlJc w:val="left"/>
      <w:pPr>
        <w:ind w:left="3949" w:hanging="360"/>
      </w:pPr>
      <w:rPr>
        <w:rFonts w:hint="default" w:ascii="Courier New" w:hAnsi="Courier New" w:cs="Courier New"/>
      </w:rPr>
    </w:lvl>
    <w:lvl w:ilvl="5" w:tplc="08090005" w:tentative="1">
      <w:start w:val="1"/>
      <w:numFmt w:val="bullet"/>
      <w:lvlText w:val=""/>
      <w:lvlJc w:val="left"/>
      <w:pPr>
        <w:ind w:left="4669" w:hanging="360"/>
      </w:pPr>
      <w:rPr>
        <w:rFonts w:hint="default" w:ascii="Wingdings" w:hAnsi="Wingdings"/>
      </w:rPr>
    </w:lvl>
    <w:lvl w:ilvl="6" w:tplc="08090001" w:tentative="1">
      <w:start w:val="1"/>
      <w:numFmt w:val="bullet"/>
      <w:lvlText w:val=""/>
      <w:lvlJc w:val="left"/>
      <w:pPr>
        <w:ind w:left="5389" w:hanging="360"/>
      </w:pPr>
      <w:rPr>
        <w:rFonts w:hint="default" w:ascii="Symbol" w:hAnsi="Symbol"/>
      </w:rPr>
    </w:lvl>
    <w:lvl w:ilvl="7" w:tplc="08090003" w:tentative="1">
      <w:start w:val="1"/>
      <w:numFmt w:val="bullet"/>
      <w:lvlText w:val="o"/>
      <w:lvlJc w:val="left"/>
      <w:pPr>
        <w:ind w:left="6109" w:hanging="360"/>
      </w:pPr>
      <w:rPr>
        <w:rFonts w:hint="default" w:ascii="Courier New" w:hAnsi="Courier New" w:cs="Courier New"/>
      </w:rPr>
    </w:lvl>
    <w:lvl w:ilvl="8" w:tplc="08090005" w:tentative="1">
      <w:start w:val="1"/>
      <w:numFmt w:val="bullet"/>
      <w:lvlText w:val=""/>
      <w:lvlJc w:val="left"/>
      <w:pPr>
        <w:ind w:left="6829" w:hanging="360"/>
      </w:pPr>
      <w:rPr>
        <w:rFonts w:hint="default" w:ascii="Wingdings" w:hAnsi="Wingdings"/>
      </w:rPr>
    </w:lvl>
  </w:abstractNum>
  <w:abstractNum w:abstractNumId="7" w15:restartNumberingAfterBreak="0">
    <w:nsid w:val="153D6DCA"/>
    <w:multiLevelType w:val="hybridMultilevel"/>
    <w:tmpl w:val="422E2972"/>
    <w:lvl w:ilvl="0" w:tplc="03F2D306">
      <w:numFmt w:val="bullet"/>
      <w:lvlText w:val="-"/>
      <w:lvlJc w:val="left"/>
      <w:pPr>
        <w:ind w:left="1080" w:hanging="360"/>
      </w:pPr>
      <w:rPr>
        <w:rFonts w:hint="default" w:ascii="Lato" w:hAnsi="Lato" w:eastAsiaTheme="minorHAnsi" w:cstheme="minorBidi"/>
      </w:rPr>
    </w:lvl>
    <w:lvl w:ilvl="1" w:tplc="08090003" w:tentative="1">
      <w:start w:val="1"/>
      <w:numFmt w:val="bullet"/>
      <w:lvlText w:val="o"/>
      <w:lvlJc w:val="left"/>
      <w:pPr>
        <w:ind w:left="1451" w:hanging="360"/>
      </w:pPr>
      <w:rPr>
        <w:rFonts w:hint="default" w:ascii="Courier New" w:hAnsi="Courier New" w:cs="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cs="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cs="Courier New"/>
      </w:rPr>
    </w:lvl>
    <w:lvl w:ilvl="8" w:tplc="08090005" w:tentative="1">
      <w:start w:val="1"/>
      <w:numFmt w:val="bullet"/>
      <w:lvlText w:val=""/>
      <w:lvlJc w:val="left"/>
      <w:pPr>
        <w:ind w:left="6491" w:hanging="360"/>
      </w:pPr>
      <w:rPr>
        <w:rFonts w:hint="default" w:ascii="Wingdings" w:hAnsi="Wingdings"/>
      </w:rPr>
    </w:lvl>
  </w:abstractNum>
  <w:abstractNum w:abstractNumId="8" w15:restartNumberingAfterBreak="0">
    <w:nsid w:val="15865C1A"/>
    <w:multiLevelType w:val="hybridMultilevel"/>
    <w:tmpl w:val="11508FC2"/>
    <w:lvl w:ilvl="0" w:tplc="03F2D306">
      <w:start w:val="3"/>
      <w:numFmt w:val="bullet"/>
      <w:lvlText w:val="-"/>
      <w:lvlJc w:val="left"/>
      <w:pPr>
        <w:ind w:left="1069" w:hanging="360"/>
      </w:pPr>
      <w:rPr>
        <w:rFonts w:hint="default" w:ascii="Lato" w:hAnsi="Lato" w:eastAsiaTheme="minorHAnsi" w:cstheme="minorBidi"/>
      </w:rPr>
    </w:lvl>
    <w:lvl w:ilvl="1" w:tplc="08090003" w:tentative="1">
      <w:start w:val="1"/>
      <w:numFmt w:val="bullet"/>
      <w:lvlText w:val="o"/>
      <w:lvlJc w:val="left"/>
      <w:pPr>
        <w:ind w:left="1789" w:hanging="360"/>
      </w:pPr>
      <w:rPr>
        <w:rFonts w:hint="default" w:ascii="Courier New" w:hAnsi="Courier New" w:cs="Courier New"/>
      </w:rPr>
    </w:lvl>
    <w:lvl w:ilvl="2" w:tplc="08090005" w:tentative="1">
      <w:start w:val="1"/>
      <w:numFmt w:val="bullet"/>
      <w:lvlText w:val=""/>
      <w:lvlJc w:val="left"/>
      <w:pPr>
        <w:ind w:left="2509" w:hanging="360"/>
      </w:pPr>
      <w:rPr>
        <w:rFonts w:hint="default" w:ascii="Wingdings" w:hAnsi="Wingdings"/>
      </w:rPr>
    </w:lvl>
    <w:lvl w:ilvl="3" w:tplc="08090001" w:tentative="1">
      <w:start w:val="1"/>
      <w:numFmt w:val="bullet"/>
      <w:lvlText w:val=""/>
      <w:lvlJc w:val="left"/>
      <w:pPr>
        <w:ind w:left="3229" w:hanging="360"/>
      </w:pPr>
      <w:rPr>
        <w:rFonts w:hint="default" w:ascii="Symbol" w:hAnsi="Symbol"/>
      </w:rPr>
    </w:lvl>
    <w:lvl w:ilvl="4" w:tplc="08090003" w:tentative="1">
      <w:start w:val="1"/>
      <w:numFmt w:val="bullet"/>
      <w:lvlText w:val="o"/>
      <w:lvlJc w:val="left"/>
      <w:pPr>
        <w:ind w:left="3949" w:hanging="360"/>
      </w:pPr>
      <w:rPr>
        <w:rFonts w:hint="default" w:ascii="Courier New" w:hAnsi="Courier New" w:cs="Courier New"/>
      </w:rPr>
    </w:lvl>
    <w:lvl w:ilvl="5" w:tplc="08090005" w:tentative="1">
      <w:start w:val="1"/>
      <w:numFmt w:val="bullet"/>
      <w:lvlText w:val=""/>
      <w:lvlJc w:val="left"/>
      <w:pPr>
        <w:ind w:left="4669" w:hanging="360"/>
      </w:pPr>
      <w:rPr>
        <w:rFonts w:hint="default" w:ascii="Wingdings" w:hAnsi="Wingdings"/>
      </w:rPr>
    </w:lvl>
    <w:lvl w:ilvl="6" w:tplc="08090001" w:tentative="1">
      <w:start w:val="1"/>
      <w:numFmt w:val="bullet"/>
      <w:lvlText w:val=""/>
      <w:lvlJc w:val="left"/>
      <w:pPr>
        <w:ind w:left="5389" w:hanging="360"/>
      </w:pPr>
      <w:rPr>
        <w:rFonts w:hint="default" w:ascii="Symbol" w:hAnsi="Symbol"/>
      </w:rPr>
    </w:lvl>
    <w:lvl w:ilvl="7" w:tplc="08090003" w:tentative="1">
      <w:start w:val="1"/>
      <w:numFmt w:val="bullet"/>
      <w:lvlText w:val="o"/>
      <w:lvlJc w:val="left"/>
      <w:pPr>
        <w:ind w:left="6109" w:hanging="360"/>
      </w:pPr>
      <w:rPr>
        <w:rFonts w:hint="default" w:ascii="Courier New" w:hAnsi="Courier New" w:cs="Courier New"/>
      </w:rPr>
    </w:lvl>
    <w:lvl w:ilvl="8" w:tplc="08090005" w:tentative="1">
      <w:start w:val="1"/>
      <w:numFmt w:val="bullet"/>
      <w:lvlText w:val=""/>
      <w:lvlJc w:val="left"/>
      <w:pPr>
        <w:ind w:left="6829" w:hanging="360"/>
      </w:pPr>
      <w:rPr>
        <w:rFonts w:hint="default" w:ascii="Wingdings" w:hAnsi="Wingdings"/>
      </w:rPr>
    </w:lvl>
  </w:abstractNum>
  <w:abstractNum w:abstractNumId="9" w15:restartNumberingAfterBreak="0">
    <w:nsid w:val="177D512F"/>
    <w:multiLevelType w:val="multilevel"/>
    <w:tmpl w:val="710C6E8A"/>
    <w:lvl w:ilvl="0">
      <w:start w:val="1"/>
      <w:numFmt w:val="bullet"/>
      <w:pStyle w:val="ListCross"/>
      <w:lvlText w:val=""/>
      <w:lvlJc w:val="left"/>
      <w:pPr>
        <w:ind w:left="947" w:hanging="255"/>
      </w:pPr>
      <w:rPr>
        <w:rFonts w:hint="default" w:ascii="Wingdings" w:hAnsi="Wingdings"/>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0" w15:restartNumberingAfterBreak="0">
    <w:nsid w:val="1B927096"/>
    <w:multiLevelType w:val="multilevel"/>
    <w:tmpl w:val="00B699F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35D517D"/>
    <w:multiLevelType w:val="multilevel"/>
    <w:tmpl w:val="124AF448"/>
    <w:lvl w:ilvl="0">
      <w:start w:val="1"/>
      <w:numFmt w:val="lowerRoman"/>
      <w:pStyle w:val="ListRomanNumerals"/>
      <w:lvlText w:val="%1."/>
      <w:lvlJc w:val="center"/>
      <w:pPr>
        <w:ind w:left="238" w:hanging="1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5BF584F"/>
    <w:multiLevelType w:val="hybridMultilevel"/>
    <w:tmpl w:val="B2A4BDF4"/>
    <w:lvl w:ilvl="0" w:tplc="6E2871A8">
      <w:start w:val="3"/>
      <w:numFmt w:val="bullet"/>
      <w:lvlText w:val="-"/>
      <w:lvlJc w:val="left"/>
      <w:pPr>
        <w:ind w:left="928" w:hanging="360"/>
      </w:pPr>
      <w:rPr>
        <w:rFonts w:hint="default" w:ascii="Lato" w:hAnsi="Lato" w:eastAsiaTheme="minorHAnsi" w:cstheme="minorBidi"/>
      </w:rPr>
    </w:lvl>
    <w:lvl w:ilvl="1" w:tplc="08090003" w:tentative="1">
      <w:start w:val="1"/>
      <w:numFmt w:val="bullet"/>
      <w:lvlText w:val="o"/>
      <w:lvlJc w:val="left"/>
      <w:pPr>
        <w:ind w:left="1648" w:hanging="360"/>
      </w:pPr>
      <w:rPr>
        <w:rFonts w:hint="default" w:ascii="Courier New" w:hAnsi="Courier New" w:cs="Courier New"/>
      </w:rPr>
    </w:lvl>
    <w:lvl w:ilvl="2" w:tplc="08090005" w:tentative="1">
      <w:start w:val="1"/>
      <w:numFmt w:val="bullet"/>
      <w:lvlText w:val=""/>
      <w:lvlJc w:val="left"/>
      <w:pPr>
        <w:ind w:left="2368" w:hanging="360"/>
      </w:pPr>
      <w:rPr>
        <w:rFonts w:hint="default" w:ascii="Wingdings" w:hAnsi="Wingdings"/>
      </w:rPr>
    </w:lvl>
    <w:lvl w:ilvl="3" w:tplc="08090001" w:tentative="1">
      <w:start w:val="1"/>
      <w:numFmt w:val="bullet"/>
      <w:lvlText w:val=""/>
      <w:lvlJc w:val="left"/>
      <w:pPr>
        <w:ind w:left="3088" w:hanging="360"/>
      </w:pPr>
      <w:rPr>
        <w:rFonts w:hint="default" w:ascii="Symbol" w:hAnsi="Symbol"/>
      </w:rPr>
    </w:lvl>
    <w:lvl w:ilvl="4" w:tplc="08090003" w:tentative="1">
      <w:start w:val="1"/>
      <w:numFmt w:val="bullet"/>
      <w:lvlText w:val="o"/>
      <w:lvlJc w:val="left"/>
      <w:pPr>
        <w:ind w:left="3808" w:hanging="360"/>
      </w:pPr>
      <w:rPr>
        <w:rFonts w:hint="default" w:ascii="Courier New" w:hAnsi="Courier New" w:cs="Courier New"/>
      </w:rPr>
    </w:lvl>
    <w:lvl w:ilvl="5" w:tplc="08090005" w:tentative="1">
      <w:start w:val="1"/>
      <w:numFmt w:val="bullet"/>
      <w:lvlText w:val=""/>
      <w:lvlJc w:val="left"/>
      <w:pPr>
        <w:ind w:left="4528" w:hanging="360"/>
      </w:pPr>
      <w:rPr>
        <w:rFonts w:hint="default" w:ascii="Wingdings" w:hAnsi="Wingdings"/>
      </w:rPr>
    </w:lvl>
    <w:lvl w:ilvl="6" w:tplc="08090001" w:tentative="1">
      <w:start w:val="1"/>
      <w:numFmt w:val="bullet"/>
      <w:lvlText w:val=""/>
      <w:lvlJc w:val="left"/>
      <w:pPr>
        <w:ind w:left="5248" w:hanging="360"/>
      </w:pPr>
      <w:rPr>
        <w:rFonts w:hint="default" w:ascii="Symbol" w:hAnsi="Symbol"/>
      </w:rPr>
    </w:lvl>
    <w:lvl w:ilvl="7" w:tplc="08090003" w:tentative="1">
      <w:start w:val="1"/>
      <w:numFmt w:val="bullet"/>
      <w:lvlText w:val="o"/>
      <w:lvlJc w:val="left"/>
      <w:pPr>
        <w:ind w:left="5968" w:hanging="360"/>
      </w:pPr>
      <w:rPr>
        <w:rFonts w:hint="default" w:ascii="Courier New" w:hAnsi="Courier New" w:cs="Courier New"/>
      </w:rPr>
    </w:lvl>
    <w:lvl w:ilvl="8" w:tplc="08090005" w:tentative="1">
      <w:start w:val="1"/>
      <w:numFmt w:val="bullet"/>
      <w:lvlText w:val=""/>
      <w:lvlJc w:val="left"/>
      <w:pPr>
        <w:ind w:left="6688" w:hanging="360"/>
      </w:pPr>
      <w:rPr>
        <w:rFonts w:hint="default" w:ascii="Wingdings" w:hAnsi="Wingdings"/>
      </w:rPr>
    </w:lvl>
  </w:abstractNum>
  <w:abstractNum w:abstractNumId="13" w15:restartNumberingAfterBreak="0">
    <w:nsid w:val="278F4DF6"/>
    <w:multiLevelType w:val="hybridMultilevel"/>
    <w:tmpl w:val="FFCE1F00"/>
    <w:lvl w:ilvl="0" w:tplc="BE684246">
      <w:start w:val="3"/>
      <w:numFmt w:val="bullet"/>
      <w:lvlText w:val="-"/>
      <w:lvlJc w:val="left"/>
      <w:pPr>
        <w:ind w:left="1288" w:hanging="360"/>
      </w:pPr>
      <w:rPr>
        <w:rFonts w:hint="default" w:ascii="Lato Light" w:hAnsi="Lato Light" w:eastAsiaTheme="minorHAnsi" w:cstheme="minorBidi"/>
      </w:rPr>
    </w:lvl>
    <w:lvl w:ilvl="1" w:tplc="08090003" w:tentative="1">
      <w:start w:val="1"/>
      <w:numFmt w:val="bullet"/>
      <w:lvlText w:val="o"/>
      <w:lvlJc w:val="left"/>
      <w:pPr>
        <w:ind w:left="2008" w:hanging="360"/>
      </w:pPr>
      <w:rPr>
        <w:rFonts w:hint="default" w:ascii="Courier New" w:hAnsi="Courier New" w:cs="Courier New"/>
      </w:rPr>
    </w:lvl>
    <w:lvl w:ilvl="2" w:tplc="08090005" w:tentative="1">
      <w:start w:val="1"/>
      <w:numFmt w:val="bullet"/>
      <w:lvlText w:val=""/>
      <w:lvlJc w:val="left"/>
      <w:pPr>
        <w:ind w:left="2728" w:hanging="360"/>
      </w:pPr>
      <w:rPr>
        <w:rFonts w:hint="default" w:ascii="Wingdings" w:hAnsi="Wingdings"/>
      </w:rPr>
    </w:lvl>
    <w:lvl w:ilvl="3" w:tplc="08090001" w:tentative="1">
      <w:start w:val="1"/>
      <w:numFmt w:val="bullet"/>
      <w:lvlText w:val=""/>
      <w:lvlJc w:val="left"/>
      <w:pPr>
        <w:ind w:left="3448" w:hanging="360"/>
      </w:pPr>
      <w:rPr>
        <w:rFonts w:hint="default" w:ascii="Symbol" w:hAnsi="Symbol"/>
      </w:rPr>
    </w:lvl>
    <w:lvl w:ilvl="4" w:tplc="08090003" w:tentative="1">
      <w:start w:val="1"/>
      <w:numFmt w:val="bullet"/>
      <w:lvlText w:val="o"/>
      <w:lvlJc w:val="left"/>
      <w:pPr>
        <w:ind w:left="4168" w:hanging="360"/>
      </w:pPr>
      <w:rPr>
        <w:rFonts w:hint="default" w:ascii="Courier New" w:hAnsi="Courier New" w:cs="Courier New"/>
      </w:rPr>
    </w:lvl>
    <w:lvl w:ilvl="5" w:tplc="08090005" w:tentative="1">
      <w:start w:val="1"/>
      <w:numFmt w:val="bullet"/>
      <w:lvlText w:val=""/>
      <w:lvlJc w:val="left"/>
      <w:pPr>
        <w:ind w:left="4888" w:hanging="360"/>
      </w:pPr>
      <w:rPr>
        <w:rFonts w:hint="default" w:ascii="Wingdings" w:hAnsi="Wingdings"/>
      </w:rPr>
    </w:lvl>
    <w:lvl w:ilvl="6" w:tplc="08090001" w:tentative="1">
      <w:start w:val="1"/>
      <w:numFmt w:val="bullet"/>
      <w:lvlText w:val=""/>
      <w:lvlJc w:val="left"/>
      <w:pPr>
        <w:ind w:left="5608" w:hanging="360"/>
      </w:pPr>
      <w:rPr>
        <w:rFonts w:hint="default" w:ascii="Symbol" w:hAnsi="Symbol"/>
      </w:rPr>
    </w:lvl>
    <w:lvl w:ilvl="7" w:tplc="08090003" w:tentative="1">
      <w:start w:val="1"/>
      <w:numFmt w:val="bullet"/>
      <w:lvlText w:val="o"/>
      <w:lvlJc w:val="left"/>
      <w:pPr>
        <w:ind w:left="6328" w:hanging="360"/>
      </w:pPr>
      <w:rPr>
        <w:rFonts w:hint="default" w:ascii="Courier New" w:hAnsi="Courier New" w:cs="Courier New"/>
      </w:rPr>
    </w:lvl>
    <w:lvl w:ilvl="8" w:tplc="08090005" w:tentative="1">
      <w:start w:val="1"/>
      <w:numFmt w:val="bullet"/>
      <w:lvlText w:val=""/>
      <w:lvlJc w:val="left"/>
      <w:pPr>
        <w:ind w:left="7048" w:hanging="360"/>
      </w:pPr>
      <w:rPr>
        <w:rFonts w:hint="default" w:ascii="Wingdings" w:hAnsi="Wingdings"/>
      </w:rPr>
    </w:lvl>
  </w:abstractNum>
  <w:abstractNum w:abstractNumId="14" w15:restartNumberingAfterBreak="0">
    <w:nsid w:val="29457D7A"/>
    <w:multiLevelType w:val="hybridMultilevel"/>
    <w:tmpl w:val="CD663B4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AD30BF1"/>
    <w:multiLevelType w:val="hybridMultilevel"/>
    <w:tmpl w:val="5B6A5900"/>
    <w:lvl w:ilvl="0" w:tplc="C548DFEE">
      <w:numFmt w:val="bullet"/>
      <w:lvlText w:val="-"/>
      <w:lvlJc w:val="left"/>
      <w:pPr>
        <w:ind w:left="1069" w:hanging="360"/>
      </w:pPr>
      <w:rPr>
        <w:rFonts w:hint="default" w:ascii="Lato" w:hAnsi="Lato" w:eastAsiaTheme="minorHAnsi" w:cstheme="minorBidi"/>
      </w:rPr>
    </w:lvl>
    <w:lvl w:ilvl="1" w:tplc="08090003" w:tentative="1">
      <w:start w:val="1"/>
      <w:numFmt w:val="bullet"/>
      <w:lvlText w:val="o"/>
      <w:lvlJc w:val="left"/>
      <w:pPr>
        <w:ind w:left="1789" w:hanging="360"/>
      </w:pPr>
      <w:rPr>
        <w:rFonts w:hint="default" w:ascii="Courier New" w:hAnsi="Courier New" w:cs="Courier New"/>
      </w:rPr>
    </w:lvl>
    <w:lvl w:ilvl="2" w:tplc="08090005" w:tentative="1">
      <w:start w:val="1"/>
      <w:numFmt w:val="bullet"/>
      <w:lvlText w:val=""/>
      <w:lvlJc w:val="left"/>
      <w:pPr>
        <w:ind w:left="2509" w:hanging="360"/>
      </w:pPr>
      <w:rPr>
        <w:rFonts w:hint="default" w:ascii="Wingdings" w:hAnsi="Wingdings"/>
      </w:rPr>
    </w:lvl>
    <w:lvl w:ilvl="3" w:tplc="08090001" w:tentative="1">
      <w:start w:val="1"/>
      <w:numFmt w:val="bullet"/>
      <w:lvlText w:val=""/>
      <w:lvlJc w:val="left"/>
      <w:pPr>
        <w:ind w:left="3229" w:hanging="360"/>
      </w:pPr>
      <w:rPr>
        <w:rFonts w:hint="default" w:ascii="Symbol" w:hAnsi="Symbol"/>
      </w:rPr>
    </w:lvl>
    <w:lvl w:ilvl="4" w:tplc="08090003" w:tentative="1">
      <w:start w:val="1"/>
      <w:numFmt w:val="bullet"/>
      <w:lvlText w:val="o"/>
      <w:lvlJc w:val="left"/>
      <w:pPr>
        <w:ind w:left="3949" w:hanging="360"/>
      </w:pPr>
      <w:rPr>
        <w:rFonts w:hint="default" w:ascii="Courier New" w:hAnsi="Courier New" w:cs="Courier New"/>
      </w:rPr>
    </w:lvl>
    <w:lvl w:ilvl="5" w:tplc="08090005" w:tentative="1">
      <w:start w:val="1"/>
      <w:numFmt w:val="bullet"/>
      <w:lvlText w:val=""/>
      <w:lvlJc w:val="left"/>
      <w:pPr>
        <w:ind w:left="4669" w:hanging="360"/>
      </w:pPr>
      <w:rPr>
        <w:rFonts w:hint="default" w:ascii="Wingdings" w:hAnsi="Wingdings"/>
      </w:rPr>
    </w:lvl>
    <w:lvl w:ilvl="6" w:tplc="08090001" w:tentative="1">
      <w:start w:val="1"/>
      <w:numFmt w:val="bullet"/>
      <w:lvlText w:val=""/>
      <w:lvlJc w:val="left"/>
      <w:pPr>
        <w:ind w:left="5389" w:hanging="360"/>
      </w:pPr>
      <w:rPr>
        <w:rFonts w:hint="default" w:ascii="Symbol" w:hAnsi="Symbol"/>
      </w:rPr>
    </w:lvl>
    <w:lvl w:ilvl="7" w:tplc="08090003" w:tentative="1">
      <w:start w:val="1"/>
      <w:numFmt w:val="bullet"/>
      <w:lvlText w:val="o"/>
      <w:lvlJc w:val="left"/>
      <w:pPr>
        <w:ind w:left="6109" w:hanging="360"/>
      </w:pPr>
      <w:rPr>
        <w:rFonts w:hint="default" w:ascii="Courier New" w:hAnsi="Courier New" w:cs="Courier New"/>
      </w:rPr>
    </w:lvl>
    <w:lvl w:ilvl="8" w:tplc="08090005" w:tentative="1">
      <w:start w:val="1"/>
      <w:numFmt w:val="bullet"/>
      <w:lvlText w:val=""/>
      <w:lvlJc w:val="left"/>
      <w:pPr>
        <w:ind w:left="6829" w:hanging="360"/>
      </w:pPr>
      <w:rPr>
        <w:rFonts w:hint="default" w:ascii="Wingdings" w:hAnsi="Wingdings"/>
      </w:rPr>
    </w:lvl>
  </w:abstractNum>
  <w:abstractNum w:abstractNumId="16" w15:restartNumberingAfterBreak="0">
    <w:nsid w:val="2B7C6D2E"/>
    <w:multiLevelType w:val="hybridMultilevel"/>
    <w:tmpl w:val="75EE9F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DF7253B"/>
    <w:multiLevelType w:val="multilevel"/>
    <w:tmpl w:val="5E8476D4"/>
    <w:lvl w:ilvl="0">
      <w:start w:val="1"/>
      <w:numFmt w:val="decimal"/>
      <w:pStyle w:val="ParagraphNunmbering"/>
      <w:lvlText w:val="%1."/>
      <w:lvlJc w:val="left"/>
      <w:pPr>
        <w:ind w:left="709" w:hanging="709"/>
      </w:pPr>
      <w:rPr>
        <w:rFonts w:hint="default"/>
      </w:rPr>
    </w:lvl>
    <w:lvl w:ilvl="1">
      <w:start w:val="1"/>
      <w:numFmt w:val="lowerLetter"/>
      <w:lvlText w:val="%2."/>
      <w:lvlJc w:val="left"/>
      <w:pPr>
        <w:ind w:left="1276" w:hanging="567"/>
      </w:pPr>
      <w:rPr>
        <w:rFonts w:hint="default"/>
      </w:rPr>
    </w:lvl>
    <w:lvl w:ilvl="2">
      <w:start w:val="1"/>
      <w:numFmt w:val="lowerRoman"/>
      <w:lvlText w:val="%3."/>
      <w:lvlJc w:val="center"/>
      <w:pPr>
        <w:ind w:left="1843" w:hanging="539"/>
      </w:pPr>
      <w:rPr>
        <w:rFonts w:hint="default"/>
      </w:rPr>
    </w:lvl>
    <w:lvl w:ilvl="3">
      <w:start w:val="1"/>
      <w:numFmt w:val="decimal"/>
      <w:lvlText w:val="%4."/>
      <w:lvlJc w:val="left"/>
      <w:pPr>
        <w:ind w:left="3402" w:hanging="567"/>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15:restartNumberingAfterBreak="0">
    <w:nsid w:val="301A0D04"/>
    <w:multiLevelType w:val="hybridMultilevel"/>
    <w:tmpl w:val="C77C6AE6"/>
    <w:lvl w:ilvl="0" w:tplc="550AFA6E">
      <w:start w:val="1"/>
      <w:numFmt w:val="lowerLetter"/>
      <w:pStyle w:val="ListBulle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026174"/>
    <w:multiLevelType w:val="multilevel"/>
    <w:tmpl w:val="86FE6632"/>
    <w:lvl w:ilvl="0">
      <w:start w:val="1"/>
      <w:numFmt w:val="lowerLetter"/>
      <w:pStyle w:val="ListLettering"/>
      <w:lvlText w:val="%1."/>
      <w:lvlJc w:val="left"/>
      <w:pPr>
        <w:ind w:left="1049" w:hanging="34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E366BF8"/>
    <w:multiLevelType w:val="hybridMultilevel"/>
    <w:tmpl w:val="B3903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AB0155C"/>
    <w:multiLevelType w:val="multilevel"/>
    <w:tmpl w:val="296428A6"/>
    <w:lvl w:ilvl="0">
      <w:start w:val="1"/>
      <w:numFmt w:val="decimal"/>
      <w:pStyle w:val="Numbering"/>
      <w:lvlText w:val="%1."/>
      <w:lvlJc w:val="left"/>
      <w:pPr>
        <w:tabs>
          <w:tab w:val="num" w:pos="709"/>
        </w:tabs>
        <w:ind w:left="1049" w:hanging="352"/>
      </w:pPr>
      <w:rPr>
        <w:rFonts w:hint="default"/>
      </w:rPr>
    </w:lvl>
    <w:lvl w:ilvl="1">
      <w:start w:val="1"/>
      <w:numFmt w:val="decimal"/>
      <w:lvlText w:val="%1.%2."/>
      <w:lvlJc w:val="left"/>
      <w:pPr>
        <w:tabs>
          <w:tab w:val="num" w:pos="1049"/>
        </w:tabs>
        <w:ind w:left="1588" w:hanging="550"/>
      </w:pPr>
      <w:rPr>
        <w:rFonts w:hint="default"/>
      </w:rPr>
    </w:lvl>
    <w:lvl w:ilvl="2">
      <w:start w:val="1"/>
      <w:numFmt w:val="decimal"/>
      <w:lvlText w:val="%1.%2.%3."/>
      <w:lvlJc w:val="left"/>
      <w:pPr>
        <w:tabs>
          <w:tab w:val="num" w:pos="1588"/>
        </w:tabs>
        <w:ind w:left="2245" w:hanging="669"/>
      </w:pPr>
      <w:rPr>
        <w:rFonts w:hint="default"/>
      </w:rPr>
    </w:lvl>
    <w:lvl w:ilvl="3">
      <w:start w:val="1"/>
      <w:numFmt w:val="decimal"/>
      <w:lvlText w:val="%1.%2.%3.%4."/>
      <w:lvlJc w:val="left"/>
      <w:pPr>
        <w:ind w:left="1996"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50756165"/>
    <w:multiLevelType w:val="hybridMultilevel"/>
    <w:tmpl w:val="09E4B9AC"/>
    <w:lvl w:ilvl="0" w:tplc="B9FEB72E">
      <w:start w:val="1"/>
      <w:numFmt w:val="bullet"/>
      <w:pStyle w:val="CaseStudyQuoteBullets"/>
      <w:lvlText w:val=""/>
      <w:lvlJc w:val="left"/>
      <w:pPr>
        <w:ind w:left="360" w:hanging="360"/>
      </w:pPr>
      <w:rPr>
        <w:rFonts w:hint="default" w:ascii="Symbol" w:hAnsi="Symbol"/>
        <w:color w:val="8C9389"/>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3163E54"/>
    <w:multiLevelType w:val="multilevel"/>
    <w:tmpl w:val="A11068C0"/>
    <w:lvl w:ilvl="0">
      <w:start w:val="1"/>
      <w:numFmt w:val="bullet"/>
      <w:pStyle w:val="ListParagraph"/>
      <w:lvlText w:val=""/>
      <w:lvlJc w:val="left"/>
      <w:pPr>
        <w:tabs>
          <w:tab w:val="num" w:pos="709"/>
        </w:tabs>
        <w:ind w:left="936" w:hanging="227"/>
      </w:pPr>
      <w:rPr>
        <w:rFonts w:hint="default" w:ascii="Symbol" w:hAnsi="Symbol"/>
        <w:b w:val="0"/>
        <w:i w:val="0"/>
      </w:rPr>
    </w:lvl>
    <w:lvl w:ilvl="1">
      <w:start w:val="1"/>
      <w:numFmt w:val="bullet"/>
      <w:lvlText w:val="-"/>
      <w:lvlJc w:val="left"/>
      <w:pPr>
        <w:tabs>
          <w:tab w:val="num" w:pos="936"/>
        </w:tabs>
        <w:ind w:left="1162" w:hanging="226"/>
      </w:pPr>
      <w:rPr>
        <w:rFonts w:hint="default" w:ascii="Courier New" w:hAnsi="Courier New"/>
        <w:b w:val="0"/>
        <w:i w:val="0"/>
      </w:rPr>
    </w:lvl>
    <w:lvl w:ilvl="2">
      <w:start w:val="1"/>
      <w:numFmt w:val="lowerLetter"/>
      <w:lvlText w:val="%3"/>
      <w:lvlJc w:val="left"/>
      <w:pPr>
        <w:tabs>
          <w:tab w:val="num" w:pos="1162"/>
        </w:tabs>
        <w:ind w:left="1389" w:hanging="227"/>
      </w:pPr>
      <w:rPr>
        <w:rFonts w:hint="default"/>
        <w:b w:val="0"/>
        <w:i w:val="0"/>
      </w:rPr>
    </w:lvl>
    <w:lvl w:ilvl="3">
      <w:start w:val="1"/>
      <w:numFmt w:val="lowerRoman"/>
      <w:lvlText w:val="%4."/>
      <w:lvlJc w:val="center"/>
      <w:pPr>
        <w:ind w:left="1610" w:hanging="170"/>
      </w:pPr>
      <w:rPr>
        <w:rFonts w:hint="default"/>
        <w:b w:val="0"/>
        <w:i w:val="0"/>
      </w:rPr>
    </w:lvl>
    <w:lvl w:ilvl="4">
      <w:start w:val="1"/>
      <w:numFmt w:val="bullet"/>
      <w:lvlText w:val="o"/>
      <w:lvlJc w:val="left"/>
      <w:pPr>
        <w:ind w:left="1135" w:hanging="227"/>
      </w:pPr>
      <w:rPr>
        <w:rFonts w:hint="default" w:ascii="Courier New" w:hAnsi="Courier New" w:cs="Courier New"/>
      </w:rPr>
    </w:lvl>
    <w:lvl w:ilvl="5">
      <w:start w:val="1"/>
      <w:numFmt w:val="bullet"/>
      <w:lvlText w:val=""/>
      <w:lvlJc w:val="left"/>
      <w:pPr>
        <w:ind w:left="1362" w:hanging="227"/>
      </w:pPr>
      <w:rPr>
        <w:rFonts w:hint="default" w:ascii="Wingdings" w:hAnsi="Wingdings"/>
      </w:rPr>
    </w:lvl>
    <w:lvl w:ilvl="6">
      <w:start w:val="1"/>
      <w:numFmt w:val="bullet"/>
      <w:lvlText w:val=""/>
      <w:lvlJc w:val="left"/>
      <w:pPr>
        <w:ind w:left="1589" w:hanging="227"/>
      </w:pPr>
      <w:rPr>
        <w:rFonts w:hint="default" w:ascii="Symbol" w:hAnsi="Symbol"/>
      </w:rPr>
    </w:lvl>
    <w:lvl w:ilvl="7">
      <w:start w:val="1"/>
      <w:numFmt w:val="bullet"/>
      <w:lvlText w:val="o"/>
      <w:lvlJc w:val="left"/>
      <w:pPr>
        <w:ind w:left="1816" w:hanging="227"/>
      </w:pPr>
      <w:rPr>
        <w:rFonts w:hint="default" w:ascii="Courier New" w:hAnsi="Courier New" w:cs="Courier New"/>
      </w:rPr>
    </w:lvl>
    <w:lvl w:ilvl="8">
      <w:start w:val="1"/>
      <w:numFmt w:val="bullet"/>
      <w:lvlText w:val=""/>
      <w:lvlJc w:val="left"/>
      <w:pPr>
        <w:ind w:left="2043" w:hanging="227"/>
      </w:pPr>
      <w:rPr>
        <w:rFonts w:hint="default" w:ascii="Wingdings" w:hAnsi="Wingdings"/>
      </w:rPr>
    </w:lvl>
  </w:abstractNum>
  <w:abstractNum w:abstractNumId="24" w15:restartNumberingAfterBreak="0">
    <w:nsid w:val="56B101A2"/>
    <w:multiLevelType w:val="hybridMultilevel"/>
    <w:tmpl w:val="9EC8D14E"/>
    <w:lvl w:ilvl="0" w:tplc="E7EAAD8E">
      <w:numFmt w:val="bullet"/>
      <w:lvlText w:val="-"/>
      <w:lvlJc w:val="left"/>
      <w:pPr>
        <w:ind w:left="1069" w:hanging="360"/>
      </w:pPr>
      <w:rPr>
        <w:rFonts w:hint="default" w:ascii="Lato" w:hAnsi="Lato" w:eastAsiaTheme="minorHAnsi" w:cstheme="minorBidi"/>
      </w:rPr>
    </w:lvl>
    <w:lvl w:ilvl="1" w:tplc="08090003" w:tentative="1">
      <w:start w:val="1"/>
      <w:numFmt w:val="bullet"/>
      <w:lvlText w:val="o"/>
      <w:lvlJc w:val="left"/>
      <w:pPr>
        <w:ind w:left="1789" w:hanging="360"/>
      </w:pPr>
      <w:rPr>
        <w:rFonts w:hint="default" w:ascii="Courier New" w:hAnsi="Courier New" w:cs="Courier New"/>
      </w:rPr>
    </w:lvl>
    <w:lvl w:ilvl="2" w:tplc="08090005" w:tentative="1">
      <w:start w:val="1"/>
      <w:numFmt w:val="bullet"/>
      <w:lvlText w:val=""/>
      <w:lvlJc w:val="left"/>
      <w:pPr>
        <w:ind w:left="2509" w:hanging="360"/>
      </w:pPr>
      <w:rPr>
        <w:rFonts w:hint="default" w:ascii="Wingdings" w:hAnsi="Wingdings"/>
      </w:rPr>
    </w:lvl>
    <w:lvl w:ilvl="3" w:tplc="08090001" w:tentative="1">
      <w:start w:val="1"/>
      <w:numFmt w:val="bullet"/>
      <w:lvlText w:val=""/>
      <w:lvlJc w:val="left"/>
      <w:pPr>
        <w:ind w:left="3229" w:hanging="360"/>
      </w:pPr>
      <w:rPr>
        <w:rFonts w:hint="default" w:ascii="Symbol" w:hAnsi="Symbol"/>
      </w:rPr>
    </w:lvl>
    <w:lvl w:ilvl="4" w:tplc="08090003" w:tentative="1">
      <w:start w:val="1"/>
      <w:numFmt w:val="bullet"/>
      <w:lvlText w:val="o"/>
      <w:lvlJc w:val="left"/>
      <w:pPr>
        <w:ind w:left="3949" w:hanging="360"/>
      </w:pPr>
      <w:rPr>
        <w:rFonts w:hint="default" w:ascii="Courier New" w:hAnsi="Courier New" w:cs="Courier New"/>
      </w:rPr>
    </w:lvl>
    <w:lvl w:ilvl="5" w:tplc="08090005" w:tentative="1">
      <w:start w:val="1"/>
      <w:numFmt w:val="bullet"/>
      <w:lvlText w:val=""/>
      <w:lvlJc w:val="left"/>
      <w:pPr>
        <w:ind w:left="4669" w:hanging="360"/>
      </w:pPr>
      <w:rPr>
        <w:rFonts w:hint="default" w:ascii="Wingdings" w:hAnsi="Wingdings"/>
      </w:rPr>
    </w:lvl>
    <w:lvl w:ilvl="6" w:tplc="08090001" w:tentative="1">
      <w:start w:val="1"/>
      <w:numFmt w:val="bullet"/>
      <w:lvlText w:val=""/>
      <w:lvlJc w:val="left"/>
      <w:pPr>
        <w:ind w:left="5389" w:hanging="360"/>
      </w:pPr>
      <w:rPr>
        <w:rFonts w:hint="default" w:ascii="Symbol" w:hAnsi="Symbol"/>
      </w:rPr>
    </w:lvl>
    <w:lvl w:ilvl="7" w:tplc="08090003" w:tentative="1">
      <w:start w:val="1"/>
      <w:numFmt w:val="bullet"/>
      <w:lvlText w:val="o"/>
      <w:lvlJc w:val="left"/>
      <w:pPr>
        <w:ind w:left="6109" w:hanging="360"/>
      </w:pPr>
      <w:rPr>
        <w:rFonts w:hint="default" w:ascii="Courier New" w:hAnsi="Courier New" w:cs="Courier New"/>
      </w:rPr>
    </w:lvl>
    <w:lvl w:ilvl="8" w:tplc="08090005" w:tentative="1">
      <w:start w:val="1"/>
      <w:numFmt w:val="bullet"/>
      <w:lvlText w:val=""/>
      <w:lvlJc w:val="left"/>
      <w:pPr>
        <w:ind w:left="6829" w:hanging="360"/>
      </w:pPr>
      <w:rPr>
        <w:rFonts w:hint="default" w:ascii="Wingdings" w:hAnsi="Wingdings"/>
      </w:rPr>
    </w:lvl>
  </w:abstractNum>
  <w:abstractNum w:abstractNumId="25" w15:restartNumberingAfterBreak="0">
    <w:nsid w:val="5CB27082"/>
    <w:multiLevelType w:val="hybridMultilevel"/>
    <w:tmpl w:val="2304CB94"/>
    <w:lvl w:ilvl="0" w:tplc="03F2D306">
      <w:numFmt w:val="bullet"/>
      <w:lvlText w:val="-"/>
      <w:lvlJc w:val="left"/>
      <w:pPr>
        <w:ind w:left="1069" w:hanging="360"/>
      </w:pPr>
      <w:rPr>
        <w:rFonts w:hint="default" w:ascii="Lato" w:hAnsi="Lato" w:eastAsiaTheme="minorHAnsi" w:cstheme="minorBidi"/>
      </w:rPr>
    </w:lvl>
    <w:lvl w:ilvl="1" w:tplc="08090003">
      <w:start w:val="1"/>
      <w:numFmt w:val="bullet"/>
      <w:lvlText w:val="o"/>
      <w:lvlJc w:val="left"/>
      <w:pPr>
        <w:ind w:left="1789" w:hanging="360"/>
      </w:pPr>
      <w:rPr>
        <w:rFonts w:hint="default" w:ascii="Courier New" w:hAnsi="Courier New" w:cs="Courier New"/>
      </w:rPr>
    </w:lvl>
    <w:lvl w:ilvl="2" w:tplc="08090005" w:tentative="1">
      <w:start w:val="1"/>
      <w:numFmt w:val="bullet"/>
      <w:lvlText w:val=""/>
      <w:lvlJc w:val="left"/>
      <w:pPr>
        <w:ind w:left="2509" w:hanging="360"/>
      </w:pPr>
      <w:rPr>
        <w:rFonts w:hint="default" w:ascii="Wingdings" w:hAnsi="Wingdings"/>
      </w:rPr>
    </w:lvl>
    <w:lvl w:ilvl="3" w:tplc="08090001" w:tentative="1">
      <w:start w:val="1"/>
      <w:numFmt w:val="bullet"/>
      <w:lvlText w:val=""/>
      <w:lvlJc w:val="left"/>
      <w:pPr>
        <w:ind w:left="3229" w:hanging="360"/>
      </w:pPr>
      <w:rPr>
        <w:rFonts w:hint="default" w:ascii="Symbol" w:hAnsi="Symbol"/>
      </w:rPr>
    </w:lvl>
    <w:lvl w:ilvl="4" w:tplc="08090003" w:tentative="1">
      <w:start w:val="1"/>
      <w:numFmt w:val="bullet"/>
      <w:lvlText w:val="o"/>
      <w:lvlJc w:val="left"/>
      <w:pPr>
        <w:ind w:left="3949" w:hanging="360"/>
      </w:pPr>
      <w:rPr>
        <w:rFonts w:hint="default" w:ascii="Courier New" w:hAnsi="Courier New" w:cs="Courier New"/>
      </w:rPr>
    </w:lvl>
    <w:lvl w:ilvl="5" w:tplc="08090005" w:tentative="1">
      <w:start w:val="1"/>
      <w:numFmt w:val="bullet"/>
      <w:lvlText w:val=""/>
      <w:lvlJc w:val="left"/>
      <w:pPr>
        <w:ind w:left="4669" w:hanging="360"/>
      </w:pPr>
      <w:rPr>
        <w:rFonts w:hint="default" w:ascii="Wingdings" w:hAnsi="Wingdings"/>
      </w:rPr>
    </w:lvl>
    <w:lvl w:ilvl="6" w:tplc="08090001" w:tentative="1">
      <w:start w:val="1"/>
      <w:numFmt w:val="bullet"/>
      <w:lvlText w:val=""/>
      <w:lvlJc w:val="left"/>
      <w:pPr>
        <w:ind w:left="5389" w:hanging="360"/>
      </w:pPr>
      <w:rPr>
        <w:rFonts w:hint="default" w:ascii="Symbol" w:hAnsi="Symbol"/>
      </w:rPr>
    </w:lvl>
    <w:lvl w:ilvl="7" w:tplc="08090003" w:tentative="1">
      <w:start w:val="1"/>
      <w:numFmt w:val="bullet"/>
      <w:lvlText w:val="o"/>
      <w:lvlJc w:val="left"/>
      <w:pPr>
        <w:ind w:left="6109" w:hanging="360"/>
      </w:pPr>
      <w:rPr>
        <w:rFonts w:hint="default" w:ascii="Courier New" w:hAnsi="Courier New" w:cs="Courier New"/>
      </w:rPr>
    </w:lvl>
    <w:lvl w:ilvl="8" w:tplc="08090005" w:tentative="1">
      <w:start w:val="1"/>
      <w:numFmt w:val="bullet"/>
      <w:lvlText w:val=""/>
      <w:lvlJc w:val="left"/>
      <w:pPr>
        <w:ind w:left="6829" w:hanging="360"/>
      </w:pPr>
      <w:rPr>
        <w:rFonts w:hint="default" w:ascii="Wingdings" w:hAnsi="Wingdings"/>
      </w:rPr>
    </w:lvl>
  </w:abstractNum>
  <w:abstractNum w:abstractNumId="26" w15:restartNumberingAfterBreak="0">
    <w:nsid w:val="66FA4DAB"/>
    <w:multiLevelType w:val="hybridMultilevel"/>
    <w:tmpl w:val="BA3298E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7A4612B8"/>
    <w:multiLevelType w:val="hybridMultilevel"/>
    <w:tmpl w:val="ACF48972"/>
    <w:lvl w:ilvl="0" w:tplc="FFFFFFFF">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7CD5476A"/>
    <w:multiLevelType w:val="hybridMultilevel"/>
    <w:tmpl w:val="07604452"/>
    <w:lvl w:ilvl="0" w:tplc="52C83B6C">
      <w:start w:val="3"/>
      <w:numFmt w:val="bullet"/>
      <w:lvlText w:val="-"/>
      <w:lvlJc w:val="left"/>
      <w:pPr>
        <w:ind w:left="1648" w:hanging="360"/>
      </w:pPr>
      <w:rPr>
        <w:rFonts w:hint="default" w:ascii="Lato Light" w:hAnsi="Lato Light" w:eastAsiaTheme="minorHAnsi" w:cstheme="minorBidi"/>
      </w:rPr>
    </w:lvl>
    <w:lvl w:ilvl="1" w:tplc="08090003" w:tentative="1">
      <w:start w:val="1"/>
      <w:numFmt w:val="bullet"/>
      <w:lvlText w:val="o"/>
      <w:lvlJc w:val="left"/>
      <w:pPr>
        <w:ind w:left="2368" w:hanging="360"/>
      </w:pPr>
      <w:rPr>
        <w:rFonts w:hint="default" w:ascii="Courier New" w:hAnsi="Courier New" w:cs="Courier New"/>
      </w:rPr>
    </w:lvl>
    <w:lvl w:ilvl="2" w:tplc="08090005" w:tentative="1">
      <w:start w:val="1"/>
      <w:numFmt w:val="bullet"/>
      <w:lvlText w:val=""/>
      <w:lvlJc w:val="left"/>
      <w:pPr>
        <w:ind w:left="3088" w:hanging="360"/>
      </w:pPr>
      <w:rPr>
        <w:rFonts w:hint="default" w:ascii="Wingdings" w:hAnsi="Wingdings"/>
      </w:rPr>
    </w:lvl>
    <w:lvl w:ilvl="3" w:tplc="08090001" w:tentative="1">
      <w:start w:val="1"/>
      <w:numFmt w:val="bullet"/>
      <w:lvlText w:val=""/>
      <w:lvlJc w:val="left"/>
      <w:pPr>
        <w:ind w:left="3808" w:hanging="360"/>
      </w:pPr>
      <w:rPr>
        <w:rFonts w:hint="default" w:ascii="Symbol" w:hAnsi="Symbol"/>
      </w:rPr>
    </w:lvl>
    <w:lvl w:ilvl="4" w:tplc="08090003" w:tentative="1">
      <w:start w:val="1"/>
      <w:numFmt w:val="bullet"/>
      <w:lvlText w:val="o"/>
      <w:lvlJc w:val="left"/>
      <w:pPr>
        <w:ind w:left="4528" w:hanging="360"/>
      </w:pPr>
      <w:rPr>
        <w:rFonts w:hint="default" w:ascii="Courier New" w:hAnsi="Courier New" w:cs="Courier New"/>
      </w:rPr>
    </w:lvl>
    <w:lvl w:ilvl="5" w:tplc="08090005" w:tentative="1">
      <w:start w:val="1"/>
      <w:numFmt w:val="bullet"/>
      <w:lvlText w:val=""/>
      <w:lvlJc w:val="left"/>
      <w:pPr>
        <w:ind w:left="5248" w:hanging="360"/>
      </w:pPr>
      <w:rPr>
        <w:rFonts w:hint="default" w:ascii="Wingdings" w:hAnsi="Wingdings"/>
      </w:rPr>
    </w:lvl>
    <w:lvl w:ilvl="6" w:tplc="08090001" w:tentative="1">
      <w:start w:val="1"/>
      <w:numFmt w:val="bullet"/>
      <w:lvlText w:val=""/>
      <w:lvlJc w:val="left"/>
      <w:pPr>
        <w:ind w:left="5968" w:hanging="360"/>
      </w:pPr>
      <w:rPr>
        <w:rFonts w:hint="default" w:ascii="Symbol" w:hAnsi="Symbol"/>
      </w:rPr>
    </w:lvl>
    <w:lvl w:ilvl="7" w:tplc="08090003" w:tentative="1">
      <w:start w:val="1"/>
      <w:numFmt w:val="bullet"/>
      <w:lvlText w:val="o"/>
      <w:lvlJc w:val="left"/>
      <w:pPr>
        <w:ind w:left="6688" w:hanging="360"/>
      </w:pPr>
      <w:rPr>
        <w:rFonts w:hint="default" w:ascii="Courier New" w:hAnsi="Courier New" w:cs="Courier New"/>
      </w:rPr>
    </w:lvl>
    <w:lvl w:ilvl="8" w:tplc="08090005" w:tentative="1">
      <w:start w:val="1"/>
      <w:numFmt w:val="bullet"/>
      <w:lvlText w:val=""/>
      <w:lvlJc w:val="left"/>
      <w:pPr>
        <w:ind w:left="7408" w:hanging="360"/>
      </w:pPr>
      <w:rPr>
        <w:rFonts w:hint="default" w:ascii="Wingdings" w:hAnsi="Wingdings"/>
      </w:rPr>
    </w:lvl>
  </w:abstractNum>
  <w:abstractNum w:abstractNumId="29" w15:restartNumberingAfterBreak="0">
    <w:nsid w:val="7E99099D"/>
    <w:multiLevelType w:val="multilevel"/>
    <w:tmpl w:val="E75670C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num w:numId="1" w16cid:durableId="1312904195">
    <w:abstractNumId w:val="5"/>
  </w:num>
  <w:num w:numId="2" w16cid:durableId="2020814658">
    <w:abstractNumId w:val="23"/>
  </w:num>
  <w:num w:numId="3" w16cid:durableId="632449459">
    <w:abstractNumId w:val="21"/>
  </w:num>
  <w:num w:numId="4" w16cid:durableId="1812670794">
    <w:abstractNumId w:val="19"/>
  </w:num>
  <w:num w:numId="5" w16cid:durableId="2096897938">
    <w:abstractNumId w:val="1"/>
  </w:num>
  <w:num w:numId="6" w16cid:durableId="779026869">
    <w:abstractNumId w:val="9"/>
  </w:num>
  <w:num w:numId="7" w16cid:durableId="1243107754">
    <w:abstractNumId w:val="3"/>
  </w:num>
  <w:num w:numId="8" w16cid:durableId="909269133">
    <w:abstractNumId w:val="18"/>
  </w:num>
  <w:num w:numId="9" w16cid:durableId="1022321007">
    <w:abstractNumId w:val="17"/>
  </w:num>
  <w:num w:numId="10" w16cid:durableId="2010525263">
    <w:abstractNumId w:val="0"/>
  </w:num>
  <w:num w:numId="11" w16cid:durableId="64838680">
    <w:abstractNumId w:val="11"/>
  </w:num>
  <w:num w:numId="12" w16cid:durableId="1392343360">
    <w:abstractNumId w:val="22"/>
  </w:num>
  <w:num w:numId="13" w16cid:durableId="1978030248">
    <w:abstractNumId w:val="26"/>
  </w:num>
  <w:num w:numId="14" w16cid:durableId="1105269398">
    <w:abstractNumId w:val="16"/>
  </w:num>
  <w:num w:numId="15" w16cid:durableId="779640729">
    <w:abstractNumId w:val="14"/>
  </w:num>
  <w:num w:numId="16" w16cid:durableId="1073815822">
    <w:abstractNumId w:val="20"/>
  </w:num>
  <w:num w:numId="17" w16cid:durableId="378289855">
    <w:abstractNumId w:val="15"/>
  </w:num>
  <w:num w:numId="18" w16cid:durableId="1366366237">
    <w:abstractNumId w:val="27"/>
  </w:num>
  <w:num w:numId="19" w16cid:durableId="94450684">
    <w:abstractNumId w:val="25"/>
  </w:num>
  <w:num w:numId="20" w16cid:durableId="1887526994">
    <w:abstractNumId w:val="4"/>
  </w:num>
  <w:num w:numId="21" w16cid:durableId="1795828784">
    <w:abstractNumId w:val="10"/>
  </w:num>
  <w:num w:numId="22" w16cid:durableId="1750882256">
    <w:abstractNumId w:val="2"/>
  </w:num>
  <w:num w:numId="23" w16cid:durableId="2097438616">
    <w:abstractNumId w:val="29"/>
  </w:num>
  <w:num w:numId="24" w16cid:durableId="149832340">
    <w:abstractNumId w:val="24"/>
  </w:num>
  <w:num w:numId="25" w16cid:durableId="959268255">
    <w:abstractNumId w:val="6"/>
  </w:num>
  <w:num w:numId="26" w16cid:durableId="260070155">
    <w:abstractNumId w:val="23"/>
  </w:num>
  <w:num w:numId="27" w16cid:durableId="555896778">
    <w:abstractNumId w:val="23"/>
  </w:num>
  <w:num w:numId="28" w16cid:durableId="640692694">
    <w:abstractNumId w:val="7"/>
  </w:num>
  <w:num w:numId="29" w16cid:durableId="2145850483">
    <w:abstractNumId w:val="12"/>
  </w:num>
  <w:num w:numId="30" w16cid:durableId="1189562411">
    <w:abstractNumId w:val="13"/>
  </w:num>
  <w:num w:numId="31" w16cid:durableId="1523127638">
    <w:abstractNumId w:val="28"/>
  </w:num>
  <w:num w:numId="32" w16cid:durableId="110993678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719"/>
    <w:rsid w:val="000017E0"/>
    <w:rsid w:val="000027FA"/>
    <w:rsid w:val="00002847"/>
    <w:rsid w:val="00004B62"/>
    <w:rsid w:val="00007A67"/>
    <w:rsid w:val="00010688"/>
    <w:rsid w:val="00010920"/>
    <w:rsid w:val="00011722"/>
    <w:rsid w:val="00011BE5"/>
    <w:rsid w:val="00011E23"/>
    <w:rsid w:val="0001281A"/>
    <w:rsid w:val="00012C1A"/>
    <w:rsid w:val="00013631"/>
    <w:rsid w:val="00013BE2"/>
    <w:rsid w:val="00014152"/>
    <w:rsid w:val="000149F2"/>
    <w:rsid w:val="00020414"/>
    <w:rsid w:val="00020698"/>
    <w:rsid w:val="0002177F"/>
    <w:rsid w:val="00023FAD"/>
    <w:rsid w:val="000255B4"/>
    <w:rsid w:val="00025D86"/>
    <w:rsid w:val="00025F61"/>
    <w:rsid w:val="00027AA1"/>
    <w:rsid w:val="0003019A"/>
    <w:rsid w:val="00035FC9"/>
    <w:rsid w:val="00037551"/>
    <w:rsid w:val="0004070C"/>
    <w:rsid w:val="00040873"/>
    <w:rsid w:val="00041472"/>
    <w:rsid w:val="00041BAF"/>
    <w:rsid w:val="00043A4A"/>
    <w:rsid w:val="00043B26"/>
    <w:rsid w:val="000457F7"/>
    <w:rsid w:val="00045B23"/>
    <w:rsid w:val="0004741C"/>
    <w:rsid w:val="00050375"/>
    <w:rsid w:val="0005084B"/>
    <w:rsid w:val="00050911"/>
    <w:rsid w:val="0005099A"/>
    <w:rsid w:val="00050F13"/>
    <w:rsid w:val="000527B1"/>
    <w:rsid w:val="00053976"/>
    <w:rsid w:val="000549F5"/>
    <w:rsid w:val="00055858"/>
    <w:rsid w:val="000558B7"/>
    <w:rsid w:val="00056B4D"/>
    <w:rsid w:val="000572F9"/>
    <w:rsid w:val="00057761"/>
    <w:rsid w:val="000579E2"/>
    <w:rsid w:val="00060C21"/>
    <w:rsid w:val="000619C3"/>
    <w:rsid w:val="00061B58"/>
    <w:rsid w:val="00061B7C"/>
    <w:rsid w:val="000625FB"/>
    <w:rsid w:val="00064211"/>
    <w:rsid w:val="0006661D"/>
    <w:rsid w:val="00066B0C"/>
    <w:rsid w:val="00066C6E"/>
    <w:rsid w:val="00067742"/>
    <w:rsid w:val="00070735"/>
    <w:rsid w:val="00070988"/>
    <w:rsid w:val="00070F03"/>
    <w:rsid w:val="00072191"/>
    <w:rsid w:val="000730B8"/>
    <w:rsid w:val="0007326D"/>
    <w:rsid w:val="00074F55"/>
    <w:rsid w:val="0007696F"/>
    <w:rsid w:val="00077BC3"/>
    <w:rsid w:val="000845C3"/>
    <w:rsid w:val="000850F0"/>
    <w:rsid w:val="00085D72"/>
    <w:rsid w:val="00087085"/>
    <w:rsid w:val="0008795E"/>
    <w:rsid w:val="00087EF7"/>
    <w:rsid w:val="00087EFD"/>
    <w:rsid w:val="00090746"/>
    <w:rsid w:val="00091F14"/>
    <w:rsid w:val="00092093"/>
    <w:rsid w:val="000922AA"/>
    <w:rsid w:val="000927DB"/>
    <w:rsid w:val="0009297E"/>
    <w:rsid w:val="0009345F"/>
    <w:rsid w:val="00094433"/>
    <w:rsid w:val="00095B38"/>
    <w:rsid w:val="00095DD8"/>
    <w:rsid w:val="0009634F"/>
    <w:rsid w:val="00096894"/>
    <w:rsid w:val="00097765"/>
    <w:rsid w:val="00097B90"/>
    <w:rsid w:val="00097CAB"/>
    <w:rsid w:val="000A0B70"/>
    <w:rsid w:val="000A0DE1"/>
    <w:rsid w:val="000A2003"/>
    <w:rsid w:val="000A27C9"/>
    <w:rsid w:val="000A2F74"/>
    <w:rsid w:val="000A4FA5"/>
    <w:rsid w:val="000A5735"/>
    <w:rsid w:val="000A6812"/>
    <w:rsid w:val="000A6E3D"/>
    <w:rsid w:val="000A725A"/>
    <w:rsid w:val="000B074B"/>
    <w:rsid w:val="000B0A55"/>
    <w:rsid w:val="000B132F"/>
    <w:rsid w:val="000B1C3B"/>
    <w:rsid w:val="000B21E8"/>
    <w:rsid w:val="000B2253"/>
    <w:rsid w:val="000B256E"/>
    <w:rsid w:val="000B2CF9"/>
    <w:rsid w:val="000B343E"/>
    <w:rsid w:val="000B38D3"/>
    <w:rsid w:val="000B3AAD"/>
    <w:rsid w:val="000B44E7"/>
    <w:rsid w:val="000B463D"/>
    <w:rsid w:val="000B4CDB"/>
    <w:rsid w:val="000B73B6"/>
    <w:rsid w:val="000B7461"/>
    <w:rsid w:val="000B7909"/>
    <w:rsid w:val="000C0A24"/>
    <w:rsid w:val="000C169E"/>
    <w:rsid w:val="000C252B"/>
    <w:rsid w:val="000C25B4"/>
    <w:rsid w:val="000C2BE0"/>
    <w:rsid w:val="000C3D99"/>
    <w:rsid w:val="000C40D7"/>
    <w:rsid w:val="000C43F4"/>
    <w:rsid w:val="000C5EC7"/>
    <w:rsid w:val="000C781F"/>
    <w:rsid w:val="000C7952"/>
    <w:rsid w:val="000D159E"/>
    <w:rsid w:val="000D1674"/>
    <w:rsid w:val="000D2273"/>
    <w:rsid w:val="000D28C5"/>
    <w:rsid w:val="000D2ECD"/>
    <w:rsid w:val="000D4579"/>
    <w:rsid w:val="000D4B94"/>
    <w:rsid w:val="000D59A2"/>
    <w:rsid w:val="000D621F"/>
    <w:rsid w:val="000D6C95"/>
    <w:rsid w:val="000D6EBD"/>
    <w:rsid w:val="000D7CB7"/>
    <w:rsid w:val="000E086E"/>
    <w:rsid w:val="000E11FD"/>
    <w:rsid w:val="000E208D"/>
    <w:rsid w:val="000E2B1A"/>
    <w:rsid w:val="000E2BC5"/>
    <w:rsid w:val="000E33E0"/>
    <w:rsid w:val="000E56E6"/>
    <w:rsid w:val="000E5C9A"/>
    <w:rsid w:val="000E74BF"/>
    <w:rsid w:val="000F0C5B"/>
    <w:rsid w:val="000F1620"/>
    <w:rsid w:val="000F1CAD"/>
    <w:rsid w:val="000F1E87"/>
    <w:rsid w:val="000F3E3D"/>
    <w:rsid w:val="000F59B8"/>
    <w:rsid w:val="000F7959"/>
    <w:rsid w:val="0010070F"/>
    <w:rsid w:val="0010135E"/>
    <w:rsid w:val="00102029"/>
    <w:rsid w:val="001024DA"/>
    <w:rsid w:val="00102934"/>
    <w:rsid w:val="00103866"/>
    <w:rsid w:val="00105A45"/>
    <w:rsid w:val="00105DB8"/>
    <w:rsid w:val="001071AA"/>
    <w:rsid w:val="001072FF"/>
    <w:rsid w:val="00107B39"/>
    <w:rsid w:val="00110113"/>
    <w:rsid w:val="00110D13"/>
    <w:rsid w:val="00111798"/>
    <w:rsid w:val="0011273D"/>
    <w:rsid w:val="00112F49"/>
    <w:rsid w:val="00113625"/>
    <w:rsid w:val="00113AC4"/>
    <w:rsid w:val="001160DE"/>
    <w:rsid w:val="001164AD"/>
    <w:rsid w:val="00117152"/>
    <w:rsid w:val="00120927"/>
    <w:rsid w:val="0012199B"/>
    <w:rsid w:val="00121EB5"/>
    <w:rsid w:val="00122215"/>
    <w:rsid w:val="001231D3"/>
    <w:rsid w:val="001237B8"/>
    <w:rsid w:val="001241F2"/>
    <w:rsid w:val="00124258"/>
    <w:rsid w:val="001245CB"/>
    <w:rsid w:val="00125534"/>
    <w:rsid w:val="00126C52"/>
    <w:rsid w:val="00130B3C"/>
    <w:rsid w:val="001318CF"/>
    <w:rsid w:val="00134153"/>
    <w:rsid w:val="00134FE9"/>
    <w:rsid w:val="001355C5"/>
    <w:rsid w:val="00136988"/>
    <w:rsid w:val="00136C70"/>
    <w:rsid w:val="00142ED9"/>
    <w:rsid w:val="001434D9"/>
    <w:rsid w:val="00143F2D"/>
    <w:rsid w:val="00144075"/>
    <w:rsid w:val="001440F4"/>
    <w:rsid w:val="00144662"/>
    <w:rsid w:val="00144A97"/>
    <w:rsid w:val="00144DDA"/>
    <w:rsid w:val="00146425"/>
    <w:rsid w:val="001467F2"/>
    <w:rsid w:val="00146B99"/>
    <w:rsid w:val="00147DC9"/>
    <w:rsid w:val="00152278"/>
    <w:rsid w:val="001537BA"/>
    <w:rsid w:val="00154381"/>
    <w:rsid w:val="0015505B"/>
    <w:rsid w:val="001575C4"/>
    <w:rsid w:val="001613D4"/>
    <w:rsid w:val="001614F9"/>
    <w:rsid w:val="0016182C"/>
    <w:rsid w:val="0016248F"/>
    <w:rsid w:val="00162817"/>
    <w:rsid w:val="0016285D"/>
    <w:rsid w:val="00162B7D"/>
    <w:rsid w:val="00163FE4"/>
    <w:rsid w:val="0016520D"/>
    <w:rsid w:val="00165B66"/>
    <w:rsid w:val="001662AF"/>
    <w:rsid w:val="0016660F"/>
    <w:rsid w:val="001674EA"/>
    <w:rsid w:val="001704DE"/>
    <w:rsid w:val="00170E4D"/>
    <w:rsid w:val="00170F95"/>
    <w:rsid w:val="00171F7C"/>
    <w:rsid w:val="0017223D"/>
    <w:rsid w:val="0017311F"/>
    <w:rsid w:val="00174D59"/>
    <w:rsid w:val="00175708"/>
    <w:rsid w:val="00176058"/>
    <w:rsid w:val="001765F4"/>
    <w:rsid w:val="00176EBB"/>
    <w:rsid w:val="0017729C"/>
    <w:rsid w:val="001772D6"/>
    <w:rsid w:val="00177883"/>
    <w:rsid w:val="001808F0"/>
    <w:rsid w:val="00180C53"/>
    <w:rsid w:val="00181210"/>
    <w:rsid w:val="00181B52"/>
    <w:rsid w:val="00181BA3"/>
    <w:rsid w:val="00181E26"/>
    <w:rsid w:val="00182291"/>
    <w:rsid w:val="00182CF6"/>
    <w:rsid w:val="0018422D"/>
    <w:rsid w:val="00184874"/>
    <w:rsid w:val="00185760"/>
    <w:rsid w:val="00186192"/>
    <w:rsid w:val="00186807"/>
    <w:rsid w:val="001917B5"/>
    <w:rsid w:val="00191E24"/>
    <w:rsid w:val="001921AE"/>
    <w:rsid w:val="001928FF"/>
    <w:rsid w:val="00192CDB"/>
    <w:rsid w:val="00196631"/>
    <w:rsid w:val="00196A36"/>
    <w:rsid w:val="00196DA4"/>
    <w:rsid w:val="00196EB2"/>
    <w:rsid w:val="00196FC6"/>
    <w:rsid w:val="00197E00"/>
    <w:rsid w:val="001A0762"/>
    <w:rsid w:val="001A346D"/>
    <w:rsid w:val="001A38A8"/>
    <w:rsid w:val="001A3A90"/>
    <w:rsid w:val="001A6146"/>
    <w:rsid w:val="001A62E6"/>
    <w:rsid w:val="001A6EAA"/>
    <w:rsid w:val="001A7A49"/>
    <w:rsid w:val="001B1EF3"/>
    <w:rsid w:val="001B3776"/>
    <w:rsid w:val="001B39E7"/>
    <w:rsid w:val="001B5FDE"/>
    <w:rsid w:val="001B60EE"/>
    <w:rsid w:val="001B62B5"/>
    <w:rsid w:val="001B685B"/>
    <w:rsid w:val="001B7A2A"/>
    <w:rsid w:val="001B7C12"/>
    <w:rsid w:val="001C13B2"/>
    <w:rsid w:val="001C1E78"/>
    <w:rsid w:val="001C378E"/>
    <w:rsid w:val="001C3AA6"/>
    <w:rsid w:val="001C4AD1"/>
    <w:rsid w:val="001C5C67"/>
    <w:rsid w:val="001C5E67"/>
    <w:rsid w:val="001C6997"/>
    <w:rsid w:val="001C7AA4"/>
    <w:rsid w:val="001D0062"/>
    <w:rsid w:val="001D02CB"/>
    <w:rsid w:val="001D173B"/>
    <w:rsid w:val="001D1938"/>
    <w:rsid w:val="001D401E"/>
    <w:rsid w:val="001D430E"/>
    <w:rsid w:val="001D5489"/>
    <w:rsid w:val="001D59D3"/>
    <w:rsid w:val="001D6B93"/>
    <w:rsid w:val="001D718F"/>
    <w:rsid w:val="001D74F6"/>
    <w:rsid w:val="001E1A67"/>
    <w:rsid w:val="001E1EE9"/>
    <w:rsid w:val="001E33C2"/>
    <w:rsid w:val="001E36E9"/>
    <w:rsid w:val="001E503E"/>
    <w:rsid w:val="001E5AA5"/>
    <w:rsid w:val="001E5C39"/>
    <w:rsid w:val="001E66C9"/>
    <w:rsid w:val="001E79BE"/>
    <w:rsid w:val="001F04AE"/>
    <w:rsid w:val="001F2AEB"/>
    <w:rsid w:val="001F3A8F"/>
    <w:rsid w:val="001F52C0"/>
    <w:rsid w:val="001F64CE"/>
    <w:rsid w:val="001F7E74"/>
    <w:rsid w:val="002006A2"/>
    <w:rsid w:val="0020117F"/>
    <w:rsid w:val="00201C8D"/>
    <w:rsid w:val="002040F0"/>
    <w:rsid w:val="00204CB2"/>
    <w:rsid w:val="002056B7"/>
    <w:rsid w:val="002069D6"/>
    <w:rsid w:val="00207B5E"/>
    <w:rsid w:val="00207D2B"/>
    <w:rsid w:val="002100BF"/>
    <w:rsid w:val="00210AAA"/>
    <w:rsid w:val="00210F21"/>
    <w:rsid w:val="00210F54"/>
    <w:rsid w:val="00211943"/>
    <w:rsid w:val="00211BC2"/>
    <w:rsid w:val="00211DC6"/>
    <w:rsid w:val="002121C5"/>
    <w:rsid w:val="002127A8"/>
    <w:rsid w:val="00212C9E"/>
    <w:rsid w:val="002138C9"/>
    <w:rsid w:val="0021417F"/>
    <w:rsid w:val="002143BA"/>
    <w:rsid w:val="00214888"/>
    <w:rsid w:val="00215804"/>
    <w:rsid w:val="00215B58"/>
    <w:rsid w:val="00216369"/>
    <w:rsid w:val="002172CD"/>
    <w:rsid w:val="00217823"/>
    <w:rsid w:val="00217D07"/>
    <w:rsid w:val="00220F57"/>
    <w:rsid w:val="0022232B"/>
    <w:rsid w:val="002225D2"/>
    <w:rsid w:val="00222986"/>
    <w:rsid w:val="00222AEB"/>
    <w:rsid w:val="00223110"/>
    <w:rsid w:val="0022349B"/>
    <w:rsid w:val="00223C04"/>
    <w:rsid w:val="002249D1"/>
    <w:rsid w:val="002264DA"/>
    <w:rsid w:val="00226A8F"/>
    <w:rsid w:val="002303C2"/>
    <w:rsid w:val="00230A4E"/>
    <w:rsid w:val="00230B42"/>
    <w:rsid w:val="00232C0A"/>
    <w:rsid w:val="002332A2"/>
    <w:rsid w:val="00233425"/>
    <w:rsid w:val="002336BC"/>
    <w:rsid w:val="002338C6"/>
    <w:rsid w:val="00233BB1"/>
    <w:rsid w:val="00233C14"/>
    <w:rsid w:val="00233F0E"/>
    <w:rsid w:val="0023755F"/>
    <w:rsid w:val="00240032"/>
    <w:rsid w:val="0024017D"/>
    <w:rsid w:val="0024031C"/>
    <w:rsid w:val="00240452"/>
    <w:rsid w:val="00240559"/>
    <w:rsid w:val="002408AF"/>
    <w:rsid w:val="00242325"/>
    <w:rsid w:val="00242C3A"/>
    <w:rsid w:val="00244128"/>
    <w:rsid w:val="0024438E"/>
    <w:rsid w:val="00244F94"/>
    <w:rsid w:val="002452B2"/>
    <w:rsid w:val="00245D5D"/>
    <w:rsid w:val="002460A3"/>
    <w:rsid w:val="00247957"/>
    <w:rsid w:val="00247CA4"/>
    <w:rsid w:val="00247DBC"/>
    <w:rsid w:val="00247E4D"/>
    <w:rsid w:val="00247EED"/>
    <w:rsid w:val="0025011C"/>
    <w:rsid w:val="0025019B"/>
    <w:rsid w:val="0025066D"/>
    <w:rsid w:val="00251B18"/>
    <w:rsid w:val="00251CDF"/>
    <w:rsid w:val="00251D31"/>
    <w:rsid w:val="00251F7A"/>
    <w:rsid w:val="002522B8"/>
    <w:rsid w:val="00252392"/>
    <w:rsid w:val="0025317E"/>
    <w:rsid w:val="002533D4"/>
    <w:rsid w:val="00253AD0"/>
    <w:rsid w:val="00254C11"/>
    <w:rsid w:val="002555BE"/>
    <w:rsid w:val="00255C7E"/>
    <w:rsid w:val="00255CC5"/>
    <w:rsid w:val="0025644E"/>
    <w:rsid w:val="00256F29"/>
    <w:rsid w:val="002575ED"/>
    <w:rsid w:val="0026159A"/>
    <w:rsid w:val="00261ED4"/>
    <w:rsid w:val="002620CB"/>
    <w:rsid w:val="00262417"/>
    <w:rsid w:val="00262795"/>
    <w:rsid w:val="00262FF1"/>
    <w:rsid w:val="00263B2B"/>
    <w:rsid w:val="00264618"/>
    <w:rsid w:val="00265A81"/>
    <w:rsid w:val="00267163"/>
    <w:rsid w:val="00267753"/>
    <w:rsid w:val="0026793A"/>
    <w:rsid w:val="00267B5F"/>
    <w:rsid w:val="002710A7"/>
    <w:rsid w:val="00271721"/>
    <w:rsid w:val="00271C09"/>
    <w:rsid w:val="00273CB6"/>
    <w:rsid w:val="002746B9"/>
    <w:rsid w:val="0027497B"/>
    <w:rsid w:val="00275CC6"/>
    <w:rsid w:val="0027743C"/>
    <w:rsid w:val="002800BB"/>
    <w:rsid w:val="00280D91"/>
    <w:rsid w:val="00281AB8"/>
    <w:rsid w:val="00281F66"/>
    <w:rsid w:val="0028219F"/>
    <w:rsid w:val="00282971"/>
    <w:rsid w:val="00282CF1"/>
    <w:rsid w:val="00283267"/>
    <w:rsid w:val="00284840"/>
    <w:rsid w:val="002872A7"/>
    <w:rsid w:val="00287A83"/>
    <w:rsid w:val="00290043"/>
    <w:rsid w:val="0029296F"/>
    <w:rsid w:val="00293E40"/>
    <w:rsid w:val="00293ED4"/>
    <w:rsid w:val="00294E51"/>
    <w:rsid w:val="002967AE"/>
    <w:rsid w:val="00297B8F"/>
    <w:rsid w:val="002A0345"/>
    <w:rsid w:val="002A11AB"/>
    <w:rsid w:val="002A183C"/>
    <w:rsid w:val="002A26BC"/>
    <w:rsid w:val="002A2B46"/>
    <w:rsid w:val="002A3430"/>
    <w:rsid w:val="002A3D3E"/>
    <w:rsid w:val="002A5A03"/>
    <w:rsid w:val="002B1BAD"/>
    <w:rsid w:val="002B1BF0"/>
    <w:rsid w:val="002B219C"/>
    <w:rsid w:val="002B2A09"/>
    <w:rsid w:val="002B3B9B"/>
    <w:rsid w:val="002B4952"/>
    <w:rsid w:val="002B4EF9"/>
    <w:rsid w:val="002B58FB"/>
    <w:rsid w:val="002B6601"/>
    <w:rsid w:val="002B72D3"/>
    <w:rsid w:val="002B7373"/>
    <w:rsid w:val="002C0049"/>
    <w:rsid w:val="002C0124"/>
    <w:rsid w:val="002C0B27"/>
    <w:rsid w:val="002C405B"/>
    <w:rsid w:val="002C4268"/>
    <w:rsid w:val="002C4BD6"/>
    <w:rsid w:val="002C4FF6"/>
    <w:rsid w:val="002C672C"/>
    <w:rsid w:val="002D0043"/>
    <w:rsid w:val="002D05CD"/>
    <w:rsid w:val="002D2E50"/>
    <w:rsid w:val="002D36B9"/>
    <w:rsid w:val="002D5A78"/>
    <w:rsid w:val="002D6071"/>
    <w:rsid w:val="002D66A1"/>
    <w:rsid w:val="002D7934"/>
    <w:rsid w:val="002D7F15"/>
    <w:rsid w:val="002D7FD1"/>
    <w:rsid w:val="002E0030"/>
    <w:rsid w:val="002E0105"/>
    <w:rsid w:val="002E01DE"/>
    <w:rsid w:val="002E05DD"/>
    <w:rsid w:val="002E0AAE"/>
    <w:rsid w:val="002E0BB6"/>
    <w:rsid w:val="002E1479"/>
    <w:rsid w:val="002E334B"/>
    <w:rsid w:val="002E377D"/>
    <w:rsid w:val="002E65B8"/>
    <w:rsid w:val="002E6B65"/>
    <w:rsid w:val="002F0AC1"/>
    <w:rsid w:val="002F0F04"/>
    <w:rsid w:val="002F11ED"/>
    <w:rsid w:val="002F1E97"/>
    <w:rsid w:val="002F1E9F"/>
    <w:rsid w:val="002F40AC"/>
    <w:rsid w:val="002F5D71"/>
    <w:rsid w:val="00300F99"/>
    <w:rsid w:val="00302175"/>
    <w:rsid w:val="00302FB3"/>
    <w:rsid w:val="003037DD"/>
    <w:rsid w:val="00303A37"/>
    <w:rsid w:val="00303B0D"/>
    <w:rsid w:val="00304A37"/>
    <w:rsid w:val="00304E69"/>
    <w:rsid w:val="0030702A"/>
    <w:rsid w:val="00307880"/>
    <w:rsid w:val="0031048F"/>
    <w:rsid w:val="003118FD"/>
    <w:rsid w:val="00311BB1"/>
    <w:rsid w:val="003130C7"/>
    <w:rsid w:val="003142A5"/>
    <w:rsid w:val="00314544"/>
    <w:rsid w:val="00314606"/>
    <w:rsid w:val="003153D9"/>
    <w:rsid w:val="00316084"/>
    <w:rsid w:val="00321914"/>
    <w:rsid w:val="00321BEF"/>
    <w:rsid w:val="003231AF"/>
    <w:rsid w:val="003232E7"/>
    <w:rsid w:val="00324340"/>
    <w:rsid w:val="00326FBB"/>
    <w:rsid w:val="0032723A"/>
    <w:rsid w:val="00330066"/>
    <w:rsid w:val="003321F1"/>
    <w:rsid w:val="00332248"/>
    <w:rsid w:val="00333149"/>
    <w:rsid w:val="00333BE6"/>
    <w:rsid w:val="00333FA8"/>
    <w:rsid w:val="00335881"/>
    <w:rsid w:val="00335EB5"/>
    <w:rsid w:val="00337536"/>
    <w:rsid w:val="00337604"/>
    <w:rsid w:val="00337758"/>
    <w:rsid w:val="00340378"/>
    <w:rsid w:val="003410E0"/>
    <w:rsid w:val="003423BD"/>
    <w:rsid w:val="003428B3"/>
    <w:rsid w:val="0034333F"/>
    <w:rsid w:val="00345D57"/>
    <w:rsid w:val="003466B2"/>
    <w:rsid w:val="003469A2"/>
    <w:rsid w:val="00346A11"/>
    <w:rsid w:val="00346B2B"/>
    <w:rsid w:val="00346E30"/>
    <w:rsid w:val="00347878"/>
    <w:rsid w:val="00347896"/>
    <w:rsid w:val="0035285F"/>
    <w:rsid w:val="0035424B"/>
    <w:rsid w:val="003542F9"/>
    <w:rsid w:val="00354D3E"/>
    <w:rsid w:val="0035687B"/>
    <w:rsid w:val="00357C48"/>
    <w:rsid w:val="00360519"/>
    <w:rsid w:val="00360DD6"/>
    <w:rsid w:val="0036238B"/>
    <w:rsid w:val="00362E3B"/>
    <w:rsid w:val="0036466C"/>
    <w:rsid w:val="003647E2"/>
    <w:rsid w:val="00364C8E"/>
    <w:rsid w:val="00365139"/>
    <w:rsid w:val="0036520F"/>
    <w:rsid w:val="0036661C"/>
    <w:rsid w:val="00367A59"/>
    <w:rsid w:val="00367E84"/>
    <w:rsid w:val="0037159F"/>
    <w:rsid w:val="00371E05"/>
    <w:rsid w:val="003720AA"/>
    <w:rsid w:val="0037366C"/>
    <w:rsid w:val="003738BE"/>
    <w:rsid w:val="00374348"/>
    <w:rsid w:val="003748AB"/>
    <w:rsid w:val="00375719"/>
    <w:rsid w:val="00376A8E"/>
    <w:rsid w:val="003808D8"/>
    <w:rsid w:val="00380B18"/>
    <w:rsid w:val="00380FD7"/>
    <w:rsid w:val="003817BE"/>
    <w:rsid w:val="00381C70"/>
    <w:rsid w:val="00381D51"/>
    <w:rsid w:val="00382463"/>
    <w:rsid w:val="0038573B"/>
    <w:rsid w:val="00385A60"/>
    <w:rsid w:val="00385DD3"/>
    <w:rsid w:val="003861DF"/>
    <w:rsid w:val="00386540"/>
    <w:rsid w:val="00387450"/>
    <w:rsid w:val="003877D2"/>
    <w:rsid w:val="003902CB"/>
    <w:rsid w:val="00390AFA"/>
    <w:rsid w:val="00390F7B"/>
    <w:rsid w:val="00391238"/>
    <w:rsid w:val="00391309"/>
    <w:rsid w:val="00391A31"/>
    <w:rsid w:val="00391A44"/>
    <w:rsid w:val="00391EE9"/>
    <w:rsid w:val="00393DE5"/>
    <w:rsid w:val="00393E83"/>
    <w:rsid w:val="00393FD2"/>
    <w:rsid w:val="003944CE"/>
    <w:rsid w:val="00395F90"/>
    <w:rsid w:val="003965A2"/>
    <w:rsid w:val="00396952"/>
    <w:rsid w:val="00396AE6"/>
    <w:rsid w:val="00397D87"/>
    <w:rsid w:val="00397EBF"/>
    <w:rsid w:val="003A01C5"/>
    <w:rsid w:val="003A0B40"/>
    <w:rsid w:val="003A1B30"/>
    <w:rsid w:val="003A1D26"/>
    <w:rsid w:val="003A1DAA"/>
    <w:rsid w:val="003A2523"/>
    <w:rsid w:val="003A2BF1"/>
    <w:rsid w:val="003A31D3"/>
    <w:rsid w:val="003A3686"/>
    <w:rsid w:val="003A3EA8"/>
    <w:rsid w:val="003A47FE"/>
    <w:rsid w:val="003A6803"/>
    <w:rsid w:val="003A720D"/>
    <w:rsid w:val="003A7353"/>
    <w:rsid w:val="003B191C"/>
    <w:rsid w:val="003B22AF"/>
    <w:rsid w:val="003B2361"/>
    <w:rsid w:val="003B31CE"/>
    <w:rsid w:val="003B44AD"/>
    <w:rsid w:val="003B4899"/>
    <w:rsid w:val="003B4AFF"/>
    <w:rsid w:val="003B6D8A"/>
    <w:rsid w:val="003B7491"/>
    <w:rsid w:val="003B7BF1"/>
    <w:rsid w:val="003C1948"/>
    <w:rsid w:val="003C1E10"/>
    <w:rsid w:val="003C2532"/>
    <w:rsid w:val="003C63D4"/>
    <w:rsid w:val="003C65A5"/>
    <w:rsid w:val="003C6750"/>
    <w:rsid w:val="003C6C4E"/>
    <w:rsid w:val="003C7848"/>
    <w:rsid w:val="003C7C4C"/>
    <w:rsid w:val="003D05F2"/>
    <w:rsid w:val="003D0941"/>
    <w:rsid w:val="003D1085"/>
    <w:rsid w:val="003D1298"/>
    <w:rsid w:val="003D1A46"/>
    <w:rsid w:val="003D1C84"/>
    <w:rsid w:val="003D290F"/>
    <w:rsid w:val="003D2A10"/>
    <w:rsid w:val="003D2A37"/>
    <w:rsid w:val="003D2CDF"/>
    <w:rsid w:val="003D30FA"/>
    <w:rsid w:val="003D332F"/>
    <w:rsid w:val="003D3E9D"/>
    <w:rsid w:val="003D3EB0"/>
    <w:rsid w:val="003D4613"/>
    <w:rsid w:val="003D564B"/>
    <w:rsid w:val="003D5F7C"/>
    <w:rsid w:val="003D6AD1"/>
    <w:rsid w:val="003D76DE"/>
    <w:rsid w:val="003D7923"/>
    <w:rsid w:val="003D7A5B"/>
    <w:rsid w:val="003E07A0"/>
    <w:rsid w:val="003E1058"/>
    <w:rsid w:val="003E2CA1"/>
    <w:rsid w:val="003E3013"/>
    <w:rsid w:val="003E3E43"/>
    <w:rsid w:val="003E44C2"/>
    <w:rsid w:val="003E4908"/>
    <w:rsid w:val="003E4A25"/>
    <w:rsid w:val="003E6084"/>
    <w:rsid w:val="003E7A01"/>
    <w:rsid w:val="003E7A7F"/>
    <w:rsid w:val="003E7A95"/>
    <w:rsid w:val="003E7AFD"/>
    <w:rsid w:val="003E7F06"/>
    <w:rsid w:val="003F14C9"/>
    <w:rsid w:val="003F1F1A"/>
    <w:rsid w:val="003F2E20"/>
    <w:rsid w:val="003F3935"/>
    <w:rsid w:val="003F3C42"/>
    <w:rsid w:val="003F4711"/>
    <w:rsid w:val="003F52C5"/>
    <w:rsid w:val="003F54F4"/>
    <w:rsid w:val="003F5982"/>
    <w:rsid w:val="003F5B09"/>
    <w:rsid w:val="003F62B6"/>
    <w:rsid w:val="003F7046"/>
    <w:rsid w:val="003F7A98"/>
    <w:rsid w:val="004008C3"/>
    <w:rsid w:val="0040097A"/>
    <w:rsid w:val="00400AD3"/>
    <w:rsid w:val="00401B9A"/>
    <w:rsid w:val="00402075"/>
    <w:rsid w:val="004038EA"/>
    <w:rsid w:val="00403AF5"/>
    <w:rsid w:val="00403EA3"/>
    <w:rsid w:val="00404B2B"/>
    <w:rsid w:val="00405978"/>
    <w:rsid w:val="0040663B"/>
    <w:rsid w:val="00410562"/>
    <w:rsid w:val="004119F6"/>
    <w:rsid w:val="00411F8E"/>
    <w:rsid w:val="004122F0"/>
    <w:rsid w:val="00412411"/>
    <w:rsid w:val="00414E64"/>
    <w:rsid w:val="0041505B"/>
    <w:rsid w:val="00415B2B"/>
    <w:rsid w:val="00415F59"/>
    <w:rsid w:val="004166E3"/>
    <w:rsid w:val="00416ACF"/>
    <w:rsid w:val="00416BDE"/>
    <w:rsid w:val="004172CD"/>
    <w:rsid w:val="0041744A"/>
    <w:rsid w:val="004200C7"/>
    <w:rsid w:val="004208F7"/>
    <w:rsid w:val="00420BDC"/>
    <w:rsid w:val="00421755"/>
    <w:rsid w:val="00423307"/>
    <w:rsid w:val="004235A0"/>
    <w:rsid w:val="00424029"/>
    <w:rsid w:val="00425801"/>
    <w:rsid w:val="0042589F"/>
    <w:rsid w:val="00426AD1"/>
    <w:rsid w:val="004275F0"/>
    <w:rsid w:val="00427AB3"/>
    <w:rsid w:val="00430A55"/>
    <w:rsid w:val="0043192B"/>
    <w:rsid w:val="0043193E"/>
    <w:rsid w:val="0043253E"/>
    <w:rsid w:val="00432D99"/>
    <w:rsid w:val="00432FCE"/>
    <w:rsid w:val="004337FF"/>
    <w:rsid w:val="00435BF7"/>
    <w:rsid w:val="00435FD3"/>
    <w:rsid w:val="00436435"/>
    <w:rsid w:val="00436FB3"/>
    <w:rsid w:val="004377A3"/>
    <w:rsid w:val="00440BBF"/>
    <w:rsid w:val="0044143A"/>
    <w:rsid w:val="004431E7"/>
    <w:rsid w:val="004451A1"/>
    <w:rsid w:val="00445F4E"/>
    <w:rsid w:val="00446B37"/>
    <w:rsid w:val="00446C41"/>
    <w:rsid w:val="0045069C"/>
    <w:rsid w:val="00450FDF"/>
    <w:rsid w:val="0045133C"/>
    <w:rsid w:val="004514B5"/>
    <w:rsid w:val="00451945"/>
    <w:rsid w:val="00451D9D"/>
    <w:rsid w:val="004522EF"/>
    <w:rsid w:val="004530B9"/>
    <w:rsid w:val="00453BD6"/>
    <w:rsid w:val="00455FC3"/>
    <w:rsid w:val="00456065"/>
    <w:rsid w:val="004567DA"/>
    <w:rsid w:val="004569B5"/>
    <w:rsid w:val="00457168"/>
    <w:rsid w:val="00457403"/>
    <w:rsid w:val="0045796F"/>
    <w:rsid w:val="00461B7D"/>
    <w:rsid w:val="00461B95"/>
    <w:rsid w:val="00461E52"/>
    <w:rsid w:val="0046252E"/>
    <w:rsid w:val="00462733"/>
    <w:rsid w:val="00462B13"/>
    <w:rsid w:val="004632A7"/>
    <w:rsid w:val="00463337"/>
    <w:rsid w:val="00463B41"/>
    <w:rsid w:val="004670EA"/>
    <w:rsid w:val="00467E96"/>
    <w:rsid w:val="004724EB"/>
    <w:rsid w:val="00472684"/>
    <w:rsid w:val="00472765"/>
    <w:rsid w:val="004747BA"/>
    <w:rsid w:val="00477274"/>
    <w:rsid w:val="004772ED"/>
    <w:rsid w:val="004777A1"/>
    <w:rsid w:val="00480305"/>
    <w:rsid w:val="00481265"/>
    <w:rsid w:val="00481333"/>
    <w:rsid w:val="00482225"/>
    <w:rsid w:val="0048357C"/>
    <w:rsid w:val="00483DC4"/>
    <w:rsid w:val="00484242"/>
    <w:rsid w:val="0048465B"/>
    <w:rsid w:val="00484B2D"/>
    <w:rsid w:val="0048512E"/>
    <w:rsid w:val="0048560A"/>
    <w:rsid w:val="004871A1"/>
    <w:rsid w:val="004875BB"/>
    <w:rsid w:val="00487EF0"/>
    <w:rsid w:val="00490D63"/>
    <w:rsid w:val="0049210D"/>
    <w:rsid w:val="00492341"/>
    <w:rsid w:val="00492FED"/>
    <w:rsid w:val="0049365F"/>
    <w:rsid w:val="004937C6"/>
    <w:rsid w:val="0049398D"/>
    <w:rsid w:val="004940E7"/>
    <w:rsid w:val="0049414C"/>
    <w:rsid w:val="004959E4"/>
    <w:rsid w:val="00495CCC"/>
    <w:rsid w:val="00495E20"/>
    <w:rsid w:val="00496A2B"/>
    <w:rsid w:val="004A0867"/>
    <w:rsid w:val="004A1215"/>
    <w:rsid w:val="004A16C5"/>
    <w:rsid w:val="004A1EF3"/>
    <w:rsid w:val="004A28A6"/>
    <w:rsid w:val="004A2FB6"/>
    <w:rsid w:val="004A3BD1"/>
    <w:rsid w:val="004A40FB"/>
    <w:rsid w:val="004A4920"/>
    <w:rsid w:val="004A4D26"/>
    <w:rsid w:val="004A4DBC"/>
    <w:rsid w:val="004A595E"/>
    <w:rsid w:val="004A6702"/>
    <w:rsid w:val="004A7BAD"/>
    <w:rsid w:val="004B0C06"/>
    <w:rsid w:val="004B11F4"/>
    <w:rsid w:val="004B2F5F"/>
    <w:rsid w:val="004B54AF"/>
    <w:rsid w:val="004B58EB"/>
    <w:rsid w:val="004B6DE8"/>
    <w:rsid w:val="004C0076"/>
    <w:rsid w:val="004C07F2"/>
    <w:rsid w:val="004C15DC"/>
    <w:rsid w:val="004C3D8B"/>
    <w:rsid w:val="004C3DD6"/>
    <w:rsid w:val="004C503F"/>
    <w:rsid w:val="004C5EE5"/>
    <w:rsid w:val="004C702D"/>
    <w:rsid w:val="004D00DF"/>
    <w:rsid w:val="004D03B1"/>
    <w:rsid w:val="004D130F"/>
    <w:rsid w:val="004D1C27"/>
    <w:rsid w:val="004D1EA7"/>
    <w:rsid w:val="004D2B8A"/>
    <w:rsid w:val="004D36F6"/>
    <w:rsid w:val="004D3761"/>
    <w:rsid w:val="004D52BA"/>
    <w:rsid w:val="004D563A"/>
    <w:rsid w:val="004D5C19"/>
    <w:rsid w:val="004D72A5"/>
    <w:rsid w:val="004E078E"/>
    <w:rsid w:val="004E3B60"/>
    <w:rsid w:val="004E44EA"/>
    <w:rsid w:val="004E4D83"/>
    <w:rsid w:val="004E516D"/>
    <w:rsid w:val="004E51A2"/>
    <w:rsid w:val="004E5CEB"/>
    <w:rsid w:val="004E6550"/>
    <w:rsid w:val="004E6555"/>
    <w:rsid w:val="004E6C9B"/>
    <w:rsid w:val="004E7064"/>
    <w:rsid w:val="004E7C66"/>
    <w:rsid w:val="004F0406"/>
    <w:rsid w:val="004F050E"/>
    <w:rsid w:val="004F064D"/>
    <w:rsid w:val="004F254B"/>
    <w:rsid w:val="004F3086"/>
    <w:rsid w:val="004F386B"/>
    <w:rsid w:val="004F38A7"/>
    <w:rsid w:val="004F476B"/>
    <w:rsid w:val="004F6660"/>
    <w:rsid w:val="004F759C"/>
    <w:rsid w:val="005009D9"/>
    <w:rsid w:val="00503B9E"/>
    <w:rsid w:val="005047F0"/>
    <w:rsid w:val="005048DC"/>
    <w:rsid w:val="00504CE7"/>
    <w:rsid w:val="0050627A"/>
    <w:rsid w:val="005063CA"/>
    <w:rsid w:val="00506C76"/>
    <w:rsid w:val="00507849"/>
    <w:rsid w:val="00510FC6"/>
    <w:rsid w:val="00511ECA"/>
    <w:rsid w:val="0051284F"/>
    <w:rsid w:val="0051286F"/>
    <w:rsid w:val="00513381"/>
    <w:rsid w:val="00513600"/>
    <w:rsid w:val="005136F4"/>
    <w:rsid w:val="005144DC"/>
    <w:rsid w:val="0051537E"/>
    <w:rsid w:val="00516236"/>
    <w:rsid w:val="00516B82"/>
    <w:rsid w:val="00517050"/>
    <w:rsid w:val="00517456"/>
    <w:rsid w:val="0051751F"/>
    <w:rsid w:val="00517A15"/>
    <w:rsid w:val="005204FD"/>
    <w:rsid w:val="00520700"/>
    <w:rsid w:val="00521522"/>
    <w:rsid w:val="00522BB8"/>
    <w:rsid w:val="0052464F"/>
    <w:rsid w:val="0052537B"/>
    <w:rsid w:val="005257C3"/>
    <w:rsid w:val="005262D0"/>
    <w:rsid w:val="00526B9F"/>
    <w:rsid w:val="005276AB"/>
    <w:rsid w:val="00531041"/>
    <w:rsid w:val="005322EE"/>
    <w:rsid w:val="005325E3"/>
    <w:rsid w:val="005334C8"/>
    <w:rsid w:val="00534DD5"/>
    <w:rsid w:val="00534FED"/>
    <w:rsid w:val="00535885"/>
    <w:rsid w:val="00537A43"/>
    <w:rsid w:val="00537E41"/>
    <w:rsid w:val="00540230"/>
    <w:rsid w:val="0054135D"/>
    <w:rsid w:val="0054240C"/>
    <w:rsid w:val="0054546C"/>
    <w:rsid w:val="00546A9F"/>
    <w:rsid w:val="005473DE"/>
    <w:rsid w:val="00547709"/>
    <w:rsid w:val="00551A0D"/>
    <w:rsid w:val="00552684"/>
    <w:rsid w:val="00552A38"/>
    <w:rsid w:val="00552B07"/>
    <w:rsid w:val="00552C61"/>
    <w:rsid w:val="00553939"/>
    <w:rsid w:val="005541F0"/>
    <w:rsid w:val="005547D1"/>
    <w:rsid w:val="00555575"/>
    <w:rsid w:val="00556279"/>
    <w:rsid w:val="00556CAD"/>
    <w:rsid w:val="00556F8C"/>
    <w:rsid w:val="005572C3"/>
    <w:rsid w:val="005604CE"/>
    <w:rsid w:val="00560569"/>
    <w:rsid w:val="005605C2"/>
    <w:rsid w:val="00560EEF"/>
    <w:rsid w:val="0056169E"/>
    <w:rsid w:val="00561975"/>
    <w:rsid w:val="00562640"/>
    <w:rsid w:val="005626FA"/>
    <w:rsid w:val="005629D2"/>
    <w:rsid w:val="00562DB2"/>
    <w:rsid w:val="005637BE"/>
    <w:rsid w:val="005650AF"/>
    <w:rsid w:val="00566AB1"/>
    <w:rsid w:val="005727E0"/>
    <w:rsid w:val="0057368B"/>
    <w:rsid w:val="00574698"/>
    <w:rsid w:val="00575BE1"/>
    <w:rsid w:val="005761DB"/>
    <w:rsid w:val="0057661F"/>
    <w:rsid w:val="00577259"/>
    <w:rsid w:val="005777B6"/>
    <w:rsid w:val="005826EF"/>
    <w:rsid w:val="0058291F"/>
    <w:rsid w:val="0058299D"/>
    <w:rsid w:val="00582D07"/>
    <w:rsid w:val="005844C0"/>
    <w:rsid w:val="00584C73"/>
    <w:rsid w:val="005857A7"/>
    <w:rsid w:val="005870FA"/>
    <w:rsid w:val="00587E56"/>
    <w:rsid w:val="005902C1"/>
    <w:rsid w:val="00590964"/>
    <w:rsid w:val="00592EDA"/>
    <w:rsid w:val="00593322"/>
    <w:rsid w:val="005939A7"/>
    <w:rsid w:val="00593E0E"/>
    <w:rsid w:val="005944A3"/>
    <w:rsid w:val="0059511D"/>
    <w:rsid w:val="00595F3C"/>
    <w:rsid w:val="00596A17"/>
    <w:rsid w:val="00596CB0"/>
    <w:rsid w:val="005970DB"/>
    <w:rsid w:val="005A028F"/>
    <w:rsid w:val="005A11BD"/>
    <w:rsid w:val="005A11C3"/>
    <w:rsid w:val="005A1830"/>
    <w:rsid w:val="005A2B7A"/>
    <w:rsid w:val="005A2E3E"/>
    <w:rsid w:val="005A3079"/>
    <w:rsid w:val="005A30AB"/>
    <w:rsid w:val="005A4697"/>
    <w:rsid w:val="005A4B86"/>
    <w:rsid w:val="005A4DC1"/>
    <w:rsid w:val="005A55E3"/>
    <w:rsid w:val="005A5ED5"/>
    <w:rsid w:val="005A61B1"/>
    <w:rsid w:val="005A6895"/>
    <w:rsid w:val="005A6E7B"/>
    <w:rsid w:val="005A75C5"/>
    <w:rsid w:val="005A7D52"/>
    <w:rsid w:val="005B096B"/>
    <w:rsid w:val="005B0CBA"/>
    <w:rsid w:val="005B0E4B"/>
    <w:rsid w:val="005B1062"/>
    <w:rsid w:val="005B1761"/>
    <w:rsid w:val="005B17A4"/>
    <w:rsid w:val="005B3283"/>
    <w:rsid w:val="005B37C0"/>
    <w:rsid w:val="005B4693"/>
    <w:rsid w:val="005B4ED3"/>
    <w:rsid w:val="005B6CA8"/>
    <w:rsid w:val="005B7523"/>
    <w:rsid w:val="005C043E"/>
    <w:rsid w:val="005C05FC"/>
    <w:rsid w:val="005C0787"/>
    <w:rsid w:val="005C0DCC"/>
    <w:rsid w:val="005C1EB5"/>
    <w:rsid w:val="005C31B9"/>
    <w:rsid w:val="005C533C"/>
    <w:rsid w:val="005C649C"/>
    <w:rsid w:val="005C6740"/>
    <w:rsid w:val="005C721E"/>
    <w:rsid w:val="005C7730"/>
    <w:rsid w:val="005D06EF"/>
    <w:rsid w:val="005D2889"/>
    <w:rsid w:val="005D2B40"/>
    <w:rsid w:val="005D2E3F"/>
    <w:rsid w:val="005D35F6"/>
    <w:rsid w:val="005D5BC5"/>
    <w:rsid w:val="005D60E7"/>
    <w:rsid w:val="005D64E2"/>
    <w:rsid w:val="005D710A"/>
    <w:rsid w:val="005D7FCF"/>
    <w:rsid w:val="005E1A05"/>
    <w:rsid w:val="005E22F0"/>
    <w:rsid w:val="005E251B"/>
    <w:rsid w:val="005E2690"/>
    <w:rsid w:val="005E3F7F"/>
    <w:rsid w:val="005E4A0E"/>
    <w:rsid w:val="005E4C56"/>
    <w:rsid w:val="005E539D"/>
    <w:rsid w:val="005E5774"/>
    <w:rsid w:val="005E5923"/>
    <w:rsid w:val="005E5AED"/>
    <w:rsid w:val="005E5E9D"/>
    <w:rsid w:val="005E653C"/>
    <w:rsid w:val="005E6677"/>
    <w:rsid w:val="005E6F55"/>
    <w:rsid w:val="005F04FA"/>
    <w:rsid w:val="005F2E9C"/>
    <w:rsid w:val="005F39B6"/>
    <w:rsid w:val="005F4E53"/>
    <w:rsid w:val="005F59C9"/>
    <w:rsid w:val="005F640C"/>
    <w:rsid w:val="005F6809"/>
    <w:rsid w:val="005F71ED"/>
    <w:rsid w:val="005F7910"/>
    <w:rsid w:val="006000A9"/>
    <w:rsid w:val="006003C2"/>
    <w:rsid w:val="0060089F"/>
    <w:rsid w:val="006009A7"/>
    <w:rsid w:val="00601079"/>
    <w:rsid w:val="006020FC"/>
    <w:rsid w:val="00602176"/>
    <w:rsid w:val="00602190"/>
    <w:rsid w:val="006024BE"/>
    <w:rsid w:val="006027C7"/>
    <w:rsid w:val="00603087"/>
    <w:rsid w:val="00604E9E"/>
    <w:rsid w:val="00605939"/>
    <w:rsid w:val="00606198"/>
    <w:rsid w:val="00606380"/>
    <w:rsid w:val="00606AA7"/>
    <w:rsid w:val="00606AEC"/>
    <w:rsid w:val="00607B2D"/>
    <w:rsid w:val="006105E0"/>
    <w:rsid w:val="00610C16"/>
    <w:rsid w:val="0061144C"/>
    <w:rsid w:val="00611BDB"/>
    <w:rsid w:val="0061382F"/>
    <w:rsid w:val="006140B3"/>
    <w:rsid w:val="00614DB1"/>
    <w:rsid w:val="00614E0E"/>
    <w:rsid w:val="00615330"/>
    <w:rsid w:val="00615629"/>
    <w:rsid w:val="00615EFF"/>
    <w:rsid w:val="006202B5"/>
    <w:rsid w:val="0062095C"/>
    <w:rsid w:val="0062112D"/>
    <w:rsid w:val="006220D0"/>
    <w:rsid w:val="00624566"/>
    <w:rsid w:val="0062647E"/>
    <w:rsid w:val="006264AB"/>
    <w:rsid w:val="006265F5"/>
    <w:rsid w:val="006269DE"/>
    <w:rsid w:val="00626ED0"/>
    <w:rsid w:val="006278F2"/>
    <w:rsid w:val="00630983"/>
    <w:rsid w:val="0063107E"/>
    <w:rsid w:val="006317A7"/>
    <w:rsid w:val="00632924"/>
    <w:rsid w:val="00632A3F"/>
    <w:rsid w:val="00632CAF"/>
    <w:rsid w:val="0063314F"/>
    <w:rsid w:val="006345E5"/>
    <w:rsid w:val="00636B40"/>
    <w:rsid w:val="0063769E"/>
    <w:rsid w:val="006378C4"/>
    <w:rsid w:val="00637941"/>
    <w:rsid w:val="00640607"/>
    <w:rsid w:val="00640A05"/>
    <w:rsid w:val="00640C1A"/>
    <w:rsid w:val="00640CD7"/>
    <w:rsid w:val="00642C5B"/>
    <w:rsid w:val="00642E61"/>
    <w:rsid w:val="00645199"/>
    <w:rsid w:val="006461E5"/>
    <w:rsid w:val="006503B6"/>
    <w:rsid w:val="00650686"/>
    <w:rsid w:val="00650A25"/>
    <w:rsid w:val="00650E6E"/>
    <w:rsid w:val="0065165F"/>
    <w:rsid w:val="0065244F"/>
    <w:rsid w:val="00652609"/>
    <w:rsid w:val="006536FE"/>
    <w:rsid w:val="00653B7B"/>
    <w:rsid w:val="00654261"/>
    <w:rsid w:val="00654662"/>
    <w:rsid w:val="00654E2E"/>
    <w:rsid w:val="00656ACC"/>
    <w:rsid w:val="00657169"/>
    <w:rsid w:val="006603ED"/>
    <w:rsid w:val="0066112B"/>
    <w:rsid w:val="0066129E"/>
    <w:rsid w:val="006626E2"/>
    <w:rsid w:val="00662774"/>
    <w:rsid w:val="006659C0"/>
    <w:rsid w:val="00665EAA"/>
    <w:rsid w:val="00666468"/>
    <w:rsid w:val="0066760D"/>
    <w:rsid w:val="00667A8B"/>
    <w:rsid w:val="00667EB8"/>
    <w:rsid w:val="00671C5B"/>
    <w:rsid w:val="00671D9F"/>
    <w:rsid w:val="00672B6D"/>
    <w:rsid w:val="006737FE"/>
    <w:rsid w:val="006739E4"/>
    <w:rsid w:val="00673A9B"/>
    <w:rsid w:val="006745E3"/>
    <w:rsid w:val="00674902"/>
    <w:rsid w:val="00674D17"/>
    <w:rsid w:val="0067539D"/>
    <w:rsid w:val="0067572C"/>
    <w:rsid w:val="006761E7"/>
    <w:rsid w:val="00676B08"/>
    <w:rsid w:val="00676EDA"/>
    <w:rsid w:val="00680687"/>
    <w:rsid w:val="006821F6"/>
    <w:rsid w:val="00682813"/>
    <w:rsid w:val="00682E8F"/>
    <w:rsid w:val="00683815"/>
    <w:rsid w:val="00685A53"/>
    <w:rsid w:val="006866B4"/>
    <w:rsid w:val="00687153"/>
    <w:rsid w:val="0069212E"/>
    <w:rsid w:val="006933F8"/>
    <w:rsid w:val="00693F52"/>
    <w:rsid w:val="006941C0"/>
    <w:rsid w:val="006974CA"/>
    <w:rsid w:val="006A09AC"/>
    <w:rsid w:val="006A0AFA"/>
    <w:rsid w:val="006A16F7"/>
    <w:rsid w:val="006A19C9"/>
    <w:rsid w:val="006A1D2A"/>
    <w:rsid w:val="006A27D2"/>
    <w:rsid w:val="006A317F"/>
    <w:rsid w:val="006A3D41"/>
    <w:rsid w:val="006A50F6"/>
    <w:rsid w:val="006A5633"/>
    <w:rsid w:val="006A6EAF"/>
    <w:rsid w:val="006A7312"/>
    <w:rsid w:val="006B0026"/>
    <w:rsid w:val="006B01F0"/>
    <w:rsid w:val="006B261A"/>
    <w:rsid w:val="006B2F3C"/>
    <w:rsid w:val="006B3815"/>
    <w:rsid w:val="006B392D"/>
    <w:rsid w:val="006B4F71"/>
    <w:rsid w:val="006B6CD2"/>
    <w:rsid w:val="006B6D39"/>
    <w:rsid w:val="006B7E63"/>
    <w:rsid w:val="006C0D03"/>
    <w:rsid w:val="006C0D2E"/>
    <w:rsid w:val="006C1735"/>
    <w:rsid w:val="006C27C9"/>
    <w:rsid w:val="006C27E6"/>
    <w:rsid w:val="006C28D5"/>
    <w:rsid w:val="006C3CCC"/>
    <w:rsid w:val="006C3F7B"/>
    <w:rsid w:val="006C4B54"/>
    <w:rsid w:val="006C4E8F"/>
    <w:rsid w:val="006C67CF"/>
    <w:rsid w:val="006C6DF4"/>
    <w:rsid w:val="006C6EE9"/>
    <w:rsid w:val="006C79D9"/>
    <w:rsid w:val="006D0A81"/>
    <w:rsid w:val="006D0E7C"/>
    <w:rsid w:val="006D2805"/>
    <w:rsid w:val="006D2EB4"/>
    <w:rsid w:val="006D32B5"/>
    <w:rsid w:val="006D3423"/>
    <w:rsid w:val="006D3991"/>
    <w:rsid w:val="006D3E0E"/>
    <w:rsid w:val="006D4EA6"/>
    <w:rsid w:val="006D4F7B"/>
    <w:rsid w:val="006D5B29"/>
    <w:rsid w:val="006D64D4"/>
    <w:rsid w:val="006D6A54"/>
    <w:rsid w:val="006D7050"/>
    <w:rsid w:val="006D79C2"/>
    <w:rsid w:val="006E18E5"/>
    <w:rsid w:val="006E1D1B"/>
    <w:rsid w:val="006E1D32"/>
    <w:rsid w:val="006E329C"/>
    <w:rsid w:val="006E38E6"/>
    <w:rsid w:val="006E5C9A"/>
    <w:rsid w:val="006E5E8D"/>
    <w:rsid w:val="006E66BD"/>
    <w:rsid w:val="006E6752"/>
    <w:rsid w:val="006E749B"/>
    <w:rsid w:val="006F0EF4"/>
    <w:rsid w:val="006F1245"/>
    <w:rsid w:val="006F1AF1"/>
    <w:rsid w:val="006F29F2"/>
    <w:rsid w:val="006F4A46"/>
    <w:rsid w:val="006F4BFE"/>
    <w:rsid w:val="006F5458"/>
    <w:rsid w:val="006F5917"/>
    <w:rsid w:val="006F60FA"/>
    <w:rsid w:val="006F6192"/>
    <w:rsid w:val="006F6431"/>
    <w:rsid w:val="006F666B"/>
    <w:rsid w:val="006F6AFE"/>
    <w:rsid w:val="00700592"/>
    <w:rsid w:val="007008E1"/>
    <w:rsid w:val="0070093A"/>
    <w:rsid w:val="00700BBC"/>
    <w:rsid w:val="00701471"/>
    <w:rsid w:val="0070197D"/>
    <w:rsid w:val="00701F14"/>
    <w:rsid w:val="00702E3E"/>
    <w:rsid w:val="00703FC5"/>
    <w:rsid w:val="0070438A"/>
    <w:rsid w:val="00704700"/>
    <w:rsid w:val="00705301"/>
    <w:rsid w:val="00707D8F"/>
    <w:rsid w:val="0071014D"/>
    <w:rsid w:val="00710923"/>
    <w:rsid w:val="00713A35"/>
    <w:rsid w:val="0071450D"/>
    <w:rsid w:val="007149B6"/>
    <w:rsid w:val="00714C8E"/>
    <w:rsid w:val="00722918"/>
    <w:rsid w:val="007234A8"/>
    <w:rsid w:val="00723C57"/>
    <w:rsid w:val="00724589"/>
    <w:rsid w:val="0072479D"/>
    <w:rsid w:val="00724993"/>
    <w:rsid w:val="00725108"/>
    <w:rsid w:val="007263E8"/>
    <w:rsid w:val="0072645E"/>
    <w:rsid w:val="007271D8"/>
    <w:rsid w:val="00727F48"/>
    <w:rsid w:val="00730187"/>
    <w:rsid w:val="007310DF"/>
    <w:rsid w:val="0073199D"/>
    <w:rsid w:val="00731BFB"/>
    <w:rsid w:val="00734DB9"/>
    <w:rsid w:val="007353B7"/>
    <w:rsid w:val="00735B78"/>
    <w:rsid w:val="00735D16"/>
    <w:rsid w:val="00737E8D"/>
    <w:rsid w:val="00741063"/>
    <w:rsid w:val="00741879"/>
    <w:rsid w:val="0074227D"/>
    <w:rsid w:val="007424A4"/>
    <w:rsid w:val="00742E09"/>
    <w:rsid w:val="00743F9D"/>
    <w:rsid w:val="007455E0"/>
    <w:rsid w:val="00745E77"/>
    <w:rsid w:val="00746295"/>
    <w:rsid w:val="00746608"/>
    <w:rsid w:val="00746687"/>
    <w:rsid w:val="007469C7"/>
    <w:rsid w:val="00747AB9"/>
    <w:rsid w:val="00750114"/>
    <w:rsid w:val="00750A7B"/>
    <w:rsid w:val="007520A0"/>
    <w:rsid w:val="00752701"/>
    <w:rsid w:val="00754E4C"/>
    <w:rsid w:val="00755B10"/>
    <w:rsid w:val="00756516"/>
    <w:rsid w:val="00756C00"/>
    <w:rsid w:val="00756D01"/>
    <w:rsid w:val="00760360"/>
    <w:rsid w:val="00760A58"/>
    <w:rsid w:val="00760B36"/>
    <w:rsid w:val="00760C91"/>
    <w:rsid w:val="00760C97"/>
    <w:rsid w:val="007620EE"/>
    <w:rsid w:val="00762444"/>
    <w:rsid w:val="00762CB9"/>
    <w:rsid w:val="007642CA"/>
    <w:rsid w:val="00764D79"/>
    <w:rsid w:val="0076531A"/>
    <w:rsid w:val="00765915"/>
    <w:rsid w:val="00765BC4"/>
    <w:rsid w:val="007668F9"/>
    <w:rsid w:val="0077029D"/>
    <w:rsid w:val="007704EA"/>
    <w:rsid w:val="00770B73"/>
    <w:rsid w:val="00770FC9"/>
    <w:rsid w:val="0077133F"/>
    <w:rsid w:val="00771534"/>
    <w:rsid w:val="00772160"/>
    <w:rsid w:val="00772284"/>
    <w:rsid w:val="00772480"/>
    <w:rsid w:val="00772CAF"/>
    <w:rsid w:val="0077381D"/>
    <w:rsid w:val="0077474C"/>
    <w:rsid w:val="007749E2"/>
    <w:rsid w:val="00775EA3"/>
    <w:rsid w:val="007763E8"/>
    <w:rsid w:val="00776AD1"/>
    <w:rsid w:val="00777464"/>
    <w:rsid w:val="007775C0"/>
    <w:rsid w:val="00781854"/>
    <w:rsid w:val="00781D10"/>
    <w:rsid w:val="0078519A"/>
    <w:rsid w:val="00785DAD"/>
    <w:rsid w:val="007863A5"/>
    <w:rsid w:val="00787742"/>
    <w:rsid w:val="00787AD4"/>
    <w:rsid w:val="007907C7"/>
    <w:rsid w:val="00790B02"/>
    <w:rsid w:val="00790C62"/>
    <w:rsid w:val="007913A5"/>
    <w:rsid w:val="007923C2"/>
    <w:rsid w:val="00792841"/>
    <w:rsid w:val="00792CE8"/>
    <w:rsid w:val="0079387C"/>
    <w:rsid w:val="00796446"/>
    <w:rsid w:val="007A0220"/>
    <w:rsid w:val="007A0DAD"/>
    <w:rsid w:val="007A11C4"/>
    <w:rsid w:val="007A1317"/>
    <w:rsid w:val="007A147B"/>
    <w:rsid w:val="007A151A"/>
    <w:rsid w:val="007A25D8"/>
    <w:rsid w:val="007A4670"/>
    <w:rsid w:val="007A594A"/>
    <w:rsid w:val="007A6277"/>
    <w:rsid w:val="007A71D8"/>
    <w:rsid w:val="007B1F53"/>
    <w:rsid w:val="007B1F98"/>
    <w:rsid w:val="007B2B69"/>
    <w:rsid w:val="007B326A"/>
    <w:rsid w:val="007B4635"/>
    <w:rsid w:val="007B51E1"/>
    <w:rsid w:val="007B5B6B"/>
    <w:rsid w:val="007B61C1"/>
    <w:rsid w:val="007B6374"/>
    <w:rsid w:val="007B6FD1"/>
    <w:rsid w:val="007B7061"/>
    <w:rsid w:val="007B739C"/>
    <w:rsid w:val="007B744E"/>
    <w:rsid w:val="007C0B30"/>
    <w:rsid w:val="007C169A"/>
    <w:rsid w:val="007C183E"/>
    <w:rsid w:val="007C265E"/>
    <w:rsid w:val="007C26B0"/>
    <w:rsid w:val="007C33F0"/>
    <w:rsid w:val="007C3530"/>
    <w:rsid w:val="007C3960"/>
    <w:rsid w:val="007C5635"/>
    <w:rsid w:val="007C65B0"/>
    <w:rsid w:val="007C6D2F"/>
    <w:rsid w:val="007D1447"/>
    <w:rsid w:val="007D1D64"/>
    <w:rsid w:val="007D1F53"/>
    <w:rsid w:val="007D23FC"/>
    <w:rsid w:val="007D2452"/>
    <w:rsid w:val="007D3653"/>
    <w:rsid w:val="007D432F"/>
    <w:rsid w:val="007D5A2E"/>
    <w:rsid w:val="007E00C2"/>
    <w:rsid w:val="007E062F"/>
    <w:rsid w:val="007E07B7"/>
    <w:rsid w:val="007E1196"/>
    <w:rsid w:val="007E22AB"/>
    <w:rsid w:val="007E2ECF"/>
    <w:rsid w:val="007E41B8"/>
    <w:rsid w:val="007E4737"/>
    <w:rsid w:val="007E4784"/>
    <w:rsid w:val="007E4C35"/>
    <w:rsid w:val="007E593F"/>
    <w:rsid w:val="007E5CFE"/>
    <w:rsid w:val="007E6F2F"/>
    <w:rsid w:val="007F01C5"/>
    <w:rsid w:val="007F1349"/>
    <w:rsid w:val="007F1372"/>
    <w:rsid w:val="007F1E1B"/>
    <w:rsid w:val="007F250D"/>
    <w:rsid w:val="007F5AC8"/>
    <w:rsid w:val="007F5D23"/>
    <w:rsid w:val="007F6E20"/>
    <w:rsid w:val="007F714C"/>
    <w:rsid w:val="00800B02"/>
    <w:rsid w:val="008011EB"/>
    <w:rsid w:val="008013DF"/>
    <w:rsid w:val="00802E84"/>
    <w:rsid w:val="00803FAC"/>
    <w:rsid w:val="00804126"/>
    <w:rsid w:val="008047D9"/>
    <w:rsid w:val="00805B83"/>
    <w:rsid w:val="00806CC6"/>
    <w:rsid w:val="00811329"/>
    <w:rsid w:val="0081270F"/>
    <w:rsid w:val="00812A30"/>
    <w:rsid w:val="00812F63"/>
    <w:rsid w:val="008133AF"/>
    <w:rsid w:val="008134EA"/>
    <w:rsid w:val="008138F4"/>
    <w:rsid w:val="008141A3"/>
    <w:rsid w:val="00814477"/>
    <w:rsid w:val="00815416"/>
    <w:rsid w:val="008161FF"/>
    <w:rsid w:val="0081735B"/>
    <w:rsid w:val="008200BB"/>
    <w:rsid w:val="00820264"/>
    <w:rsid w:val="00820C45"/>
    <w:rsid w:val="00821394"/>
    <w:rsid w:val="008218BE"/>
    <w:rsid w:val="008218FB"/>
    <w:rsid w:val="0082231D"/>
    <w:rsid w:val="0082502C"/>
    <w:rsid w:val="0082580E"/>
    <w:rsid w:val="008265A8"/>
    <w:rsid w:val="00826A19"/>
    <w:rsid w:val="00827D0F"/>
    <w:rsid w:val="00827DEF"/>
    <w:rsid w:val="008304DE"/>
    <w:rsid w:val="0083263A"/>
    <w:rsid w:val="008344C8"/>
    <w:rsid w:val="00834572"/>
    <w:rsid w:val="00835714"/>
    <w:rsid w:val="00835D1B"/>
    <w:rsid w:val="008362FD"/>
    <w:rsid w:val="008371C7"/>
    <w:rsid w:val="00837B20"/>
    <w:rsid w:val="00837FB5"/>
    <w:rsid w:val="00840C52"/>
    <w:rsid w:val="00840E67"/>
    <w:rsid w:val="00841BC5"/>
    <w:rsid w:val="008420A9"/>
    <w:rsid w:val="008431B7"/>
    <w:rsid w:val="00845DAF"/>
    <w:rsid w:val="008461B0"/>
    <w:rsid w:val="0084672A"/>
    <w:rsid w:val="00846A00"/>
    <w:rsid w:val="00846E19"/>
    <w:rsid w:val="00847B95"/>
    <w:rsid w:val="008503F3"/>
    <w:rsid w:val="00850C22"/>
    <w:rsid w:val="008516FE"/>
    <w:rsid w:val="00851925"/>
    <w:rsid w:val="008523E7"/>
    <w:rsid w:val="00852CFE"/>
    <w:rsid w:val="00852EF5"/>
    <w:rsid w:val="008535F2"/>
    <w:rsid w:val="00853CCC"/>
    <w:rsid w:val="00855E14"/>
    <w:rsid w:val="008561EB"/>
    <w:rsid w:val="008565DB"/>
    <w:rsid w:val="00856DCC"/>
    <w:rsid w:val="00857E79"/>
    <w:rsid w:val="00857EB5"/>
    <w:rsid w:val="0086008C"/>
    <w:rsid w:val="0086066F"/>
    <w:rsid w:val="00860D0D"/>
    <w:rsid w:val="00860FAE"/>
    <w:rsid w:val="008619DE"/>
    <w:rsid w:val="00861CFA"/>
    <w:rsid w:val="00861E55"/>
    <w:rsid w:val="00862249"/>
    <w:rsid w:val="00865474"/>
    <w:rsid w:val="008703C5"/>
    <w:rsid w:val="008705B7"/>
    <w:rsid w:val="008705ED"/>
    <w:rsid w:val="0087191E"/>
    <w:rsid w:val="00871DE7"/>
    <w:rsid w:val="00872D87"/>
    <w:rsid w:val="0087320D"/>
    <w:rsid w:val="00873C07"/>
    <w:rsid w:val="00873DA9"/>
    <w:rsid w:val="00874475"/>
    <w:rsid w:val="00874704"/>
    <w:rsid w:val="0087474B"/>
    <w:rsid w:val="00875557"/>
    <w:rsid w:val="008758FB"/>
    <w:rsid w:val="00877D04"/>
    <w:rsid w:val="00880D9D"/>
    <w:rsid w:val="00880EC6"/>
    <w:rsid w:val="00882BE6"/>
    <w:rsid w:val="00883245"/>
    <w:rsid w:val="0088367B"/>
    <w:rsid w:val="00883D73"/>
    <w:rsid w:val="00883D8D"/>
    <w:rsid w:val="00885DAF"/>
    <w:rsid w:val="008862E7"/>
    <w:rsid w:val="008863BB"/>
    <w:rsid w:val="0088727A"/>
    <w:rsid w:val="00887661"/>
    <w:rsid w:val="008877AE"/>
    <w:rsid w:val="00887D32"/>
    <w:rsid w:val="00890A52"/>
    <w:rsid w:val="0089152E"/>
    <w:rsid w:val="00891954"/>
    <w:rsid w:val="0089208C"/>
    <w:rsid w:val="00893374"/>
    <w:rsid w:val="0089378D"/>
    <w:rsid w:val="008938D7"/>
    <w:rsid w:val="00894E3A"/>
    <w:rsid w:val="00895D5C"/>
    <w:rsid w:val="00896077"/>
    <w:rsid w:val="00896634"/>
    <w:rsid w:val="00896D64"/>
    <w:rsid w:val="008A0329"/>
    <w:rsid w:val="008A1A2A"/>
    <w:rsid w:val="008A3472"/>
    <w:rsid w:val="008A37F9"/>
    <w:rsid w:val="008A3D1A"/>
    <w:rsid w:val="008A448B"/>
    <w:rsid w:val="008A481A"/>
    <w:rsid w:val="008A51A3"/>
    <w:rsid w:val="008A5A4B"/>
    <w:rsid w:val="008A5E07"/>
    <w:rsid w:val="008A6351"/>
    <w:rsid w:val="008B159D"/>
    <w:rsid w:val="008B2BD8"/>
    <w:rsid w:val="008B3344"/>
    <w:rsid w:val="008B360D"/>
    <w:rsid w:val="008B398F"/>
    <w:rsid w:val="008B4C65"/>
    <w:rsid w:val="008B4C77"/>
    <w:rsid w:val="008B5009"/>
    <w:rsid w:val="008B553F"/>
    <w:rsid w:val="008B5DC7"/>
    <w:rsid w:val="008B5EAF"/>
    <w:rsid w:val="008B6B40"/>
    <w:rsid w:val="008B760A"/>
    <w:rsid w:val="008B77B7"/>
    <w:rsid w:val="008C047C"/>
    <w:rsid w:val="008C12A6"/>
    <w:rsid w:val="008C1932"/>
    <w:rsid w:val="008C33CD"/>
    <w:rsid w:val="008C3D39"/>
    <w:rsid w:val="008C4748"/>
    <w:rsid w:val="008C492D"/>
    <w:rsid w:val="008C5C45"/>
    <w:rsid w:val="008C70F6"/>
    <w:rsid w:val="008C7AFD"/>
    <w:rsid w:val="008C7DE9"/>
    <w:rsid w:val="008D236E"/>
    <w:rsid w:val="008D37AD"/>
    <w:rsid w:val="008D3C34"/>
    <w:rsid w:val="008D3D77"/>
    <w:rsid w:val="008D445F"/>
    <w:rsid w:val="008D4AD8"/>
    <w:rsid w:val="008D4E3F"/>
    <w:rsid w:val="008D54C4"/>
    <w:rsid w:val="008D5600"/>
    <w:rsid w:val="008D5C47"/>
    <w:rsid w:val="008D62F0"/>
    <w:rsid w:val="008D6E96"/>
    <w:rsid w:val="008D7876"/>
    <w:rsid w:val="008E0BEB"/>
    <w:rsid w:val="008E0DBB"/>
    <w:rsid w:val="008E19E7"/>
    <w:rsid w:val="008E1A6A"/>
    <w:rsid w:val="008E2CE0"/>
    <w:rsid w:val="008E36F2"/>
    <w:rsid w:val="008E38D6"/>
    <w:rsid w:val="008E41AA"/>
    <w:rsid w:val="008E4BBE"/>
    <w:rsid w:val="008E4CEC"/>
    <w:rsid w:val="008E5659"/>
    <w:rsid w:val="008E5D46"/>
    <w:rsid w:val="008E77D6"/>
    <w:rsid w:val="008E7A92"/>
    <w:rsid w:val="008F0821"/>
    <w:rsid w:val="008F0DC3"/>
    <w:rsid w:val="008F1521"/>
    <w:rsid w:val="008F1965"/>
    <w:rsid w:val="008F1BC5"/>
    <w:rsid w:val="008F1C6F"/>
    <w:rsid w:val="008F2D9C"/>
    <w:rsid w:val="008F3290"/>
    <w:rsid w:val="008F3AB4"/>
    <w:rsid w:val="008F3CAF"/>
    <w:rsid w:val="008F487A"/>
    <w:rsid w:val="008F5275"/>
    <w:rsid w:val="008F5FFA"/>
    <w:rsid w:val="008F6892"/>
    <w:rsid w:val="008F7826"/>
    <w:rsid w:val="008F7DA4"/>
    <w:rsid w:val="009001BF"/>
    <w:rsid w:val="0090023A"/>
    <w:rsid w:val="0090107B"/>
    <w:rsid w:val="00901994"/>
    <w:rsid w:val="00901F96"/>
    <w:rsid w:val="009029BB"/>
    <w:rsid w:val="00903431"/>
    <w:rsid w:val="0090531C"/>
    <w:rsid w:val="00905B80"/>
    <w:rsid w:val="009108B7"/>
    <w:rsid w:val="00911331"/>
    <w:rsid w:val="009115D3"/>
    <w:rsid w:val="00911A0C"/>
    <w:rsid w:val="00911EF7"/>
    <w:rsid w:val="0091392F"/>
    <w:rsid w:val="00915478"/>
    <w:rsid w:val="0091777E"/>
    <w:rsid w:val="0092081E"/>
    <w:rsid w:val="00920D74"/>
    <w:rsid w:val="00921591"/>
    <w:rsid w:val="00921872"/>
    <w:rsid w:val="00922782"/>
    <w:rsid w:val="00922906"/>
    <w:rsid w:val="009237DF"/>
    <w:rsid w:val="009239C8"/>
    <w:rsid w:val="00924FA5"/>
    <w:rsid w:val="009253FE"/>
    <w:rsid w:val="00927C8B"/>
    <w:rsid w:val="0093056F"/>
    <w:rsid w:val="0093291B"/>
    <w:rsid w:val="00932F27"/>
    <w:rsid w:val="00933ACD"/>
    <w:rsid w:val="00933E76"/>
    <w:rsid w:val="00934C0B"/>
    <w:rsid w:val="00935535"/>
    <w:rsid w:val="009355F2"/>
    <w:rsid w:val="00936536"/>
    <w:rsid w:val="0093690E"/>
    <w:rsid w:val="009377C6"/>
    <w:rsid w:val="009409D1"/>
    <w:rsid w:val="00941404"/>
    <w:rsid w:val="00941A40"/>
    <w:rsid w:val="00942E99"/>
    <w:rsid w:val="00943819"/>
    <w:rsid w:val="00943DF6"/>
    <w:rsid w:val="00945259"/>
    <w:rsid w:val="00945A62"/>
    <w:rsid w:val="00951125"/>
    <w:rsid w:val="0095189C"/>
    <w:rsid w:val="00952215"/>
    <w:rsid w:val="009537CB"/>
    <w:rsid w:val="00953C0B"/>
    <w:rsid w:val="00953DC9"/>
    <w:rsid w:val="00954020"/>
    <w:rsid w:val="00954E85"/>
    <w:rsid w:val="0095534A"/>
    <w:rsid w:val="00957863"/>
    <w:rsid w:val="00960D3B"/>
    <w:rsid w:val="009624B0"/>
    <w:rsid w:val="00962C88"/>
    <w:rsid w:val="009633BC"/>
    <w:rsid w:val="009641BF"/>
    <w:rsid w:val="009642AE"/>
    <w:rsid w:val="0096453C"/>
    <w:rsid w:val="00964CA8"/>
    <w:rsid w:val="00964E2D"/>
    <w:rsid w:val="0096540E"/>
    <w:rsid w:val="00966223"/>
    <w:rsid w:val="0096626A"/>
    <w:rsid w:val="0096657E"/>
    <w:rsid w:val="00966886"/>
    <w:rsid w:val="00966B1E"/>
    <w:rsid w:val="0096794A"/>
    <w:rsid w:val="00971F2F"/>
    <w:rsid w:val="0097308E"/>
    <w:rsid w:val="0097323D"/>
    <w:rsid w:val="00974D12"/>
    <w:rsid w:val="009761CF"/>
    <w:rsid w:val="00976258"/>
    <w:rsid w:val="00977983"/>
    <w:rsid w:val="00981966"/>
    <w:rsid w:val="00981F5B"/>
    <w:rsid w:val="0098268D"/>
    <w:rsid w:val="00982BEA"/>
    <w:rsid w:val="00982C24"/>
    <w:rsid w:val="00985022"/>
    <w:rsid w:val="00985052"/>
    <w:rsid w:val="009852A4"/>
    <w:rsid w:val="009855C5"/>
    <w:rsid w:val="00985CE1"/>
    <w:rsid w:val="009860A4"/>
    <w:rsid w:val="00986450"/>
    <w:rsid w:val="00987EB2"/>
    <w:rsid w:val="00987F65"/>
    <w:rsid w:val="009905F6"/>
    <w:rsid w:val="00990F20"/>
    <w:rsid w:val="00991199"/>
    <w:rsid w:val="00992629"/>
    <w:rsid w:val="00992B3C"/>
    <w:rsid w:val="00993674"/>
    <w:rsid w:val="009943E7"/>
    <w:rsid w:val="0099444D"/>
    <w:rsid w:val="00994484"/>
    <w:rsid w:val="00994975"/>
    <w:rsid w:val="00995389"/>
    <w:rsid w:val="00995642"/>
    <w:rsid w:val="00995B56"/>
    <w:rsid w:val="009975B8"/>
    <w:rsid w:val="009A017E"/>
    <w:rsid w:val="009A10E3"/>
    <w:rsid w:val="009A1655"/>
    <w:rsid w:val="009A1765"/>
    <w:rsid w:val="009A22C1"/>
    <w:rsid w:val="009A3363"/>
    <w:rsid w:val="009A474E"/>
    <w:rsid w:val="009A47F7"/>
    <w:rsid w:val="009A53B6"/>
    <w:rsid w:val="009A650F"/>
    <w:rsid w:val="009A69A7"/>
    <w:rsid w:val="009A7149"/>
    <w:rsid w:val="009B04EE"/>
    <w:rsid w:val="009B060A"/>
    <w:rsid w:val="009B0B24"/>
    <w:rsid w:val="009B0C38"/>
    <w:rsid w:val="009B2149"/>
    <w:rsid w:val="009B352A"/>
    <w:rsid w:val="009B5D28"/>
    <w:rsid w:val="009B7EB7"/>
    <w:rsid w:val="009B7EF1"/>
    <w:rsid w:val="009C059D"/>
    <w:rsid w:val="009C225E"/>
    <w:rsid w:val="009C264C"/>
    <w:rsid w:val="009C38B0"/>
    <w:rsid w:val="009C393B"/>
    <w:rsid w:val="009C482D"/>
    <w:rsid w:val="009C545A"/>
    <w:rsid w:val="009C5B7B"/>
    <w:rsid w:val="009C5C2C"/>
    <w:rsid w:val="009C5E07"/>
    <w:rsid w:val="009C6AF6"/>
    <w:rsid w:val="009C6E82"/>
    <w:rsid w:val="009C7077"/>
    <w:rsid w:val="009C745B"/>
    <w:rsid w:val="009C7E9E"/>
    <w:rsid w:val="009D09A1"/>
    <w:rsid w:val="009D128E"/>
    <w:rsid w:val="009D1B1E"/>
    <w:rsid w:val="009D1BDA"/>
    <w:rsid w:val="009D256F"/>
    <w:rsid w:val="009D4E41"/>
    <w:rsid w:val="009D5BDE"/>
    <w:rsid w:val="009D6308"/>
    <w:rsid w:val="009D68D5"/>
    <w:rsid w:val="009E1EED"/>
    <w:rsid w:val="009E236E"/>
    <w:rsid w:val="009E3095"/>
    <w:rsid w:val="009E3710"/>
    <w:rsid w:val="009E37DE"/>
    <w:rsid w:val="009E3EE0"/>
    <w:rsid w:val="009E449C"/>
    <w:rsid w:val="009E539E"/>
    <w:rsid w:val="009E5692"/>
    <w:rsid w:val="009E5B55"/>
    <w:rsid w:val="009E5DE2"/>
    <w:rsid w:val="009F176A"/>
    <w:rsid w:val="009F1A4F"/>
    <w:rsid w:val="009F2207"/>
    <w:rsid w:val="009F256A"/>
    <w:rsid w:val="009F2825"/>
    <w:rsid w:val="009F3255"/>
    <w:rsid w:val="009F5F6E"/>
    <w:rsid w:val="009F638B"/>
    <w:rsid w:val="009F7CFA"/>
    <w:rsid w:val="00A00630"/>
    <w:rsid w:val="00A00F6F"/>
    <w:rsid w:val="00A02BCD"/>
    <w:rsid w:val="00A04EB6"/>
    <w:rsid w:val="00A06148"/>
    <w:rsid w:val="00A06438"/>
    <w:rsid w:val="00A10803"/>
    <w:rsid w:val="00A10A86"/>
    <w:rsid w:val="00A1336E"/>
    <w:rsid w:val="00A135B9"/>
    <w:rsid w:val="00A14EC5"/>
    <w:rsid w:val="00A15B16"/>
    <w:rsid w:val="00A16ACD"/>
    <w:rsid w:val="00A16AE5"/>
    <w:rsid w:val="00A203C9"/>
    <w:rsid w:val="00A208C0"/>
    <w:rsid w:val="00A21176"/>
    <w:rsid w:val="00A2121E"/>
    <w:rsid w:val="00A226B9"/>
    <w:rsid w:val="00A22C6D"/>
    <w:rsid w:val="00A2396E"/>
    <w:rsid w:val="00A2471D"/>
    <w:rsid w:val="00A250F0"/>
    <w:rsid w:val="00A2752A"/>
    <w:rsid w:val="00A31E63"/>
    <w:rsid w:val="00A31FFB"/>
    <w:rsid w:val="00A3229B"/>
    <w:rsid w:val="00A32762"/>
    <w:rsid w:val="00A32898"/>
    <w:rsid w:val="00A358F8"/>
    <w:rsid w:val="00A360BB"/>
    <w:rsid w:val="00A363D9"/>
    <w:rsid w:val="00A36776"/>
    <w:rsid w:val="00A369E6"/>
    <w:rsid w:val="00A373EE"/>
    <w:rsid w:val="00A37881"/>
    <w:rsid w:val="00A40DCB"/>
    <w:rsid w:val="00A41671"/>
    <w:rsid w:val="00A4292F"/>
    <w:rsid w:val="00A430E0"/>
    <w:rsid w:val="00A43832"/>
    <w:rsid w:val="00A443B7"/>
    <w:rsid w:val="00A44B98"/>
    <w:rsid w:val="00A44E4A"/>
    <w:rsid w:val="00A4552E"/>
    <w:rsid w:val="00A4633A"/>
    <w:rsid w:val="00A46B93"/>
    <w:rsid w:val="00A477C3"/>
    <w:rsid w:val="00A51CE3"/>
    <w:rsid w:val="00A52F0E"/>
    <w:rsid w:val="00A551E7"/>
    <w:rsid w:val="00A554DD"/>
    <w:rsid w:val="00A55AB1"/>
    <w:rsid w:val="00A55E2F"/>
    <w:rsid w:val="00A566F7"/>
    <w:rsid w:val="00A56E9F"/>
    <w:rsid w:val="00A5727C"/>
    <w:rsid w:val="00A57672"/>
    <w:rsid w:val="00A60AA4"/>
    <w:rsid w:val="00A60BFF"/>
    <w:rsid w:val="00A6442D"/>
    <w:rsid w:val="00A64C28"/>
    <w:rsid w:val="00A663E6"/>
    <w:rsid w:val="00A671BA"/>
    <w:rsid w:val="00A70132"/>
    <w:rsid w:val="00A70369"/>
    <w:rsid w:val="00A70BE9"/>
    <w:rsid w:val="00A70F1B"/>
    <w:rsid w:val="00A714DE"/>
    <w:rsid w:val="00A715F8"/>
    <w:rsid w:val="00A7220F"/>
    <w:rsid w:val="00A729BA"/>
    <w:rsid w:val="00A733BE"/>
    <w:rsid w:val="00A73795"/>
    <w:rsid w:val="00A73D13"/>
    <w:rsid w:val="00A73D6E"/>
    <w:rsid w:val="00A75A76"/>
    <w:rsid w:val="00A75B25"/>
    <w:rsid w:val="00A75C68"/>
    <w:rsid w:val="00A77077"/>
    <w:rsid w:val="00A801DF"/>
    <w:rsid w:val="00A81FE0"/>
    <w:rsid w:val="00A82A19"/>
    <w:rsid w:val="00A83814"/>
    <w:rsid w:val="00A83F17"/>
    <w:rsid w:val="00A83FCE"/>
    <w:rsid w:val="00A842C3"/>
    <w:rsid w:val="00A84E56"/>
    <w:rsid w:val="00A85C9A"/>
    <w:rsid w:val="00A86B36"/>
    <w:rsid w:val="00A86D34"/>
    <w:rsid w:val="00A87883"/>
    <w:rsid w:val="00A87E91"/>
    <w:rsid w:val="00A907BE"/>
    <w:rsid w:val="00A91087"/>
    <w:rsid w:val="00A910A8"/>
    <w:rsid w:val="00A917CA"/>
    <w:rsid w:val="00A92A20"/>
    <w:rsid w:val="00A9301D"/>
    <w:rsid w:val="00A932D9"/>
    <w:rsid w:val="00A93997"/>
    <w:rsid w:val="00A93BE2"/>
    <w:rsid w:val="00A94F27"/>
    <w:rsid w:val="00A96177"/>
    <w:rsid w:val="00A96C77"/>
    <w:rsid w:val="00AA0464"/>
    <w:rsid w:val="00AA2058"/>
    <w:rsid w:val="00AA28CB"/>
    <w:rsid w:val="00AA2DFE"/>
    <w:rsid w:val="00AA37A8"/>
    <w:rsid w:val="00AA5B98"/>
    <w:rsid w:val="00AA63F2"/>
    <w:rsid w:val="00AB060A"/>
    <w:rsid w:val="00AB115F"/>
    <w:rsid w:val="00AB2196"/>
    <w:rsid w:val="00AB229E"/>
    <w:rsid w:val="00AB33D3"/>
    <w:rsid w:val="00AB3C96"/>
    <w:rsid w:val="00AB513A"/>
    <w:rsid w:val="00AB516E"/>
    <w:rsid w:val="00AB58B3"/>
    <w:rsid w:val="00AB6373"/>
    <w:rsid w:val="00AB7ECF"/>
    <w:rsid w:val="00AC06B2"/>
    <w:rsid w:val="00AC0DC6"/>
    <w:rsid w:val="00AC13BD"/>
    <w:rsid w:val="00AC287E"/>
    <w:rsid w:val="00AC3619"/>
    <w:rsid w:val="00AC3FDC"/>
    <w:rsid w:val="00AC4503"/>
    <w:rsid w:val="00AC4A7E"/>
    <w:rsid w:val="00AC4C7C"/>
    <w:rsid w:val="00AC56F4"/>
    <w:rsid w:val="00AC57AE"/>
    <w:rsid w:val="00AC5AA3"/>
    <w:rsid w:val="00AC621F"/>
    <w:rsid w:val="00AC6854"/>
    <w:rsid w:val="00AD0835"/>
    <w:rsid w:val="00AD0CDE"/>
    <w:rsid w:val="00AD1A04"/>
    <w:rsid w:val="00AD1FAA"/>
    <w:rsid w:val="00AD210C"/>
    <w:rsid w:val="00AD228D"/>
    <w:rsid w:val="00AD4424"/>
    <w:rsid w:val="00AD5DB1"/>
    <w:rsid w:val="00AD634F"/>
    <w:rsid w:val="00AD72CA"/>
    <w:rsid w:val="00AD7564"/>
    <w:rsid w:val="00AD7683"/>
    <w:rsid w:val="00AE0D31"/>
    <w:rsid w:val="00AE1F9D"/>
    <w:rsid w:val="00AE44F6"/>
    <w:rsid w:val="00AE47E0"/>
    <w:rsid w:val="00AE4ACC"/>
    <w:rsid w:val="00AE4C05"/>
    <w:rsid w:val="00AF09FE"/>
    <w:rsid w:val="00AF1532"/>
    <w:rsid w:val="00AF1673"/>
    <w:rsid w:val="00AF1680"/>
    <w:rsid w:val="00AF1A69"/>
    <w:rsid w:val="00AF3E6E"/>
    <w:rsid w:val="00AF52F2"/>
    <w:rsid w:val="00AF62A8"/>
    <w:rsid w:val="00AF66EE"/>
    <w:rsid w:val="00AF670C"/>
    <w:rsid w:val="00AF7E7B"/>
    <w:rsid w:val="00B0081C"/>
    <w:rsid w:val="00B00CA9"/>
    <w:rsid w:val="00B021CE"/>
    <w:rsid w:val="00B027A2"/>
    <w:rsid w:val="00B03256"/>
    <w:rsid w:val="00B03511"/>
    <w:rsid w:val="00B038FE"/>
    <w:rsid w:val="00B062B7"/>
    <w:rsid w:val="00B10B70"/>
    <w:rsid w:val="00B113C2"/>
    <w:rsid w:val="00B144AD"/>
    <w:rsid w:val="00B15953"/>
    <w:rsid w:val="00B15D2A"/>
    <w:rsid w:val="00B16017"/>
    <w:rsid w:val="00B17665"/>
    <w:rsid w:val="00B17D2E"/>
    <w:rsid w:val="00B2081E"/>
    <w:rsid w:val="00B230DC"/>
    <w:rsid w:val="00B23199"/>
    <w:rsid w:val="00B23406"/>
    <w:rsid w:val="00B23D8F"/>
    <w:rsid w:val="00B249B5"/>
    <w:rsid w:val="00B25D53"/>
    <w:rsid w:val="00B26251"/>
    <w:rsid w:val="00B272D7"/>
    <w:rsid w:val="00B305CB"/>
    <w:rsid w:val="00B3128B"/>
    <w:rsid w:val="00B31EEC"/>
    <w:rsid w:val="00B33197"/>
    <w:rsid w:val="00B332A8"/>
    <w:rsid w:val="00B33756"/>
    <w:rsid w:val="00B34634"/>
    <w:rsid w:val="00B34764"/>
    <w:rsid w:val="00B3496B"/>
    <w:rsid w:val="00B363AA"/>
    <w:rsid w:val="00B368B3"/>
    <w:rsid w:val="00B37BF9"/>
    <w:rsid w:val="00B37C53"/>
    <w:rsid w:val="00B4085D"/>
    <w:rsid w:val="00B41C52"/>
    <w:rsid w:val="00B4212E"/>
    <w:rsid w:val="00B421CE"/>
    <w:rsid w:val="00B42314"/>
    <w:rsid w:val="00B42C4C"/>
    <w:rsid w:val="00B42E7C"/>
    <w:rsid w:val="00B43A43"/>
    <w:rsid w:val="00B446BE"/>
    <w:rsid w:val="00B44BB8"/>
    <w:rsid w:val="00B45955"/>
    <w:rsid w:val="00B45D71"/>
    <w:rsid w:val="00B45F42"/>
    <w:rsid w:val="00B5104A"/>
    <w:rsid w:val="00B5142E"/>
    <w:rsid w:val="00B514AB"/>
    <w:rsid w:val="00B515A1"/>
    <w:rsid w:val="00B519C5"/>
    <w:rsid w:val="00B5240E"/>
    <w:rsid w:val="00B52939"/>
    <w:rsid w:val="00B52C11"/>
    <w:rsid w:val="00B536EF"/>
    <w:rsid w:val="00B53AE9"/>
    <w:rsid w:val="00B53F24"/>
    <w:rsid w:val="00B54557"/>
    <w:rsid w:val="00B5638B"/>
    <w:rsid w:val="00B57F09"/>
    <w:rsid w:val="00B602F5"/>
    <w:rsid w:val="00B615B3"/>
    <w:rsid w:val="00B6362D"/>
    <w:rsid w:val="00B63FF9"/>
    <w:rsid w:val="00B65DE9"/>
    <w:rsid w:val="00B6698D"/>
    <w:rsid w:val="00B66DD9"/>
    <w:rsid w:val="00B70316"/>
    <w:rsid w:val="00B70D5D"/>
    <w:rsid w:val="00B70EB3"/>
    <w:rsid w:val="00B7207B"/>
    <w:rsid w:val="00B72B0C"/>
    <w:rsid w:val="00B72C8F"/>
    <w:rsid w:val="00B752DB"/>
    <w:rsid w:val="00B75DEF"/>
    <w:rsid w:val="00B761E7"/>
    <w:rsid w:val="00B77002"/>
    <w:rsid w:val="00B77735"/>
    <w:rsid w:val="00B77D84"/>
    <w:rsid w:val="00B80AC2"/>
    <w:rsid w:val="00B8142A"/>
    <w:rsid w:val="00B818CA"/>
    <w:rsid w:val="00B82A74"/>
    <w:rsid w:val="00B83AA4"/>
    <w:rsid w:val="00B848D4"/>
    <w:rsid w:val="00B86B46"/>
    <w:rsid w:val="00B87806"/>
    <w:rsid w:val="00B87C5B"/>
    <w:rsid w:val="00B90694"/>
    <w:rsid w:val="00B91083"/>
    <w:rsid w:val="00B9190F"/>
    <w:rsid w:val="00B93059"/>
    <w:rsid w:val="00B93301"/>
    <w:rsid w:val="00B9420F"/>
    <w:rsid w:val="00B95230"/>
    <w:rsid w:val="00B95FCC"/>
    <w:rsid w:val="00B9602F"/>
    <w:rsid w:val="00B971AE"/>
    <w:rsid w:val="00B9723D"/>
    <w:rsid w:val="00B972BB"/>
    <w:rsid w:val="00B975BA"/>
    <w:rsid w:val="00B979E2"/>
    <w:rsid w:val="00BA1E6F"/>
    <w:rsid w:val="00BA2D3A"/>
    <w:rsid w:val="00BA432E"/>
    <w:rsid w:val="00BA458A"/>
    <w:rsid w:val="00BA45F7"/>
    <w:rsid w:val="00BA487C"/>
    <w:rsid w:val="00BA52C0"/>
    <w:rsid w:val="00BA5F72"/>
    <w:rsid w:val="00BA6AD3"/>
    <w:rsid w:val="00BA7D4A"/>
    <w:rsid w:val="00BB0CF8"/>
    <w:rsid w:val="00BB1A0E"/>
    <w:rsid w:val="00BB2007"/>
    <w:rsid w:val="00BB2D4B"/>
    <w:rsid w:val="00BB2DC2"/>
    <w:rsid w:val="00BB3830"/>
    <w:rsid w:val="00BB383E"/>
    <w:rsid w:val="00BB49A7"/>
    <w:rsid w:val="00BB4A80"/>
    <w:rsid w:val="00BB4E65"/>
    <w:rsid w:val="00BB6246"/>
    <w:rsid w:val="00BB7946"/>
    <w:rsid w:val="00BC10FA"/>
    <w:rsid w:val="00BC1C96"/>
    <w:rsid w:val="00BC2569"/>
    <w:rsid w:val="00BC29A8"/>
    <w:rsid w:val="00BC2B32"/>
    <w:rsid w:val="00BC389C"/>
    <w:rsid w:val="00BC41F4"/>
    <w:rsid w:val="00BC4514"/>
    <w:rsid w:val="00BC4ABC"/>
    <w:rsid w:val="00BC4EF3"/>
    <w:rsid w:val="00BC6121"/>
    <w:rsid w:val="00BC7603"/>
    <w:rsid w:val="00BD0CE2"/>
    <w:rsid w:val="00BD102C"/>
    <w:rsid w:val="00BD1D65"/>
    <w:rsid w:val="00BD2189"/>
    <w:rsid w:val="00BD47C0"/>
    <w:rsid w:val="00BD55BB"/>
    <w:rsid w:val="00BD69FB"/>
    <w:rsid w:val="00BE0E72"/>
    <w:rsid w:val="00BE2BDD"/>
    <w:rsid w:val="00BE337B"/>
    <w:rsid w:val="00BE3F1A"/>
    <w:rsid w:val="00BE5852"/>
    <w:rsid w:val="00BE5C6D"/>
    <w:rsid w:val="00BE63DD"/>
    <w:rsid w:val="00BE67D0"/>
    <w:rsid w:val="00BE6C19"/>
    <w:rsid w:val="00BE7226"/>
    <w:rsid w:val="00BE7F47"/>
    <w:rsid w:val="00BF0074"/>
    <w:rsid w:val="00BF14E8"/>
    <w:rsid w:val="00BF17E7"/>
    <w:rsid w:val="00BF214D"/>
    <w:rsid w:val="00BF2EF6"/>
    <w:rsid w:val="00BF3317"/>
    <w:rsid w:val="00BF3D16"/>
    <w:rsid w:val="00BF416D"/>
    <w:rsid w:val="00BF493C"/>
    <w:rsid w:val="00BF4B0F"/>
    <w:rsid w:val="00BF593B"/>
    <w:rsid w:val="00BF5D0C"/>
    <w:rsid w:val="00BF5E2B"/>
    <w:rsid w:val="00BF64B1"/>
    <w:rsid w:val="00C01DF5"/>
    <w:rsid w:val="00C0200E"/>
    <w:rsid w:val="00C02E2E"/>
    <w:rsid w:val="00C03842"/>
    <w:rsid w:val="00C03F33"/>
    <w:rsid w:val="00C0464B"/>
    <w:rsid w:val="00C0498C"/>
    <w:rsid w:val="00C05D8D"/>
    <w:rsid w:val="00C064C9"/>
    <w:rsid w:val="00C067F0"/>
    <w:rsid w:val="00C071F2"/>
    <w:rsid w:val="00C102A7"/>
    <w:rsid w:val="00C10DB1"/>
    <w:rsid w:val="00C1124A"/>
    <w:rsid w:val="00C11935"/>
    <w:rsid w:val="00C11E8D"/>
    <w:rsid w:val="00C152D2"/>
    <w:rsid w:val="00C15E58"/>
    <w:rsid w:val="00C1638A"/>
    <w:rsid w:val="00C20198"/>
    <w:rsid w:val="00C2243F"/>
    <w:rsid w:val="00C229A2"/>
    <w:rsid w:val="00C22AA1"/>
    <w:rsid w:val="00C23A77"/>
    <w:rsid w:val="00C241F0"/>
    <w:rsid w:val="00C243EC"/>
    <w:rsid w:val="00C24EA9"/>
    <w:rsid w:val="00C25B6E"/>
    <w:rsid w:val="00C2771F"/>
    <w:rsid w:val="00C30503"/>
    <w:rsid w:val="00C30A31"/>
    <w:rsid w:val="00C31294"/>
    <w:rsid w:val="00C33815"/>
    <w:rsid w:val="00C33C78"/>
    <w:rsid w:val="00C33F5D"/>
    <w:rsid w:val="00C344F8"/>
    <w:rsid w:val="00C34690"/>
    <w:rsid w:val="00C373E4"/>
    <w:rsid w:val="00C37452"/>
    <w:rsid w:val="00C37814"/>
    <w:rsid w:val="00C37AB9"/>
    <w:rsid w:val="00C37C72"/>
    <w:rsid w:val="00C411E0"/>
    <w:rsid w:val="00C420B5"/>
    <w:rsid w:val="00C42181"/>
    <w:rsid w:val="00C423CB"/>
    <w:rsid w:val="00C4366C"/>
    <w:rsid w:val="00C43779"/>
    <w:rsid w:val="00C43E4B"/>
    <w:rsid w:val="00C448A7"/>
    <w:rsid w:val="00C45949"/>
    <w:rsid w:val="00C46C1C"/>
    <w:rsid w:val="00C46DBF"/>
    <w:rsid w:val="00C46E10"/>
    <w:rsid w:val="00C51D00"/>
    <w:rsid w:val="00C52467"/>
    <w:rsid w:val="00C52882"/>
    <w:rsid w:val="00C52E26"/>
    <w:rsid w:val="00C5378F"/>
    <w:rsid w:val="00C57A44"/>
    <w:rsid w:val="00C6079E"/>
    <w:rsid w:val="00C612E3"/>
    <w:rsid w:val="00C61440"/>
    <w:rsid w:val="00C62964"/>
    <w:rsid w:val="00C629C4"/>
    <w:rsid w:val="00C635D8"/>
    <w:rsid w:val="00C63A10"/>
    <w:rsid w:val="00C63E0F"/>
    <w:rsid w:val="00C658FE"/>
    <w:rsid w:val="00C65D93"/>
    <w:rsid w:val="00C6760E"/>
    <w:rsid w:val="00C7085A"/>
    <w:rsid w:val="00C70ABA"/>
    <w:rsid w:val="00C70D1C"/>
    <w:rsid w:val="00C7121E"/>
    <w:rsid w:val="00C7160E"/>
    <w:rsid w:val="00C71902"/>
    <w:rsid w:val="00C727C5"/>
    <w:rsid w:val="00C757ED"/>
    <w:rsid w:val="00C7625E"/>
    <w:rsid w:val="00C763BC"/>
    <w:rsid w:val="00C76EDC"/>
    <w:rsid w:val="00C7726F"/>
    <w:rsid w:val="00C77372"/>
    <w:rsid w:val="00C77B81"/>
    <w:rsid w:val="00C81F90"/>
    <w:rsid w:val="00C82782"/>
    <w:rsid w:val="00C83077"/>
    <w:rsid w:val="00C8319C"/>
    <w:rsid w:val="00C8377B"/>
    <w:rsid w:val="00C83BC0"/>
    <w:rsid w:val="00C84EEC"/>
    <w:rsid w:val="00C90DAB"/>
    <w:rsid w:val="00C90DEB"/>
    <w:rsid w:val="00C90E4D"/>
    <w:rsid w:val="00C918AA"/>
    <w:rsid w:val="00C91EFC"/>
    <w:rsid w:val="00C91FFA"/>
    <w:rsid w:val="00C92269"/>
    <w:rsid w:val="00C92D87"/>
    <w:rsid w:val="00C93724"/>
    <w:rsid w:val="00C94CEA"/>
    <w:rsid w:val="00C94E40"/>
    <w:rsid w:val="00C95E13"/>
    <w:rsid w:val="00C96412"/>
    <w:rsid w:val="00C971BB"/>
    <w:rsid w:val="00CA0062"/>
    <w:rsid w:val="00CA024E"/>
    <w:rsid w:val="00CA0D75"/>
    <w:rsid w:val="00CA1245"/>
    <w:rsid w:val="00CA20E4"/>
    <w:rsid w:val="00CA36D0"/>
    <w:rsid w:val="00CA429D"/>
    <w:rsid w:val="00CA5787"/>
    <w:rsid w:val="00CA581C"/>
    <w:rsid w:val="00CA61D4"/>
    <w:rsid w:val="00CA6B5A"/>
    <w:rsid w:val="00CB066D"/>
    <w:rsid w:val="00CB0B8A"/>
    <w:rsid w:val="00CB1C10"/>
    <w:rsid w:val="00CB3045"/>
    <w:rsid w:val="00CB3FDF"/>
    <w:rsid w:val="00CB5D41"/>
    <w:rsid w:val="00CB7022"/>
    <w:rsid w:val="00CB71DF"/>
    <w:rsid w:val="00CB7B03"/>
    <w:rsid w:val="00CC0597"/>
    <w:rsid w:val="00CC08F6"/>
    <w:rsid w:val="00CC0BB8"/>
    <w:rsid w:val="00CC0FA1"/>
    <w:rsid w:val="00CC1284"/>
    <w:rsid w:val="00CC1D3A"/>
    <w:rsid w:val="00CC254F"/>
    <w:rsid w:val="00CC3B35"/>
    <w:rsid w:val="00CC3E79"/>
    <w:rsid w:val="00CC557E"/>
    <w:rsid w:val="00CC6722"/>
    <w:rsid w:val="00CC750F"/>
    <w:rsid w:val="00CD1637"/>
    <w:rsid w:val="00CD1D34"/>
    <w:rsid w:val="00CD2FAE"/>
    <w:rsid w:val="00CD307C"/>
    <w:rsid w:val="00CD379A"/>
    <w:rsid w:val="00CD4F89"/>
    <w:rsid w:val="00CD587A"/>
    <w:rsid w:val="00CD77AC"/>
    <w:rsid w:val="00CE12E4"/>
    <w:rsid w:val="00CE1EDA"/>
    <w:rsid w:val="00CE2587"/>
    <w:rsid w:val="00CE27BC"/>
    <w:rsid w:val="00CE31F8"/>
    <w:rsid w:val="00CE34DE"/>
    <w:rsid w:val="00CE382A"/>
    <w:rsid w:val="00CE4015"/>
    <w:rsid w:val="00CE45E5"/>
    <w:rsid w:val="00CE5264"/>
    <w:rsid w:val="00CE60A4"/>
    <w:rsid w:val="00CE6A61"/>
    <w:rsid w:val="00CE7E10"/>
    <w:rsid w:val="00CF0206"/>
    <w:rsid w:val="00CF0C20"/>
    <w:rsid w:val="00CF0CD9"/>
    <w:rsid w:val="00CF0D60"/>
    <w:rsid w:val="00CF13C3"/>
    <w:rsid w:val="00CF146A"/>
    <w:rsid w:val="00CF198A"/>
    <w:rsid w:val="00CF32E7"/>
    <w:rsid w:val="00CF38A7"/>
    <w:rsid w:val="00CF3A6B"/>
    <w:rsid w:val="00CF4242"/>
    <w:rsid w:val="00CF5261"/>
    <w:rsid w:val="00CF58ED"/>
    <w:rsid w:val="00CF70F7"/>
    <w:rsid w:val="00CF75B4"/>
    <w:rsid w:val="00D00003"/>
    <w:rsid w:val="00D0002B"/>
    <w:rsid w:val="00D00153"/>
    <w:rsid w:val="00D006B9"/>
    <w:rsid w:val="00D02138"/>
    <w:rsid w:val="00D0216C"/>
    <w:rsid w:val="00D02987"/>
    <w:rsid w:val="00D02C1A"/>
    <w:rsid w:val="00D04560"/>
    <w:rsid w:val="00D06E3D"/>
    <w:rsid w:val="00D079EB"/>
    <w:rsid w:val="00D12C6C"/>
    <w:rsid w:val="00D130F2"/>
    <w:rsid w:val="00D13A2A"/>
    <w:rsid w:val="00D14BB0"/>
    <w:rsid w:val="00D15BA0"/>
    <w:rsid w:val="00D15BE3"/>
    <w:rsid w:val="00D15CA9"/>
    <w:rsid w:val="00D1683E"/>
    <w:rsid w:val="00D16CF7"/>
    <w:rsid w:val="00D17042"/>
    <w:rsid w:val="00D17732"/>
    <w:rsid w:val="00D17B02"/>
    <w:rsid w:val="00D20169"/>
    <w:rsid w:val="00D21D0E"/>
    <w:rsid w:val="00D222F2"/>
    <w:rsid w:val="00D22E26"/>
    <w:rsid w:val="00D2348F"/>
    <w:rsid w:val="00D235B9"/>
    <w:rsid w:val="00D2459B"/>
    <w:rsid w:val="00D258CD"/>
    <w:rsid w:val="00D25A0F"/>
    <w:rsid w:val="00D270FA"/>
    <w:rsid w:val="00D304AC"/>
    <w:rsid w:val="00D30BB3"/>
    <w:rsid w:val="00D321B2"/>
    <w:rsid w:val="00D34A00"/>
    <w:rsid w:val="00D363ED"/>
    <w:rsid w:val="00D36C03"/>
    <w:rsid w:val="00D4122E"/>
    <w:rsid w:val="00D41875"/>
    <w:rsid w:val="00D44095"/>
    <w:rsid w:val="00D453D7"/>
    <w:rsid w:val="00D4669A"/>
    <w:rsid w:val="00D473CB"/>
    <w:rsid w:val="00D4788A"/>
    <w:rsid w:val="00D47920"/>
    <w:rsid w:val="00D4792A"/>
    <w:rsid w:val="00D52B37"/>
    <w:rsid w:val="00D5302B"/>
    <w:rsid w:val="00D5327D"/>
    <w:rsid w:val="00D54D03"/>
    <w:rsid w:val="00D54DF7"/>
    <w:rsid w:val="00D54EAA"/>
    <w:rsid w:val="00D555B2"/>
    <w:rsid w:val="00D558D2"/>
    <w:rsid w:val="00D55AFA"/>
    <w:rsid w:val="00D5615B"/>
    <w:rsid w:val="00D56817"/>
    <w:rsid w:val="00D56F47"/>
    <w:rsid w:val="00D579F0"/>
    <w:rsid w:val="00D626F0"/>
    <w:rsid w:val="00D64A3A"/>
    <w:rsid w:val="00D64A6C"/>
    <w:rsid w:val="00D65CEF"/>
    <w:rsid w:val="00D667F0"/>
    <w:rsid w:val="00D67A67"/>
    <w:rsid w:val="00D67C93"/>
    <w:rsid w:val="00D719BC"/>
    <w:rsid w:val="00D71A6E"/>
    <w:rsid w:val="00D734C9"/>
    <w:rsid w:val="00D74CDD"/>
    <w:rsid w:val="00D74EC6"/>
    <w:rsid w:val="00D75AF2"/>
    <w:rsid w:val="00D76D22"/>
    <w:rsid w:val="00D76F4C"/>
    <w:rsid w:val="00D77239"/>
    <w:rsid w:val="00D7790C"/>
    <w:rsid w:val="00D8064C"/>
    <w:rsid w:val="00D8068A"/>
    <w:rsid w:val="00D815E5"/>
    <w:rsid w:val="00D857F1"/>
    <w:rsid w:val="00D86EF1"/>
    <w:rsid w:val="00D87A0B"/>
    <w:rsid w:val="00D9082A"/>
    <w:rsid w:val="00D918E9"/>
    <w:rsid w:val="00D91A22"/>
    <w:rsid w:val="00D9233D"/>
    <w:rsid w:val="00D932CC"/>
    <w:rsid w:val="00D93386"/>
    <w:rsid w:val="00D93413"/>
    <w:rsid w:val="00D93A5A"/>
    <w:rsid w:val="00D93C65"/>
    <w:rsid w:val="00D93D36"/>
    <w:rsid w:val="00D93F3B"/>
    <w:rsid w:val="00D94300"/>
    <w:rsid w:val="00D95309"/>
    <w:rsid w:val="00D95BEF"/>
    <w:rsid w:val="00D960F0"/>
    <w:rsid w:val="00D96817"/>
    <w:rsid w:val="00D96A76"/>
    <w:rsid w:val="00D97AE9"/>
    <w:rsid w:val="00D97F7A"/>
    <w:rsid w:val="00DA11CC"/>
    <w:rsid w:val="00DA16CE"/>
    <w:rsid w:val="00DA2E67"/>
    <w:rsid w:val="00DA3E2F"/>
    <w:rsid w:val="00DA7E1E"/>
    <w:rsid w:val="00DB0C84"/>
    <w:rsid w:val="00DB1350"/>
    <w:rsid w:val="00DB18F0"/>
    <w:rsid w:val="00DB1C32"/>
    <w:rsid w:val="00DB263B"/>
    <w:rsid w:val="00DB26D2"/>
    <w:rsid w:val="00DB2ACE"/>
    <w:rsid w:val="00DB3A7F"/>
    <w:rsid w:val="00DB495A"/>
    <w:rsid w:val="00DB4CDA"/>
    <w:rsid w:val="00DB526A"/>
    <w:rsid w:val="00DB6E2F"/>
    <w:rsid w:val="00DB710B"/>
    <w:rsid w:val="00DB7144"/>
    <w:rsid w:val="00DB7E1A"/>
    <w:rsid w:val="00DC037C"/>
    <w:rsid w:val="00DC06E1"/>
    <w:rsid w:val="00DC16C7"/>
    <w:rsid w:val="00DC16D1"/>
    <w:rsid w:val="00DC1C49"/>
    <w:rsid w:val="00DC1D5F"/>
    <w:rsid w:val="00DC2833"/>
    <w:rsid w:val="00DC2C31"/>
    <w:rsid w:val="00DC40FD"/>
    <w:rsid w:val="00DC43FF"/>
    <w:rsid w:val="00DC4B82"/>
    <w:rsid w:val="00DC509F"/>
    <w:rsid w:val="00DC52BE"/>
    <w:rsid w:val="00DC589E"/>
    <w:rsid w:val="00DC6F12"/>
    <w:rsid w:val="00DC7B49"/>
    <w:rsid w:val="00DC7ECA"/>
    <w:rsid w:val="00DD03A0"/>
    <w:rsid w:val="00DD0B96"/>
    <w:rsid w:val="00DD25DF"/>
    <w:rsid w:val="00DD381F"/>
    <w:rsid w:val="00DD3945"/>
    <w:rsid w:val="00DD3F82"/>
    <w:rsid w:val="00DD51A8"/>
    <w:rsid w:val="00DD6EE8"/>
    <w:rsid w:val="00DD7D50"/>
    <w:rsid w:val="00DE08C8"/>
    <w:rsid w:val="00DE1002"/>
    <w:rsid w:val="00DE1C94"/>
    <w:rsid w:val="00DE1DDA"/>
    <w:rsid w:val="00DE2202"/>
    <w:rsid w:val="00DE30D5"/>
    <w:rsid w:val="00DE30DC"/>
    <w:rsid w:val="00DE421A"/>
    <w:rsid w:val="00DE43F4"/>
    <w:rsid w:val="00DE469C"/>
    <w:rsid w:val="00DE4BDC"/>
    <w:rsid w:val="00DE4FC4"/>
    <w:rsid w:val="00DE5550"/>
    <w:rsid w:val="00DE5CC1"/>
    <w:rsid w:val="00DE6BB5"/>
    <w:rsid w:val="00DF08D0"/>
    <w:rsid w:val="00DF0C32"/>
    <w:rsid w:val="00DF0D17"/>
    <w:rsid w:val="00DF1FC9"/>
    <w:rsid w:val="00DF2299"/>
    <w:rsid w:val="00DF3310"/>
    <w:rsid w:val="00DF382E"/>
    <w:rsid w:val="00DF4BB5"/>
    <w:rsid w:val="00DF5D8C"/>
    <w:rsid w:val="00DF616E"/>
    <w:rsid w:val="00DF6468"/>
    <w:rsid w:val="00DF6C46"/>
    <w:rsid w:val="00DF71EB"/>
    <w:rsid w:val="00DF75C0"/>
    <w:rsid w:val="00DF7D6E"/>
    <w:rsid w:val="00DF7FD2"/>
    <w:rsid w:val="00E004C3"/>
    <w:rsid w:val="00E006C8"/>
    <w:rsid w:val="00E00D8B"/>
    <w:rsid w:val="00E0158C"/>
    <w:rsid w:val="00E03089"/>
    <w:rsid w:val="00E03700"/>
    <w:rsid w:val="00E043DA"/>
    <w:rsid w:val="00E0776D"/>
    <w:rsid w:val="00E104A8"/>
    <w:rsid w:val="00E104FF"/>
    <w:rsid w:val="00E14D34"/>
    <w:rsid w:val="00E14FA6"/>
    <w:rsid w:val="00E1628F"/>
    <w:rsid w:val="00E2017B"/>
    <w:rsid w:val="00E21E18"/>
    <w:rsid w:val="00E21E29"/>
    <w:rsid w:val="00E223FB"/>
    <w:rsid w:val="00E227D6"/>
    <w:rsid w:val="00E22B19"/>
    <w:rsid w:val="00E22C58"/>
    <w:rsid w:val="00E23202"/>
    <w:rsid w:val="00E23B89"/>
    <w:rsid w:val="00E271DA"/>
    <w:rsid w:val="00E308C3"/>
    <w:rsid w:val="00E316A4"/>
    <w:rsid w:val="00E31A3D"/>
    <w:rsid w:val="00E32637"/>
    <w:rsid w:val="00E326A3"/>
    <w:rsid w:val="00E32B7A"/>
    <w:rsid w:val="00E33D42"/>
    <w:rsid w:val="00E3415B"/>
    <w:rsid w:val="00E341A3"/>
    <w:rsid w:val="00E34447"/>
    <w:rsid w:val="00E35CAF"/>
    <w:rsid w:val="00E365F6"/>
    <w:rsid w:val="00E36BD9"/>
    <w:rsid w:val="00E4019B"/>
    <w:rsid w:val="00E42344"/>
    <w:rsid w:val="00E4236B"/>
    <w:rsid w:val="00E42F0D"/>
    <w:rsid w:val="00E43299"/>
    <w:rsid w:val="00E43F69"/>
    <w:rsid w:val="00E44F08"/>
    <w:rsid w:val="00E45ACE"/>
    <w:rsid w:val="00E465CC"/>
    <w:rsid w:val="00E46C5C"/>
    <w:rsid w:val="00E4758E"/>
    <w:rsid w:val="00E4773E"/>
    <w:rsid w:val="00E50426"/>
    <w:rsid w:val="00E50810"/>
    <w:rsid w:val="00E50A2B"/>
    <w:rsid w:val="00E511B0"/>
    <w:rsid w:val="00E515EC"/>
    <w:rsid w:val="00E5236B"/>
    <w:rsid w:val="00E53386"/>
    <w:rsid w:val="00E56403"/>
    <w:rsid w:val="00E56AB1"/>
    <w:rsid w:val="00E56E8A"/>
    <w:rsid w:val="00E573B0"/>
    <w:rsid w:val="00E616F5"/>
    <w:rsid w:val="00E62979"/>
    <w:rsid w:val="00E62D8A"/>
    <w:rsid w:val="00E62F57"/>
    <w:rsid w:val="00E63181"/>
    <w:rsid w:val="00E632E6"/>
    <w:rsid w:val="00E639B3"/>
    <w:rsid w:val="00E650D4"/>
    <w:rsid w:val="00E655F9"/>
    <w:rsid w:val="00E66B5A"/>
    <w:rsid w:val="00E66C0B"/>
    <w:rsid w:val="00E67749"/>
    <w:rsid w:val="00E71758"/>
    <w:rsid w:val="00E71D04"/>
    <w:rsid w:val="00E7303C"/>
    <w:rsid w:val="00E73CCF"/>
    <w:rsid w:val="00E740A9"/>
    <w:rsid w:val="00E74260"/>
    <w:rsid w:val="00E74EA4"/>
    <w:rsid w:val="00E75A2B"/>
    <w:rsid w:val="00E76052"/>
    <w:rsid w:val="00E77439"/>
    <w:rsid w:val="00E81082"/>
    <w:rsid w:val="00E81087"/>
    <w:rsid w:val="00E81293"/>
    <w:rsid w:val="00E81570"/>
    <w:rsid w:val="00E820A7"/>
    <w:rsid w:val="00E83A38"/>
    <w:rsid w:val="00E84BDE"/>
    <w:rsid w:val="00E861B4"/>
    <w:rsid w:val="00E862DB"/>
    <w:rsid w:val="00E87C4B"/>
    <w:rsid w:val="00E87E68"/>
    <w:rsid w:val="00E87FA5"/>
    <w:rsid w:val="00E904B7"/>
    <w:rsid w:val="00E906C1"/>
    <w:rsid w:val="00E91F10"/>
    <w:rsid w:val="00E92278"/>
    <w:rsid w:val="00E92FFC"/>
    <w:rsid w:val="00E9361F"/>
    <w:rsid w:val="00E93E72"/>
    <w:rsid w:val="00E95434"/>
    <w:rsid w:val="00E95778"/>
    <w:rsid w:val="00E959CA"/>
    <w:rsid w:val="00E96242"/>
    <w:rsid w:val="00E96DD8"/>
    <w:rsid w:val="00E970D8"/>
    <w:rsid w:val="00EA01BB"/>
    <w:rsid w:val="00EA3339"/>
    <w:rsid w:val="00EA33AA"/>
    <w:rsid w:val="00EA3739"/>
    <w:rsid w:val="00EA4673"/>
    <w:rsid w:val="00EA55B5"/>
    <w:rsid w:val="00EA6665"/>
    <w:rsid w:val="00EA6CD4"/>
    <w:rsid w:val="00EA7B42"/>
    <w:rsid w:val="00EB0512"/>
    <w:rsid w:val="00EB0BE0"/>
    <w:rsid w:val="00EB18C8"/>
    <w:rsid w:val="00EB2131"/>
    <w:rsid w:val="00EB270B"/>
    <w:rsid w:val="00EB2EE4"/>
    <w:rsid w:val="00EB440A"/>
    <w:rsid w:val="00EB54E7"/>
    <w:rsid w:val="00EB5E41"/>
    <w:rsid w:val="00EB628E"/>
    <w:rsid w:val="00EB62AB"/>
    <w:rsid w:val="00EB6E62"/>
    <w:rsid w:val="00EB6F28"/>
    <w:rsid w:val="00EB766D"/>
    <w:rsid w:val="00EB7764"/>
    <w:rsid w:val="00EC07D8"/>
    <w:rsid w:val="00EC1906"/>
    <w:rsid w:val="00EC1E79"/>
    <w:rsid w:val="00EC28FB"/>
    <w:rsid w:val="00EC2996"/>
    <w:rsid w:val="00EC2F43"/>
    <w:rsid w:val="00EC448C"/>
    <w:rsid w:val="00EC5507"/>
    <w:rsid w:val="00EC691A"/>
    <w:rsid w:val="00EC700D"/>
    <w:rsid w:val="00EC70C3"/>
    <w:rsid w:val="00ED0F5D"/>
    <w:rsid w:val="00ED20CB"/>
    <w:rsid w:val="00ED280D"/>
    <w:rsid w:val="00ED37C0"/>
    <w:rsid w:val="00ED3906"/>
    <w:rsid w:val="00ED46EF"/>
    <w:rsid w:val="00ED4847"/>
    <w:rsid w:val="00ED69B7"/>
    <w:rsid w:val="00ED7CAA"/>
    <w:rsid w:val="00EE1CB0"/>
    <w:rsid w:val="00EE3BEB"/>
    <w:rsid w:val="00EE4390"/>
    <w:rsid w:val="00EE4867"/>
    <w:rsid w:val="00EE49AE"/>
    <w:rsid w:val="00EE5266"/>
    <w:rsid w:val="00EE5FFB"/>
    <w:rsid w:val="00EE6023"/>
    <w:rsid w:val="00EE62EC"/>
    <w:rsid w:val="00EE6950"/>
    <w:rsid w:val="00EF0695"/>
    <w:rsid w:val="00EF0910"/>
    <w:rsid w:val="00EF1182"/>
    <w:rsid w:val="00EF3265"/>
    <w:rsid w:val="00EF3B68"/>
    <w:rsid w:val="00EF4596"/>
    <w:rsid w:val="00EF55DC"/>
    <w:rsid w:val="00EF5791"/>
    <w:rsid w:val="00EF6FAC"/>
    <w:rsid w:val="00EF7080"/>
    <w:rsid w:val="00F00663"/>
    <w:rsid w:val="00F02480"/>
    <w:rsid w:val="00F025DA"/>
    <w:rsid w:val="00F0720B"/>
    <w:rsid w:val="00F106A6"/>
    <w:rsid w:val="00F10A6F"/>
    <w:rsid w:val="00F10AC1"/>
    <w:rsid w:val="00F122DC"/>
    <w:rsid w:val="00F1354A"/>
    <w:rsid w:val="00F13848"/>
    <w:rsid w:val="00F142D3"/>
    <w:rsid w:val="00F14B77"/>
    <w:rsid w:val="00F17DCF"/>
    <w:rsid w:val="00F2013E"/>
    <w:rsid w:val="00F20672"/>
    <w:rsid w:val="00F20B7E"/>
    <w:rsid w:val="00F211F9"/>
    <w:rsid w:val="00F21618"/>
    <w:rsid w:val="00F22324"/>
    <w:rsid w:val="00F2267C"/>
    <w:rsid w:val="00F22BA2"/>
    <w:rsid w:val="00F2305C"/>
    <w:rsid w:val="00F2313F"/>
    <w:rsid w:val="00F244F3"/>
    <w:rsid w:val="00F24C44"/>
    <w:rsid w:val="00F24D9F"/>
    <w:rsid w:val="00F26134"/>
    <w:rsid w:val="00F27451"/>
    <w:rsid w:val="00F27632"/>
    <w:rsid w:val="00F35008"/>
    <w:rsid w:val="00F353ED"/>
    <w:rsid w:val="00F35735"/>
    <w:rsid w:val="00F35A45"/>
    <w:rsid w:val="00F368A4"/>
    <w:rsid w:val="00F36ADF"/>
    <w:rsid w:val="00F37374"/>
    <w:rsid w:val="00F41050"/>
    <w:rsid w:val="00F4164D"/>
    <w:rsid w:val="00F41A0B"/>
    <w:rsid w:val="00F43532"/>
    <w:rsid w:val="00F44011"/>
    <w:rsid w:val="00F45324"/>
    <w:rsid w:val="00F455D3"/>
    <w:rsid w:val="00F4667D"/>
    <w:rsid w:val="00F46829"/>
    <w:rsid w:val="00F46B68"/>
    <w:rsid w:val="00F5031F"/>
    <w:rsid w:val="00F51B34"/>
    <w:rsid w:val="00F51D9A"/>
    <w:rsid w:val="00F51DE4"/>
    <w:rsid w:val="00F522AA"/>
    <w:rsid w:val="00F5301E"/>
    <w:rsid w:val="00F53637"/>
    <w:rsid w:val="00F53FE8"/>
    <w:rsid w:val="00F55484"/>
    <w:rsid w:val="00F566BA"/>
    <w:rsid w:val="00F56D7B"/>
    <w:rsid w:val="00F56DC7"/>
    <w:rsid w:val="00F57555"/>
    <w:rsid w:val="00F57CD7"/>
    <w:rsid w:val="00F606E9"/>
    <w:rsid w:val="00F60F79"/>
    <w:rsid w:val="00F611BD"/>
    <w:rsid w:val="00F614B1"/>
    <w:rsid w:val="00F61954"/>
    <w:rsid w:val="00F620F1"/>
    <w:rsid w:val="00F62552"/>
    <w:rsid w:val="00F635D0"/>
    <w:rsid w:val="00F6370C"/>
    <w:rsid w:val="00F6381C"/>
    <w:rsid w:val="00F63AB0"/>
    <w:rsid w:val="00F64003"/>
    <w:rsid w:val="00F65316"/>
    <w:rsid w:val="00F6747E"/>
    <w:rsid w:val="00F713EA"/>
    <w:rsid w:val="00F717B7"/>
    <w:rsid w:val="00F71F11"/>
    <w:rsid w:val="00F72C3E"/>
    <w:rsid w:val="00F7369A"/>
    <w:rsid w:val="00F749C4"/>
    <w:rsid w:val="00F77317"/>
    <w:rsid w:val="00F77FE2"/>
    <w:rsid w:val="00F802E0"/>
    <w:rsid w:val="00F82291"/>
    <w:rsid w:val="00F82818"/>
    <w:rsid w:val="00F83256"/>
    <w:rsid w:val="00F8408B"/>
    <w:rsid w:val="00F86002"/>
    <w:rsid w:val="00F8697C"/>
    <w:rsid w:val="00F8797D"/>
    <w:rsid w:val="00F87A75"/>
    <w:rsid w:val="00F9071C"/>
    <w:rsid w:val="00F90A90"/>
    <w:rsid w:val="00F9128D"/>
    <w:rsid w:val="00F914BA"/>
    <w:rsid w:val="00F9251D"/>
    <w:rsid w:val="00F92602"/>
    <w:rsid w:val="00F9271E"/>
    <w:rsid w:val="00F92B5C"/>
    <w:rsid w:val="00F94198"/>
    <w:rsid w:val="00F94739"/>
    <w:rsid w:val="00F96C3F"/>
    <w:rsid w:val="00F96C6B"/>
    <w:rsid w:val="00F972BD"/>
    <w:rsid w:val="00F9739F"/>
    <w:rsid w:val="00F9776B"/>
    <w:rsid w:val="00F97DDB"/>
    <w:rsid w:val="00FA1265"/>
    <w:rsid w:val="00FA196B"/>
    <w:rsid w:val="00FA1C3D"/>
    <w:rsid w:val="00FA2E89"/>
    <w:rsid w:val="00FA37F1"/>
    <w:rsid w:val="00FA3FC6"/>
    <w:rsid w:val="00FA492A"/>
    <w:rsid w:val="00FA548A"/>
    <w:rsid w:val="00FA6D53"/>
    <w:rsid w:val="00FA7892"/>
    <w:rsid w:val="00FB01C4"/>
    <w:rsid w:val="00FB0B7E"/>
    <w:rsid w:val="00FB0B9A"/>
    <w:rsid w:val="00FB0FD4"/>
    <w:rsid w:val="00FB1745"/>
    <w:rsid w:val="00FB2442"/>
    <w:rsid w:val="00FB2666"/>
    <w:rsid w:val="00FB4579"/>
    <w:rsid w:val="00FB4725"/>
    <w:rsid w:val="00FB4BA2"/>
    <w:rsid w:val="00FB4D9F"/>
    <w:rsid w:val="00FB711B"/>
    <w:rsid w:val="00FB7CCB"/>
    <w:rsid w:val="00FC07E2"/>
    <w:rsid w:val="00FC0B82"/>
    <w:rsid w:val="00FC149C"/>
    <w:rsid w:val="00FC2D25"/>
    <w:rsid w:val="00FC3409"/>
    <w:rsid w:val="00FC3B32"/>
    <w:rsid w:val="00FC4CFE"/>
    <w:rsid w:val="00FC575B"/>
    <w:rsid w:val="00FC5B32"/>
    <w:rsid w:val="00FC5BFA"/>
    <w:rsid w:val="00FC5D3B"/>
    <w:rsid w:val="00FC640B"/>
    <w:rsid w:val="00FD1D07"/>
    <w:rsid w:val="00FD2AA2"/>
    <w:rsid w:val="00FD445C"/>
    <w:rsid w:val="00FD5BC8"/>
    <w:rsid w:val="00FD74E5"/>
    <w:rsid w:val="00FD7B29"/>
    <w:rsid w:val="00FD7FA5"/>
    <w:rsid w:val="00FE1216"/>
    <w:rsid w:val="00FE244C"/>
    <w:rsid w:val="00FE2A7B"/>
    <w:rsid w:val="00FE2AAC"/>
    <w:rsid w:val="00FE50DB"/>
    <w:rsid w:val="00FE561E"/>
    <w:rsid w:val="00FE64FA"/>
    <w:rsid w:val="00FE6AFF"/>
    <w:rsid w:val="00FE6EF4"/>
    <w:rsid w:val="00FE6F04"/>
    <w:rsid w:val="00FF02A7"/>
    <w:rsid w:val="00FF07C3"/>
    <w:rsid w:val="00FF183F"/>
    <w:rsid w:val="00FF299A"/>
    <w:rsid w:val="00FF2B4E"/>
    <w:rsid w:val="00FF374C"/>
    <w:rsid w:val="00FF3F83"/>
    <w:rsid w:val="00FF4ABE"/>
    <w:rsid w:val="00FF613D"/>
    <w:rsid w:val="00FF62BD"/>
    <w:rsid w:val="00FF640D"/>
    <w:rsid w:val="00FF6DF3"/>
    <w:rsid w:val="01F4E362"/>
    <w:rsid w:val="035507EB"/>
    <w:rsid w:val="08D3ACA0"/>
    <w:rsid w:val="0D3EB946"/>
    <w:rsid w:val="23720E19"/>
    <w:rsid w:val="25D9052D"/>
    <w:rsid w:val="2F476450"/>
    <w:rsid w:val="32A17BBB"/>
    <w:rsid w:val="32E5F260"/>
    <w:rsid w:val="374C741C"/>
    <w:rsid w:val="3CE466E2"/>
    <w:rsid w:val="3DD0D3C7"/>
    <w:rsid w:val="4AD2AED3"/>
    <w:rsid w:val="5737A987"/>
    <w:rsid w:val="667506F7"/>
    <w:rsid w:val="668D8368"/>
    <w:rsid w:val="6A09C539"/>
    <w:rsid w:val="78275B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E3565"/>
  <w15:chartTrackingRefBased/>
  <w15:docId w15:val="{69886CEF-1FEB-4227-B5A4-36FEE82D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920D74"/>
    <w:pPr>
      <w:spacing w:after="220" w:line="240" w:lineRule="auto"/>
    </w:pPr>
    <w:rPr>
      <w:rFonts w:ascii="Lato" w:hAnsi="Lato"/>
    </w:rPr>
  </w:style>
  <w:style w:type="paragraph" w:styleId="Heading1">
    <w:name w:val="heading 1"/>
    <w:basedOn w:val="ListParagraph"/>
    <w:next w:val="Normal"/>
    <w:link w:val="Heading1Char"/>
    <w:uiPriority w:val="9"/>
    <w:qFormat/>
    <w:rsid w:val="0015505B"/>
    <w:pPr>
      <w:numPr>
        <w:numId w:val="1"/>
      </w:numPr>
      <w:spacing w:before="180" w:after="220"/>
      <w:ind w:left="709" w:hanging="709"/>
      <w:outlineLvl w:val="0"/>
    </w:pPr>
    <w:rPr>
      <w:rFonts w:ascii="Lato" w:hAnsi="Lato"/>
      <w:b/>
      <w:color w:val="1F144A"/>
      <w:sz w:val="36"/>
    </w:rPr>
  </w:style>
  <w:style w:type="paragraph" w:styleId="Heading2">
    <w:name w:val="heading 2"/>
    <w:basedOn w:val="ListParagraph"/>
    <w:next w:val="Normal"/>
    <w:link w:val="Heading2Char"/>
    <w:uiPriority w:val="9"/>
    <w:unhideWhenUsed/>
    <w:qFormat/>
    <w:rsid w:val="00340378"/>
    <w:pPr>
      <w:numPr>
        <w:ilvl w:val="1"/>
        <w:numId w:val="1"/>
      </w:numPr>
      <w:spacing w:before="220" w:after="220"/>
      <w:ind w:left="709" w:hanging="709"/>
      <w:outlineLvl w:val="1"/>
    </w:pPr>
    <w:rPr>
      <w:rFonts w:ascii="Lato" w:hAnsi="Lato"/>
      <w:b/>
      <w:color w:val="CA005D"/>
      <w:sz w:val="28"/>
    </w:rPr>
  </w:style>
  <w:style w:type="paragraph" w:styleId="Heading3">
    <w:name w:val="heading 3"/>
    <w:basedOn w:val="ListParagraph"/>
    <w:next w:val="Normal"/>
    <w:link w:val="Heading3Char"/>
    <w:uiPriority w:val="9"/>
    <w:unhideWhenUsed/>
    <w:qFormat/>
    <w:rsid w:val="00B26251"/>
    <w:pPr>
      <w:numPr>
        <w:ilvl w:val="2"/>
        <w:numId w:val="1"/>
      </w:numPr>
      <w:spacing w:before="120" w:after="180"/>
      <w:ind w:left="709" w:hanging="709"/>
      <w:outlineLvl w:val="2"/>
    </w:pPr>
    <w:rPr>
      <w:rFonts w:ascii="Lato" w:hAnsi="Lato"/>
      <w:b/>
      <w:color w:val="CA005D"/>
      <w:sz w:val="24"/>
    </w:rPr>
  </w:style>
  <w:style w:type="paragraph" w:styleId="Heading4">
    <w:name w:val="heading 4"/>
    <w:basedOn w:val="Normal"/>
    <w:next w:val="Normal"/>
    <w:link w:val="Heading4Char"/>
    <w:uiPriority w:val="9"/>
    <w:unhideWhenUsed/>
    <w:qFormat/>
    <w:rsid w:val="00D91A22"/>
    <w:pPr>
      <w:ind w:left="709"/>
      <w:outlineLvl w:val="3"/>
    </w:pPr>
    <w:rPr>
      <w:b/>
      <w:color w:val="1F144A"/>
      <w:szCs w:val="20"/>
    </w:rPr>
  </w:style>
  <w:style w:type="paragraph" w:styleId="Heading5">
    <w:name w:val="heading 5"/>
    <w:basedOn w:val="Heading2Left"/>
    <w:next w:val="Normal"/>
    <w:link w:val="Heading5Char"/>
    <w:uiPriority w:val="9"/>
    <w:unhideWhenUsed/>
    <w:qFormat/>
    <w:rsid w:val="00E271DA"/>
    <w:pPr>
      <w:numPr>
        <w:ilvl w:val="0"/>
        <w:numId w:val="0"/>
      </w:numPr>
      <w:outlineLvl w:val="4"/>
    </w:pPr>
  </w:style>
  <w:style w:type="paragraph" w:styleId="Heading6">
    <w:name w:val="heading 6"/>
    <w:basedOn w:val="Normal"/>
    <w:next w:val="Normal"/>
    <w:link w:val="Heading6Char"/>
    <w:uiPriority w:val="9"/>
    <w:unhideWhenUsed/>
    <w:rsid w:val="006D5B29"/>
    <w:pPr>
      <w:keepNext/>
      <w:keepLines/>
      <w:spacing w:before="40" w:after="0"/>
      <w:outlineLvl w:val="5"/>
    </w:pPr>
    <w:rPr>
      <w:rFonts w:asciiTheme="majorHAnsi" w:hAnsiTheme="majorHAnsi" w:eastAsiaTheme="majorEastAsia" w:cstheme="majorBidi"/>
      <w:color w:val="0F0A24"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340378"/>
    <w:rPr>
      <w:rFonts w:ascii="Lato" w:hAnsi="Lato"/>
      <w:b/>
      <w:color w:val="CA005D"/>
      <w:sz w:val="28"/>
    </w:rPr>
  </w:style>
  <w:style w:type="paragraph" w:styleId="ListParagraph">
    <w:name w:val="List Paragraph"/>
    <w:basedOn w:val="Normal"/>
    <w:link w:val="ListParagraphChar"/>
    <w:uiPriority w:val="34"/>
    <w:qFormat/>
    <w:rsid w:val="00EC1E79"/>
    <w:pPr>
      <w:numPr>
        <w:numId w:val="2"/>
      </w:numPr>
      <w:spacing w:after="160"/>
    </w:pPr>
    <w:rPr>
      <w:rFonts w:ascii="Lato Light" w:hAnsi="Lato Light"/>
    </w:rPr>
  </w:style>
  <w:style w:type="character" w:styleId="Heading1Char" w:customStyle="1">
    <w:name w:val="Heading 1 Char"/>
    <w:basedOn w:val="DefaultParagraphFont"/>
    <w:link w:val="Heading1"/>
    <w:uiPriority w:val="9"/>
    <w:rsid w:val="0015505B"/>
    <w:rPr>
      <w:rFonts w:ascii="Lato" w:hAnsi="Lato"/>
      <w:b/>
      <w:color w:val="1F144A"/>
      <w:sz w:val="36"/>
    </w:rPr>
  </w:style>
  <w:style w:type="character" w:styleId="Heading4Char" w:customStyle="1">
    <w:name w:val="Heading 4 Char"/>
    <w:basedOn w:val="DefaultParagraphFont"/>
    <w:link w:val="Heading4"/>
    <w:uiPriority w:val="9"/>
    <w:rsid w:val="00D91A22"/>
    <w:rPr>
      <w:rFonts w:ascii="Lato" w:hAnsi="Lato"/>
      <w:b/>
      <w:color w:val="1F144A"/>
      <w:szCs w:val="20"/>
    </w:rPr>
  </w:style>
  <w:style w:type="paragraph" w:styleId="Title">
    <w:name w:val="Title"/>
    <w:basedOn w:val="Normal"/>
    <w:next w:val="Normal"/>
    <w:link w:val="TitleChar"/>
    <w:uiPriority w:val="10"/>
    <w:qFormat/>
    <w:rsid w:val="00E341A3"/>
    <w:pPr>
      <w:contextualSpacing/>
      <w:jc w:val="center"/>
    </w:pPr>
    <w:rPr>
      <w:rFonts w:ascii="Lato bold" w:hAnsi="Lato bold" w:eastAsiaTheme="majorEastAsia" w:cstheme="majorBidi"/>
      <w:b/>
      <w:color w:val="FFFFFF" w:themeColor="background1"/>
      <w:spacing w:val="-10"/>
      <w:kern w:val="28"/>
      <w:sz w:val="84"/>
      <w:szCs w:val="56"/>
    </w:rPr>
  </w:style>
  <w:style w:type="character" w:styleId="TitleChar" w:customStyle="1">
    <w:name w:val="Title Char"/>
    <w:basedOn w:val="DefaultParagraphFont"/>
    <w:link w:val="Title"/>
    <w:uiPriority w:val="10"/>
    <w:rsid w:val="00E341A3"/>
    <w:rPr>
      <w:rFonts w:ascii="Lato bold" w:hAnsi="Lato bold" w:eastAsiaTheme="majorEastAsia" w:cstheme="majorBidi"/>
      <w:b/>
      <w:color w:val="FFFFFF" w:themeColor="background1"/>
      <w:spacing w:val="-10"/>
      <w:kern w:val="28"/>
      <w:sz w:val="84"/>
      <w:szCs w:val="56"/>
    </w:rPr>
  </w:style>
  <w:style w:type="character" w:styleId="Heading3Char" w:customStyle="1">
    <w:name w:val="Heading 3 Char"/>
    <w:basedOn w:val="DefaultParagraphFont"/>
    <w:link w:val="Heading3"/>
    <w:uiPriority w:val="9"/>
    <w:rsid w:val="00B26251"/>
    <w:rPr>
      <w:rFonts w:ascii="Lato" w:hAnsi="Lato"/>
      <w:b/>
      <w:color w:val="CA005D"/>
      <w:sz w:val="24"/>
    </w:rPr>
  </w:style>
  <w:style w:type="paragraph" w:styleId="TOC1">
    <w:name w:val="toc 1"/>
    <w:basedOn w:val="Normal"/>
    <w:next w:val="Normal"/>
    <w:autoRedefine/>
    <w:uiPriority w:val="39"/>
    <w:unhideWhenUsed/>
    <w:rsid w:val="003E07A0"/>
    <w:pPr>
      <w:tabs>
        <w:tab w:val="left" w:pos="1100"/>
        <w:tab w:val="right" w:leader="dot" w:pos="10194"/>
      </w:tabs>
      <w:spacing w:before="220" w:after="60"/>
      <w:ind w:left="567" w:hanging="567"/>
    </w:pPr>
    <w:rPr>
      <w:b/>
      <w:color w:val="1F144A"/>
      <w:sz w:val="36"/>
    </w:rPr>
  </w:style>
  <w:style w:type="paragraph" w:styleId="TOC2">
    <w:name w:val="toc 2"/>
    <w:basedOn w:val="Normal"/>
    <w:next w:val="Normal"/>
    <w:autoRedefine/>
    <w:uiPriority w:val="39"/>
    <w:unhideWhenUsed/>
    <w:rsid w:val="00CC3E79"/>
    <w:pPr>
      <w:spacing w:after="60"/>
      <w:ind w:left="1247" w:hanging="680"/>
    </w:pPr>
    <w:rPr>
      <w:b/>
      <w:color w:val="CA005D"/>
      <w:sz w:val="28"/>
    </w:rPr>
  </w:style>
  <w:style w:type="paragraph" w:styleId="BodyTextBold" w:customStyle="1">
    <w:name w:val="Body Text Bold"/>
    <w:basedOn w:val="Normal"/>
    <w:next w:val="Normal"/>
    <w:link w:val="BodyTextBoldChar"/>
    <w:qFormat/>
    <w:rsid w:val="005E3F7F"/>
    <w:pPr>
      <w:ind w:left="709"/>
    </w:pPr>
    <w:rPr>
      <w:b/>
      <w:bCs/>
    </w:rPr>
  </w:style>
  <w:style w:type="character" w:styleId="BodyTextBoldChar" w:customStyle="1">
    <w:name w:val="Body Text Bold Char"/>
    <w:basedOn w:val="DefaultParagraphFont"/>
    <w:link w:val="BodyTextBold"/>
    <w:rsid w:val="005E3F7F"/>
    <w:rPr>
      <w:rFonts w:ascii="Lato" w:hAnsi="Lato"/>
      <w:b/>
      <w:bCs/>
    </w:rPr>
  </w:style>
  <w:style w:type="paragraph" w:styleId="BodyTextLight" w:customStyle="1">
    <w:name w:val="Body Text Light"/>
    <w:basedOn w:val="Normal"/>
    <w:link w:val="BodyTextLightChar"/>
    <w:qFormat/>
    <w:rsid w:val="005B1761"/>
    <w:pPr>
      <w:ind w:left="709"/>
    </w:pPr>
    <w:rPr>
      <w:rFonts w:ascii="Lato Light" w:hAnsi="Lato Light"/>
    </w:rPr>
  </w:style>
  <w:style w:type="character" w:styleId="BodyTextLightChar" w:customStyle="1">
    <w:name w:val="Body Text Light Char"/>
    <w:basedOn w:val="DefaultParagraphFont"/>
    <w:link w:val="BodyTextLight"/>
    <w:rsid w:val="005B1761"/>
    <w:rPr>
      <w:rFonts w:ascii="Lato Light" w:hAnsi="Lato Light"/>
    </w:rPr>
  </w:style>
  <w:style w:type="table" w:styleId="TableGrid">
    <w:name w:val="Table Grid"/>
    <w:aliases w:val="Table Style Purple"/>
    <w:basedOn w:val="TableNormal"/>
    <w:uiPriority w:val="39"/>
    <w:rsid w:val="00E44F08"/>
    <w:pPr>
      <w:spacing w:after="0" w:line="240" w:lineRule="auto"/>
    </w:pPr>
    <w:rPr>
      <w:rFonts w:ascii="Lato Light" w:hAnsi="Lato Light"/>
      <w:sz w:val="18"/>
    </w:rPr>
    <w:tblPr>
      <w:tblBorders>
        <w:insideH w:val="single" w:color="FFFFFF" w:themeColor="background1" w:sz="18" w:space="0"/>
      </w:tblBorders>
    </w:tblPr>
    <w:tcPr>
      <w:shd w:val="clear" w:color="auto" w:fill="E3E5E2"/>
      <w:tcMar>
        <w:top w:w="113" w:type="dxa"/>
        <w:left w:w="198" w:type="dxa"/>
      </w:tcMar>
    </w:tcPr>
    <w:tblStylePr w:type="firstRow">
      <w:rPr>
        <w:rFonts w:asciiTheme="majorHAnsi" w:hAnsiTheme="majorHAnsi"/>
        <w:b/>
        <w:sz w:val="22"/>
      </w:rPr>
      <w:tblPr/>
      <w:tcPr>
        <w:shd w:val="clear" w:color="auto" w:fill="5C2071"/>
      </w:tcPr>
    </w:tblStylePr>
    <w:tblStylePr w:type="lastRow">
      <w:rPr>
        <w:rFonts w:ascii="Bradley Hand ITC" w:hAnsi="Bradley Hand ITC"/>
      </w:rPr>
    </w:tblStylePr>
  </w:style>
  <w:style w:type="table" w:styleId="GridTable4-Accent3">
    <w:name w:val="Grid Table 4 Accent 3"/>
    <w:basedOn w:val="TableNormal"/>
    <w:uiPriority w:val="49"/>
    <w:rsid w:val="00E71D04"/>
    <w:pPr>
      <w:spacing w:after="0" w:line="240" w:lineRule="auto"/>
    </w:pPr>
    <w:tblPr>
      <w:tblStyleRowBandSize w:val="1"/>
      <w:tblStyleColBandSize w:val="1"/>
      <w:tblBorders>
        <w:top w:val="single" w:color="FF469A" w:themeColor="accent3" w:themeTint="99" w:sz="4" w:space="0"/>
        <w:left w:val="single" w:color="FF469A" w:themeColor="accent3" w:themeTint="99" w:sz="4" w:space="0"/>
        <w:bottom w:val="single" w:color="FF469A" w:themeColor="accent3" w:themeTint="99" w:sz="4" w:space="0"/>
        <w:right w:val="single" w:color="FF469A" w:themeColor="accent3" w:themeTint="99" w:sz="4" w:space="0"/>
        <w:insideH w:val="single" w:color="FF469A" w:themeColor="accent3" w:themeTint="99" w:sz="4" w:space="0"/>
        <w:insideV w:val="single" w:color="FF469A" w:themeColor="accent3" w:themeTint="99" w:sz="4" w:space="0"/>
      </w:tblBorders>
    </w:tblPr>
    <w:tblStylePr w:type="firstRow">
      <w:rPr>
        <w:b/>
        <w:bCs/>
        <w:color w:val="FFFFFF" w:themeColor="background1"/>
      </w:rPr>
      <w:tblPr/>
      <w:tcPr>
        <w:tcBorders>
          <w:top w:val="single" w:color="CA005D" w:themeColor="accent3" w:sz="4" w:space="0"/>
          <w:left w:val="single" w:color="CA005D" w:themeColor="accent3" w:sz="4" w:space="0"/>
          <w:bottom w:val="single" w:color="CA005D" w:themeColor="accent3" w:sz="4" w:space="0"/>
          <w:right w:val="single" w:color="CA005D" w:themeColor="accent3" w:sz="4" w:space="0"/>
          <w:insideH w:val="nil"/>
          <w:insideV w:val="nil"/>
        </w:tcBorders>
        <w:shd w:val="clear" w:color="auto" w:fill="CA005D" w:themeFill="accent3"/>
      </w:tcPr>
    </w:tblStylePr>
    <w:tblStylePr w:type="lastRow">
      <w:rPr>
        <w:b/>
        <w:bCs/>
      </w:rPr>
      <w:tblPr/>
      <w:tcPr>
        <w:tcBorders>
          <w:top w:val="double" w:color="CA005D" w:themeColor="accent3" w:sz="4" w:space="0"/>
        </w:tcBorders>
      </w:tcPr>
    </w:tblStylePr>
    <w:tblStylePr w:type="firstCol">
      <w:rPr>
        <w:b/>
        <w:bCs/>
      </w:rPr>
    </w:tblStylePr>
    <w:tblStylePr w:type="lastCol">
      <w:rPr>
        <w:b/>
        <w:bCs/>
      </w:rPr>
    </w:tblStylePr>
    <w:tblStylePr w:type="band1Vert">
      <w:tblPr/>
      <w:tcPr>
        <w:shd w:val="clear" w:color="auto" w:fill="FFC1DD" w:themeFill="accent3" w:themeFillTint="33"/>
      </w:tcPr>
    </w:tblStylePr>
    <w:tblStylePr w:type="band1Horz">
      <w:tblPr/>
      <w:tcPr>
        <w:shd w:val="clear" w:color="auto" w:fill="FFC1DD" w:themeFill="accent3" w:themeFillTint="33"/>
      </w:tcPr>
    </w:tblStylePr>
  </w:style>
  <w:style w:type="paragraph" w:styleId="Header">
    <w:name w:val="header"/>
    <w:basedOn w:val="Normal"/>
    <w:link w:val="HeaderChar"/>
    <w:uiPriority w:val="99"/>
    <w:unhideWhenUsed/>
    <w:rsid w:val="009001BF"/>
    <w:pPr>
      <w:tabs>
        <w:tab w:val="center" w:pos="4513"/>
        <w:tab w:val="right" w:pos="9026"/>
      </w:tabs>
    </w:pPr>
  </w:style>
  <w:style w:type="character" w:styleId="HeaderChar" w:customStyle="1">
    <w:name w:val="Header Char"/>
    <w:basedOn w:val="DefaultParagraphFont"/>
    <w:link w:val="Header"/>
    <w:uiPriority w:val="99"/>
    <w:rsid w:val="009001BF"/>
    <w:rPr>
      <w:rFonts w:ascii="Lato" w:hAnsi="Lato"/>
    </w:rPr>
  </w:style>
  <w:style w:type="paragraph" w:styleId="Footer">
    <w:name w:val="footer"/>
    <w:basedOn w:val="Normal"/>
    <w:link w:val="FooterChar"/>
    <w:uiPriority w:val="99"/>
    <w:unhideWhenUsed/>
    <w:rsid w:val="000C3D99"/>
    <w:pPr>
      <w:tabs>
        <w:tab w:val="center" w:pos="5103"/>
        <w:tab w:val="right" w:pos="10204"/>
      </w:tabs>
      <w:spacing w:before="220"/>
    </w:pPr>
  </w:style>
  <w:style w:type="character" w:styleId="FooterChar" w:customStyle="1">
    <w:name w:val="Footer Char"/>
    <w:basedOn w:val="DefaultParagraphFont"/>
    <w:link w:val="Footer"/>
    <w:uiPriority w:val="99"/>
    <w:rsid w:val="000C3D99"/>
    <w:rPr>
      <w:rFonts w:ascii="Lato" w:hAnsi="Lato"/>
    </w:rPr>
  </w:style>
  <w:style w:type="paragraph" w:styleId="CoverAuthorDetails" w:customStyle="1">
    <w:name w:val="Cover Author Details"/>
    <w:basedOn w:val="Normal"/>
    <w:link w:val="CoverAuthorDetailsChar"/>
    <w:qFormat/>
    <w:rsid w:val="00B83AA4"/>
    <w:pPr>
      <w:spacing w:before="20" w:after="20"/>
    </w:pPr>
    <w:rPr>
      <w:b/>
      <w:bCs/>
      <w:color w:val="1F144A"/>
      <w:sz w:val="28"/>
      <w:szCs w:val="24"/>
    </w:rPr>
  </w:style>
  <w:style w:type="paragraph" w:styleId="Numbering" w:customStyle="1">
    <w:name w:val="Numbering"/>
    <w:basedOn w:val="ListParagraph"/>
    <w:link w:val="NumberingChar"/>
    <w:qFormat/>
    <w:rsid w:val="006D2805"/>
    <w:pPr>
      <w:numPr>
        <w:numId w:val="3"/>
      </w:numPr>
    </w:pPr>
  </w:style>
  <w:style w:type="paragraph" w:styleId="ListLettering" w:customStyle="1">
    <w:name w:val="List Lettering"/>
    <w:basedOn w:val="ListParagraph"/>
    <w:link w:val="ListLetteringChar"/>
    <w:qFormat/>
    <w:rsid w:val="00453BD6"/>
    <w:pPr>
      <w:numPr>
        <w:numId w:val="4"/>
      </w:numPr>
    </w:pPr>
  </w:style>
  <w:style w:type="character" w:styleId="ListParagraphChar" w:customStyle="1">
    <w:name w:val="List Paragraph Char"/>
    <w:basedOn w:val="DefaultParagraphFont"/>
    <w:link w:val="ListParagraph"/>
    <w:uiPriority w:val="34"/>
    <w:rsid w:val="00EC1E79"/>
    <w:rPr>
      <w:rFonts w:ascii="Lato Light" w:hAnsi="Lato Light"/>
    </w:rPr>
  </w:style>
  <w:style w:type="character" w:styleId="NumberingChar" w:customStyle="1">
    <w:name w:val="Numbering Char"/>
    <w:basedOn w:val="ListParagraphChar"/>
    <w:link w:val="Numbering"/>
    <w:rsid w:val="006D2805"/>
    <w:rPr>
      <w:rFonts w:ascii="Lato Light" w:hAnsi="Lato Light"/>
    </w:rPr>
  </w:style>
  <w:style w:type="character" w:styleId="ListLetteringChar" w:customStyle="1">
    <w:name w:val="List Lettering Char"/>
    <w:basedOn w:val="ListParagraphChar"/>
    <w:link w:val="ListLettering"/>
    <w:rsid w:val="00453BD6"/>
    <w:rPr>
      <w:rFonts w:ascii="Lato Light" w:hAnsi="Lato Light"/>
    </w:rPr>
  </w:style>
  <w:style w:type="paragraph" w:styleId="ListCross" w:customStyle="1">
    <w:name w:val="List Cross"/>
    <w:basedOn w:val="Normal"/>
    <w:link w:val="ListCrossChar"/>
    <w:qFormat/>
    <w:rsid w:val="005944A3"/>
    <w:pPr>
      <w:numPr>
        <w:numId w:val="6"/>
      </w:numPr>
    </w:pPr>
  </w:style>
  <w:style w:type="paragraph" w:styleId="ListTick" w:customStyle="1">
    <w:name w:val="List Tick"/>
    <w:basedOn w:val="Normal"/>
    <w:link w:val="ListTickChar"/>
    <w:qFormat/>
    <w:rsid w:val="008E36F2"/>
    <w:pPr>
      <w:numPr>
        <w:numId w:val="5"/>
      </w:numPr>
    </w:pPr>
  </w:style>
  <w:style w:type="character" w:styleId="ListCrossChar" w:customStyle="1">
    <w:name w:val="List Cross Char"/>
    <w:basedOn w:val="DefaultParagraphFont"/>
    <w:link w:val="ListCross"/>
    <w:rsid w:val="005944A3"/>
    <w:rPr>
      <w:rFonts w:ascii="Lato" w:hAnsi="Lato"/>
    </w:rPr>
  </w:style>
  <w:style w:type="character" w:styleId="Heading5Char" w:customStyle="1">
    <w:name w:val="Heading 5 Char"/>
    <w:basedOn w:val="DefaultParagraphFont"/>
    <w:link w:val="Heading5"/>
    <w:uiPriority w:val="9"/>
    <w:rsid w:val="00E271DA"/>
    <w:rPr>
      <w:rFonts w:ascii="Lato" w:hAnsi="Lato"/>
      <w:b/>
      <w:color w:val="CA005D"/>
      <w:sz w:val="28"/>
    </w:rPr>
  </w:style>
  <w:style w:type="character" w:styleId="ListTickChar" w:customStyle="1">
    <w:name w:val="List Tick Char"/>
    <w:basedOn w:val="DefaultParagraphFont"/>
    <w:link w:val="ListTick"/>
    <w:rsid w:val="008E36F2"/>
    <w:rPr>
      <w:rFonts w:ascii="Lato" w:hAnsi="Lato"/>
    </w:rPr>
  </w:style>
  <w:style w:type="paragraph" w:styleId="CaseStudyQuoteTitle" w:customStyle="1">
    <w:name w:val="Case Study / Quote Title"/>
    <w:basedOn w:val="Normal"/>
    <w:next w:val="Normal"/>
    <w:link w:val="CaseStudyQuoteTitleChar"/>
    <w:qFormat/>
    <w:rsid w:val="0036238B"/>
    <w:pPr>
      <w:spacing w:after="160"/>
    </w:pPr>
    <w:rPr>
      <w:rFonts w:ascii="Lato bold" w:hAnsi="Lato bold"/>
      <w:b/>
      <w:color w:val="1F144A"/>
      <w:sz w:val="36"/>
    </w:rPr>
  </w:style>
  <w:style w:type="paragraph" w:styleId="CaseStudy" w:customStyle="1">
    <w:name w:val="Case Study"/>
    <w:basedOn w:val="Normal"/>
    <w:next w:val="Normal"/>
    <w:link w:val="CaseStudyChar"/>
    <w:qFormat/>
    <w:rsid w:val="00945259"/>
    <w:rPr>
      <w:b/>
      <w:bCs/>
    </w:rPr>
  </w:style>
  <w:style w:type="character" w:styleId="CaseStudyQuoteTitleChar" w:customStyle="1">
    <w:name w:val="Case Study / Quote Title Char"/>
    <w:basedOn w:val="Heading5Char"/>
    <w:link w:val="CaseStudyQuoteTitle"/>
    <w:rsid w:val="0036238B"/>
    <w:rPr>
      <w:rFonts w:ascii="Lato" w:hAnsi="Lato"/>
      <w:b w:val="0"/>
      <w:color w:val="CA005D"/>
      <w:sz w:val="36"/>
    </w:rPr>
  </w:style>
  <w:style w:type="paragraph" w:styleId="CaseStudyQuoteBullets" w:customStyle="1">
    <w:name w:val="Case Study / Quote Bullets"/>
    <w:basedOn w:val="ListParagraph"/>
    <w:link w:val="CaseStudyQuoteBulletsChar"/>
    <w:qFormat/>
    <w:rsid w:val="0051751F"/>
    <w:pPr>
      <w:numPr>
        <w:numId w:val="12"/>
      </w:numPr>
      <w:ind w:left="238" w:hanging="238"/>
      <w:contextualSpacing/>
    </w:pPr>
  </w:style>
  <w:style w:type="character" w:styleId="CaseStudyChar" w:customStyle="1">
    <w:name w:val="Case Study Char"/>
    <w:basedOn w:val="DefaultParagraphFont"/>
    <w:link w:val="CaseStudy"/>
    <w:rsid w:val="00945259"/>
    <w:rPr>
      <w:rFonts w:ascii="Lato" w:hAnsi="Lato"/>
      <w:b/>
      <w:bCs/>
    </w:rPr>
  </w:style>
  <w:style w:type="paragraph" w:styleId="Subtitle">
    <w:name w:val="Subtitle"/>
    <w:basedOn w:val="Normal"/>
    <w:next w:val="Normal"/>
    <w:link w:val="SubtitleChar"/>
    <w:uiPriority w:val="11"/>
    <w:qFormat/>
    <w:rsid w:val="00A31E63"/>
    <w:pPr>
      <w:numPr>
        <w:ilvl w:val="1"/>
      </w:numPr>
      <w:spacing w:after="160"/>
      <w:ind w:left="567"/>
      <w:contextualSpacing/>
      <w:jc w:val="center"/>
    </w:pPr>
    <w:rPr>
      <w:rFonts w:ascii="Lato bold" w:hAnsi="Lato bold" w:eastAsiaTheme="minorEastAsia"/>
      <w:b/>
      <w:color w:val="FFFFFF" w:themeColor="background1"/>
      <w:spacing w:val="15"/>
      <w:sz w:val="52"/>
      <w:szCs w:val="32"/>
    </w:rPr>
  </w:style>
  <w:style w:type="character" w:styleId="CaseStudyQuoteBulletsChar" w:customStyle="1">
    <w:name w:val="Case Study / Quote Bullets Char"/>
    <w:basedOn w:val="ListParagraphChar"/>
    <w:link w:val="CaseStudyQuoteBullets"/>
    <w:rsid w:val="0051751F"/>
    <w:rPr>
      <w:rFonts w:ascii="Lato Light" w:hAnsi="Lato Light"/>
    </w:rPr>
  </w:style>
  <w:style w:type="character" w:styleId="SubtitleChar" w:customStyle="1">
    <w:name w:val="Subtitle Char"/>
    <w:basedOn w:val="DefaultParagraphFont"/>
    <w:link w:val="Subtitle"/>
    <w:uiPriority w:val="11"/>
    <w:rsid w:val="00A31E63"/>
    <w:rPr>
      <w:rFonts w:ascii="Lato bold" w:hAnsi="Lato bold" w:eastAsiaTheme="minorEastAsia"/>
      <w:b/>
      <w:color w:val="FFFFFF" w:themeColor="background1"/>
      <w:spacing w:val="15"/>
      <w:sz w:val="52"/>
      <w:szCs w:val="32"/>
    </w:rPr>
  </w:style>
  <w:style w:type="paragraph" w:styleId="NormalBold" w:customStyle="1">
    <w:name w:val="Normal Bold"/>
    <w:basedOn w:val="Normal"/>
    <w:next w:val="Normal"/>
    <w:link w:val="NormalBoldChar"/>
    <w:qFormat/>
    <w:rsid w:val="00676EDA"/>
    <w:pPr>
      <w:spacing w:after="80"/>
    </w:pPr>
    <w:rPr>
      <w:rFonts w:ascii="Lato bold" w:hAnsi="Lato bold"/>
    </w:rPr>
  </w:style>
  <w:style w:type="paragraph" w:styleId="TOCHeading">
    <w:name w:val="TOC Heading"/>
    <w:basedOn w:val="Heading1"/>
    <w:next w:val="Normal"/>
    <w:uiPriority w:val="39"/>
    <w:unhideWhenUsed/>
    <w:qFormat/>
    <w:rsid w:val="007F5AC8"/>
    <w:pPr>
      <w:keepNext/>
      <w:keepLines/>
      <w:numPr>
        <w:numId w:val="0"/>
      </w:numPr>
      <w:spacing w:before="120" w:after="240" w:line="360" w:lineRule="auto"/>
      <w:outlineLvl w:val="9"/>
    </w:pPr>
    <w:rPr>
      <w:rFonts w:eastAsiaTheme="majorEastAsia" w:cstheme="majorBidi"/>
      <w:szCs w:val="32"/>
      <w:lang w:val="en-US"/>
    </w:rPr>
  </w:style>
  <w:style w:type="paragraph" w:styleId="NormalLight" w:customStyle="1">
    <w:name w:val="Normal Light"/>
    <w:basedOn w:val="Normal"/>
    <w:link w:val="NormalLightChar"/>
    <w:qFormat/>
    <w:rsid w:val="00920D74"/>
    <w:rPr>
      <w:rFonts w:ascii="Lato Light" w:hAnsi="Lato Light"/>
    </w:rPr>
  </w:style>
  <w:style w:type="paragraph" w:styleId="TOC3">
    <w:name w:val="toc 3"/>
    <w:basedOn w:val="Normal"/>
    <w:next w:val="Normal"/>
    <w:autoRedefine/>
    <w:uiPriority w:val="39"/>
    <w:unhideWhenUsed/>
    <w:rsid w:val="00CC3E79"/>
    <w:pPr>
      <w:spacing w:after="60"/>
      <w:ind w:left="567" w:firstLine="680"/>
    </w:pPr>
    <w:rPr>
      <w:b/>
      <w:color w:val="CA005D"/>
    </w:rPr>
  </w:style>
  <w:style w:type="character" w:styleId="Hyperlink">
    <w:name w:val="Hyperlink"/>
    <w:basedOn w:val="DefaultParagraphFont"/>
    <w:uiPriority w:val="99"/>
    <w:unhideWhenUsed/>
    <w:rsid w:val="00872D87"/>
    <w:rPr>
      <w:color w:val="1F144A" w:themeColor="hyperlink"/>
      <w:u w:val="single"/>
    </w:rPr>
  </w:style>
  <w:style w:type="table" w:styleId="TableStyle" w:customStyle="1">
    <w:name w:val="Table Style"/>
    <w:basedOn w:val="TableNormal"/>
    <w:uiPriority w:val="99"/>
    <w:rsid w:val="00097765"/>
    <w:pPr>
      <w:spacing w:after="0" w:line="240" w:lineRule="auto"/>
    </w:pPr>
    <w:rPr>
      <w:rFonts w:ascii="Lato" w:hAnsi="Lato"/>
    </w:rPr>
    <w:tblPr/>
  </w:style>
  <w:style w:type="table" w:styleId="PlainTable1">
    <w:name w:val="Plain Table 1"/>
    <w:basedOn w:val="TableNormal"/>
    <w:uiPriority w:val="41"/>
    <w:rsid w:val="00C05D8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rFonts w:ascii="Bookman Old Style" w:hAnsi="Bookman Old Style"/>
        <w:b/>
        <w:bCs/>
        <w:sz w:val="22"/>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1">
    <w:name w:val="Grid Table 4 Accent 1"/>
    <w:basedOn w:val="TableNormal"/>
    <w:uiPriority w:val="49"/>
    <w:rsid w:val="00430A55"/>
    <w:pPr>
      <w:spacing w:after="0" w:line="240" w:lineRule="auto"/>
    </w:pPr>
    <w:tblPr>
      <w:tblStyleRowBandSize w:val="1"/>
      <w:tblStyleColBandSize w:val="1"/>
      <w:tblBorders>
        <w:top w:val="single" w:color="573AC9" w:themeColor="accent1" w:themeTint="99" w:sz="4" w:space="0"/>
        <w:left w:val="single" w:color="573AC9" w:themeColor="accent1" w:themeTint="99" w:sz="4" w:space="0"/>
        <w:bottom w:val="single" w:color="573AC9" w:themeColor="accent1" w:themeTint="99" w:sz="4" w:space="0"/>
        <w:right w:val="single" w:color="573AC9" w:themeColor="accent1" w:themeTint="99" w:sz="4" w:space="0"/>
        <w:insideH w:val="single" w:color="573AC9" w:themeColor="accent1" w:themeTint="99" w:sz="4" w:space="0"/>
        <w:insideV w:val="single" w:color="573AC9" w:themeColor="accent1" w:themeTint="99" w:sz="4" w:space="0"/>
      </w:tblBorders>
    </w:tblPr>
    <w:tblStylePr w:type="firstRow">
      <w:rPr>
        <w:b/>
        <w:bCs/>
        <w:color w:val="FFFFFF" w:themeColor="background1"/>
      </w:rPr>
      <w:tblPr/>
      <w:tcPr>
        <w:tcBorders>
          <w:top w:val="single" w:color="1F144A" w:themeColor="accent1" w:sz="4" w:space="0"/>
          <w:left w:val="single" w:color="1F144A" w:themeColor="accent1" w:sz="4" w:space="0"/>
          <w:bottom w:val="single" w:color="1F144A" w:themeColor="accent1" w:sz="4" w:space="0"/>
          <w:right w:val="single" w:color="1F144A" w:themeColor="accent1" w:sz="4" w:space="0"/>
          <w:insideH w:val="nil"/>
          <w:insideV w:val="nil"/>
        </w:tcBorders>
        <w:shd w:val="clear" w:color="auto" w:fill="1F144A" w:themeFill="accent1"/>
      </w:tcPr>
    </w:tblStylePr>
    <w:tblStylePr w:type="lastRow">
      <w:rPr>
        <w:b/>
        <w:bCs/>
      </w:rPr>
      <w:tblPr/>
      <w:tcPr>
        <w:tcBorders>
          <w:top w:val="double" w:color="1F144A" w:themeColor="accent1" w:sz="4" w:space="0"/>
        </w:tcBorders>
      </w:tcPr>
    </w:tblStylePr>
    <w:tblStylePr w:type="firstCol">
      <w:rPr>
        <w:b/>
        <w:bCs/>
      </w:rPr>
    </w:tblStylePr>
    <w:tblStylePr w:type="lastCol">
      <w:rPr>
        <w:b/>
        <w:bCs/>
      </w:rPr>
    </w:tblStylePr>
    <w:tblStylePr w:type="band1Vert">
      <w:tblPr/>
      <w:tcPr>
        <w:shd w:val="clear" w:color="auto" w:fill="C6BDED" w:themeFill="accent1" w:themeFillTint="33"/>
      </w:tcPr>
    </w:tblStylePr>
    <w:tblStylePr w:type="band1Horz">
      <w:tblPr/>
      <w:tcPr>
        <w:shd w:val="clear" w:color="auto" w:fill="C6BDED" w:themeFill="accent1" w:themeFillTint="33"/>
      </w:tcPr>
    </w:tblStylePr>
  </w:style>
  <w:style w:type="paragraph" w:styleId="Caption">
    <w:name w:val="caption"/>
    <w:basedOn w:val="Normal"/>
    <w:next w:val="Normal"/>
    <w:uiPriority w:val="35"/>
    <w:unhideWhenUsed/>
    <w:qFormat/>
    <w:rsid w:val="008161FF"/>
    <w:pPr>
      <w:spacing w:before="240" w:after="200"/>
    </w:pPr>
    <w:rPr>
      <w:b/>
      <w:iCs/>
      <w:sz w:val="18"/>
      <w:szCs w:val="18"/>
    </w:rPr>
  </w:style>
  <w:style w:type="paragraph" w:styleId="ListBullet1" w:customStyle="1">
    <w:name w:val="List Bullet 1"/>
    <w:basedOn w:val="Normal"/>
    <w:link w:val="ListBullet1Char"/>
    <w:qFormat/>
    <w:rsid w:val="00AB6373"/>
    <w:pPr>
      <w:numPr>
        <w:numId w:val="7"/>
      </w:numPr>
      <w:ind w:left="170" w:hanging="170"/>
      <w:contextualSpacing/>
    </w:pPr>
  </w:style>
  <w:style w:type="paragraph" w:styleId="ListBullet2" w:customStyle="1">
    <w:name w:val="List Bullet2"/>
    <w:basedOn w:val="Normal"/>
    <w:link w:val="ListBullet2Char"/>
    <w:qFormat/>
    <w:rsid w:val="00AB6373"/>
    <w:pPr>
      <w:numPr>
        <w:numId w:val="8"/>
      </w:numPr>
      <w:ind w:left="170" w:hanging="170"/>
      <w:contextualSpacing/>
    </w:pPr>
  </w:style>
  <w:style w:type="character" w:styleId="ListBullet1Char" w:customStyle="1">
    <w:name w:val="List Bullet 1 Char"/>
    <w:basedOn w:val="DefaultParagraphFont"/>
    <w:link w:val="ListBullet1"/>
    <w:rsid w:val="00AB6373"/>
    <w:rPr>
      <w:rFonts w:ascii="Lato" w:hAnsi="Lato"/>
    </w:rPr>
  </w:style>
  <w:style w:type="character" w:styleId="ListBullet2Char" w:customStyle="1">
    <w:name w:val="List Bullet2 Char"/>
    <w:basedOn w:val="DefaultParagraphFont"/>
    <w:link w:val="ListBullet2"/>
    <w:rsid w:val="00AB6373"/>
    <w:rPr>
      <w:rFonts w:ascii="Lato" w:hAnsi="Lato"/>
    </w:rPr>
  </w:style>
  <w:style w:type="paragraph" w:styleId="ParagraphNunmbering" w:customStyle="1">
    <w:name w:val="Paragraph Nunmbering"/>
    <w:basedOn w:val="ListParagraph"/>
    <w:link w:val="ParagraphNunmberingChar"/>
    <w:qFormat/>
    <w:rsid w:val="00401B9A"/>
    <w:pPr>
      <w:numPr>
        <w:numId w:val="9"/>
      </w:numPr>
      <w:spacing w:after="180"/>
    </w:pPr>
    <w:rPr>
      <w:rFonts w:asciiTheme="minorHAnsi" w:hAnsiTheme="minorHAnsi"/>
      <w:b/>
      <w:bCs/>
    </w:rPr>
  </w:style>
  <w:style w:type="paragraph" w:styleId="Heading2Left" w:customStyle="1">
    <w:name w:val="Heading 2 Left"/>
    <w:basedOn w:val="Heading2"/>
    <w:link w:val="Heading2LeftChar"/>
    <w:rsid w:val="00067742"/>
    <w:pPr>
      <w:spacing w:before="60" w:after="200"/>
      <w:ind w:left="567" w:hanging="567"/>
    </w:pPr>
  </w:style>
  <w:style w:type="character" w:styleId="ParagraphNunmberingChar" w:customStyle="1">
    <w:name w:val="Paragraph Nunmbering Char"/>
    <w:basedOn w:val="ListParagraphChar"/>
    <w:link w:val="ParagraphNunmbering"/>
    <w:rsid w:val="00401B9A"/>
    <w:rPr>
      <w:rFonts w:ascii="Lato Light" w:hAnsi="Lato Light"/>
      <w:b/>
      <w:bCs/>
    </w:rPr>
  </w:style>
  <w:style w:type="paragraph" w:styleId="AppendixA" w:customStyle="1">
    <w:name w:val="Appendix A"/>
    <w:basedOn w:val="CaseStudyQuoteTitle"/>
    <w:next w:val="Normal"/>
    <w:link w:val="AppendixAChar"/>
    <w:qFormat/>
    <w:rsid w:val="006105E0"/>
    <w:pPr>
      <w:spacing w:before="180"/>
    </w:pPr>
  </w:style>
  <w:style w:type="character" w:styleId="Heading2LeftChar" w:customStyle="1">
    <w:name w:val="Heading 2 Left Char"/>
    <w:basedOn w:val="Heading2Char"/>
    <w:link w:val="Heading2Left"/>
    <w:rsid w:val="00067742"/>
    <w:rPr>
      <w:rFonts w:ascii="Lato" w:hAnsi="Lato"/>
      <w:b/>
      <w:color w:val="CA005D"/>
      <w:sz w:val="28"/>
    </w:rPr>
  </w:style>
  <w:style w:type="paragraph" w:styleId="AppendixSubtitle" w:customStyle="1">
    <w:name w:val="Appendix Subtitle"/>
    <w:basedOn w:val="CoverAuthorDetails"/>
    <w:next w:val="Normal"/>
    <w:link w:val="AppendixSubtitleChar"/>
    <w:qFormat/>
    <w:rsid w:val="000C43F4"/>
  </w:style>
  <w:style w:type="character" w:styleId="AppendixAChar" w:customStyle="1">
    <w:name w:val="Appendix A Char"/>
    <w:basedOn w:val="CaseStudyQuoteTitleChar"/>
    <w:link w:val="AppendixA"/>
    <w:rsid w:val="006105E0"/>
    <w:rPr>
      <w:rFonts w:ascii="Lato bold" w:hAnsi="Lato bold"/>
      <w:b/>
      <w:color w:val="1F144A"/>
      <w:sz w:val="36"/>
    </w:rPr>
  </w:style>
  <w:style w:type="paragraph" w:styleId="BorderBottom2" w:customStyle="1">
    <w:name w:val="Border Bottom 2"/>
    <w:basedOn w:val="Normal"/>
    <w:next w:val="Normal"/>
    <w:link w:val="BorderBottom2Char"/>
    <w:qFormat/>
    <w:rsid w:val="00E33D42"/>
    <w:pPr>
      <w:pBdr>
        <w:bottom w:val="single" w:color="1F144A" w:sz="8" w:space="1"/>
      </w:pBdr>
    </w:pPr>
  </w:style>
  <w:style w:type="character" w:styleId="CoverAuthorDetailsChar" w:customStyle="1">
    <w:name w:val="Cover Author Details Char"/>
    <w:basedOn w:val="DefaultParagraphFont"/>
    <w:link w:val="CoverAuthorDetails"/>
    <w:rsid w:val="00B83AA4"/>
    <w:rPr>
      <w:rFonts w:ascii="Lato" w:hAnsi="Lato"/>
      <w:b/>
      <w:bCs/>
      <w:color w:val="1F144A"/>
      <w:sz w:val="28"/>
      <w:szCs w:val="24"/>
    </w:rPr>
  </w:style>
  <w:style w:type="character" w:styleId="AppendixSubtitleChar" w:customStyle="1">
    <w:name w:val="Appendix Subtitle Char"/>
    <w:basedOn w:val="CoverAuthorDetailsChar"/>
    <w:link w:val="AppendixSubtitle"/>
    <w:rsid w:val="000C43F4"/>
    <w:rPr>
      <w:rFonts w:ascii="Lato" w:hAnsi="Lato"/>
      <w:b/>
      <w:bCs/>
      <w:color w:val="1F144A"/>
      <w:sz w:val="28"/>
      <w:szCs w:val="24"/>
    </w:rPr>
  </w:style>
  <w:style w:type="character" w:styleId="UnresolvedMention1" w:customStyle="1">
    <w:name w:val="Unresolved Mention1"/>
    <w:basedOn w:val="DefaultParagraphFont"/>
    <w:uiPriority w:val="99"/>
    <w:semiHidden/>
    <w:unhideWhenUsed/>
    <w:rsid w:val="00EE6023"/>
    <w:rPr>
      <w:color w:val="605E5C"/>
      <w:shd w:val="clear" w:color="auto" w:fill="E1DFDD"/>
    </w:rPr>
  </w:style>
  <w:style w:type="character" w:styleId="BorderBottom2Char" w:customStyle="1">
    <w:name w:val="Border Bottom 2 Char"/>
    <w:basedOn w:val="DefaultParagraphFont"/>
    <w:link w:val="BorderBottom2"/>
    <w:rsid w:val="00E33D42"/>
    <w:rPr>
      <w:rFonts w:ascii="Lato" w:hAnsi="Lato"/>
    </w:rPr>
  </w:style>
  <w:style w:type="character" w:styleId="FollowedHyperlink">
    <w:name w:val="FollowedHyperlink"/>
    <w:basedOn w:val="DefaultParagraphFont"/>
    <w:uiPriority w:val="99"/>
    <w:semiHidden/>
    <w:unhideWhenUsed/>
    <w:rsid w:val="004940E7"/>
    <w:rPr>
      <w:color w:val="8A9187" w:themeColor="followedHyperlink"/>
      <w:u w:val="single"/>
    </w:rPr>
  </w:style>
  <w:style w:type="paragraph" w:styleId="EndnoteText">
    <w:name w:val="endnote text"/>
    <w:basedOn w:val="Normal"/>
    <w:link w:val="EndnoteTextChar"/>
    <w:uiPriority w:val="99"/>
    <w:semiHidden/>
    <w:unhideWhenUsed/>
    <w:rsid w:val="006345E5"/>
    <w:pPr>
      <w:spacing w:after="0"/>
    </w:pPr>
    <w:rPr>
      <w:sz w:val="20"/>
      <w:szCs w:val="20"/>
    </w:rPr>
  </w:style>
  <w:style w:type="character" w:styleId="EndnoteTextChar" w:customStyle="1">
    <w:name w:val="Endnote Text Char"/>
    <w:basedOn w:val="DefaultParagraphFont"/>
    <w:link w:val="EndnoteText"/>
    <w:uiPriority w:val="99"/>
    <w:semiHidden/>
    <w:rsid w:val="006345E5"/>
    <w:rPr>
      <w:rFonts w:ascii="Lato" w:hAnsi="Lato"/>
      <w:sz w:val="20"/>
      <w:szCs w:val="20"/>
    </w:rPr>
  </w:style>
  <w:style w:type="character" w:styleId="EndnoteReference">
    <w:name w:val="endnote reference"/>
    <w:basedOn w:val="DefaultParagraphFont"/>
    <w:uiPriority w:val="99"/>
    <w:semiHidden/>
    <w:unhideWhenUsed/>
    <w:rsid w:val="006345E5"/>
    <w:rPr>
      <w:vertAlign w:val="superscript"/>
    </w:rPr>
  </w:style>
  <w:style w:type="paragraph" w:styleId="FootnoteText">
    <w:name w:val="footnote text"/>
    <w:basedOn w:val="Normal"/>
    <w:next w:val="Normal"/>
    <w:link w:val="FootnoteTextChar"/>
    <w:uiPriority w:val="99"/>
    <w:unhideWhenUsed/>
    <w:qFormat/>
    <w:rsid w:val="00BC29A8"/>
    <w:pPr>
      <w:spacing w:after="0"/>
    </w:pPr>
    <w:rPr>
      <w:rFonts w:ascii="Lato Light" w:hAnsi="Lato Light"/>
      <w:sz w:val="18"/>
      <w:szCs w:val="18"/>
    </w:rPr>
  </w:style>
  <w:style w:type="character" w:styleId="FootnoteTextChar" w:customStyle="1">
    <w:name w:val="Footnote Text Char"/>
    <w:basedOn w:val="DefaultParagraphFont"/>
    <w:link w:val="FootnoteText"/>
    <w:uiPriority w:val="99"/>
    <w:rsid w:val="00BC29A8"/>
    <w:rPr>
      <w:rFonts w:ascii="Lato Light" w:hAnsi="Lato Light"/>
      <w:sz w:val="18"/>
      <w:szCs w:val="18"/>
    </w:rPr>
  </w:style>
  <w:style w:type="character" w:styleId="FootnoteReference">
    <w:name w:val="footnote reference"/>
    <w:basedOn w:val="DefaultParagraphFont"/>
    <w:uiPriority w:val="99"/>
    <w:semiHidden/>
    <w:unhideWhenUsed/>
    <w:rsid w:val="00390AFA"/>
    <w:rPr>
      <w:bdr w:val="none" w:color="auto" w:sz="0" w:space="0"/>
      <w:vertAlign w:val="superscript"/>
    </w:rPr>
  </w:style>
  <w:style w:type="paragraph" w:styleId="BodyTextNormal" w:customStyle="1">
    <w:name w:val="Body Text Normal"/>
    <w:basedOn w:val="Normal"/>
    <w:link w:val="BodyTextNormalChar"/>
    <w:qFormat/>
    <w:rsid w:val="005B1761"/>
    <w:pPr>
      <w:ind w:left="709"/>
    </w:pPr>
  </w:style>
  <w:style w:type="character" w:styleId="NormalBoldChar" w:customStyle="1">
    <w:name w:val="Normal Bold Char"/>
    <w:basedOn w:val="DefaultParagraphFont"/>
    <w:link w:val="NormalBold"/>
    <w:rsid w:val="00676EDA"/>
    <w:rPr>
      <w:rFonts w:ascii="Lato bold" w:hAnsi="Lato bold"/>
    </w:rPr>
  </w:style>
  <w:style w:type="character" w:styleId="BodyTextNormalChar" w:customStyle="1">
    <w:name w:val="Body Text Normal Char"/>
    <w:basedOn w:val="DefaultParagraphFont"/>
    <w:link w:val="BodyTextNormal"/>
    <w:rsid w:val="005B1761"/>
    <w:rPr>
      <w:rFonts w:ascii="Lato" w:hAnsi="Lato"/>
    </w:rPr>
  </w:style>
  <w:style w:type="paragraph" w:styleId="ListRomanNumerals" w:customStyle="1">
    <w:name w:val="List Roman Numerals"/>
    <w:basedOn w:val="ListParagraph"/>
    <w:link w:val="ListRomanNumeralsChar"/>
    <w:qFormat/>
    <w:rsid w:val="00E75A2B"/>
    <w:pPr>
      <w:numPr>
        <w:numId w:val="11"/>
      </w:numPr>
      <w:spacing w:before="40" w:after="60"/>
    </w:pPr>
  </w:style>
  <w:style w:type="character" w:styleId="NormalLightChar" w:customStyle="1">
    <w:name w:val="Normal Light Char"/>
    <w:basedOn w:val="DefaultParagraphFont"/>
    <w:link w:val="NormalLight"/>
    <w:rsid w:val="00920D74"/>
    <w:rPr>
      <w:rFonts w:ascii="Lato Light" w:hAnsi="Lato Light"/>
    </w:rPr>
  </w:style>
  <w:style w:type="character" w:styleId="ListRomanNumeralsChar" w:customStyle="1">
    <w:name w:val="List Roman Numerals Char"/>
    <w:basedOn w:val="ListParagraphChar"/>
    <w:link w:val="ListRomanNumerals"/>
    <w:rsid w:val="00E75A2B"/>
    <w:rPr>
      <w:rFonts w:ascii="Lato Light" w:hAnsi="Lato Light"/>
    </w:rPr>
  </w:style>
  <w:style w:type="paragraph" w:styleId="NoSpacing">
    <w:name w:val="No Spacing"/>
    <w:link w:val="NoSpacingChar"/>
    <w:uiPriority w:val="1"/>
    <w:qFormat/>
    <w:rsid w:val="00D02C1A"/>
    <w:pPr>
      <w:spacing w:after="0" w:line="240" w:lineRule="auto"/>
    </w:pPr>
    <w:rPr>
      <w:rFonts w:ascii="Lato" w:hAnsi="Lato"/>
    </w:rPr>
  </w:style>
  <w:style w:type="paragraph" w:styleId="NoSpacingLight" w:customStyle="1">
    <w:name w:val="No Spacing Light"/>
    <w:basedOn w:val="NoSpacing"/>
    <w:link w:val="NoSpacingLightChar"/>
    <w:qFormat/>
    <w:rsid w:val="00CE12E4"/>
    <w:rPr>
      <w:rFonts w:ascii="Lato Light" w:hAnsi="Lato Light"/>
    </w:rPr>
  </w:style>
  <w:style w:type="character" w:styleId="NoSpacingChar" w:customStyle="1">
    <w:name w:val="No Spacing Char"/>
    <w:basedOn w:val="DefaultParagraphFont"/>
    <w:link w:val="NoSpacing"/>
    <w:uiPriority w:val="1"/>
    <w:rsid w:val="00CE12E4"/>
    <w:rPr>
      <w:rFonts w:ascii="Lato" w:hAnsi="Lato"/>
    </w:rPr>
  </w:style>
  <w:style w:type="character" w:styleId="NoSpacingLightChar" w:customStyle="1">
    <w:name w:val="No Spacing Light Char"/>
    <w:basedOn w:val="NoSpacingChar"/>
    <w:link w:val="NoSpacingLight"/>
    <w:rsid w:val="00CE12E4"/>
    <w:rPr>
      <w:rFonts w:ascii="Lato Light" w:hAnsi="Lato Light"/>
    </w:rPr>
  </w:style>
  <w:style w:type="character" w:styleId="Heading6Char" w:customStyle="1">
    <w:name w:val="Heading 6 Char"/>
    <w:basedOn w:val="DefaultParagraphFont"/>
    <w:link w:val="Heading6"/>
    <w:uiPriority w:val="9"/>
    <w:rsid w:val="006D5B29"/>
    <w:rPr>
      <w:rFonts w:asciiTheme="majorHAnsi" w:hAnsiTheme="majorHAnsi" w:eastAsiaTheme="majorEastAsia" w:cstheme="majorBidi"/>
      <w:color w:val="0F0A24" w:themeColor="accent1" w:themeShade="7F"/>
    </w:rPr>
  </w:style>
  <w:style w:type="character" w:styleId="PageNumber">
    <w:name w:val="page number"/>
    <w:basedOn w:val="DefaultParagraphFont"/>
    <w:uiPriority w:val="99"/>
    <w:semiHidden/>
    <w:unhideWhenUsed/>
    <w:rsid w:val="00F53637"/>
  </w:style>
  <w:style w:type="character" w:styleId="CommentReference">
    <w:name w:val="annotation reference"/>
    <w:basedOn w:val="DefaultParagraphFont"/>
    <w:uiPriority w:val="99"/>
    <w:semiHidden/>
    <w:unhideWhenUsed/>
    <w:rsid w:val="00861CFA"/>
    <w:rPr>
      <w:sz w:val="16"/>
      <w:szCs w:val="16"/>
    </w:rPr>
  </w:style>
  <w:style w:type="paragraph" w:styleId="CommentText">
    <w:name w:val="annotation text"/>
    <w:basedOn w:val="Normal"/>
    <w:link w:val="CommentTextChar"/>
    <w:uiPriority w:val="99"/>
    <w:unhideWhenUsed/>
    <w:rsid w:val="00861CFA"/>
    <w:pPr>
      <w:spacing w:after="160"/>
    </w:pPr>
    <w:rPr>
      <w:rFonts w:asciiTheme="minorHAnsi" w:hAnsiTheme="minorHAnsi"/>
      <w:sz w:val="20"/>
      <w:szCs w:val="20"/>
    </w:rPr>
  </w:style>
  <w:style w:type="character" w:styleId="CommentTextChar" w:customStyle="1">
    <w:name w:val="Comment Text Char"/>
    <w:basedOn w:val="DefaultParagraphFont"/>
    <w:link w:val="CommentText"/>
    <w:uiPriority w:val="99"/>
    <w:rsid w:val="00861CFA"/>
    <w:rPr>
      <w:sz w:val="20"/>
      <w:szCs w:val="20"/>
    </w:rPr>
  </w:style>
  <w:style w:type="paragraph" w:styleId="CommentSubject">
    <w:name w:val="annotation subject"/>
    <w:basedOn w:val="CommentText"/>
    <w:next w:val="CommentText"/>
    <w:link w:val="CommentSubjectChar"/>
    <w:uiPriority w:val="99"/>
    <w:semiHidden/>
    <w:unhideWhenUsed/>
    <w:rsid w:val="004E078E"/>
    <w:pPr>
      <w:spacing w:after="220"/>
    </w:pPr>
    <w:rPr>
      <w:rFonts w:ascii="Lato" w:hAnsi="Lato"/>
      <w:b/>
      <w:bCs/>
    </w:rPr>
  </w:style>
  <w:style w:type="character" w:styleId="CommentSubjectChar" w:customStyle="1">
    <w:name w:val="Comment Subject Char"/>
    <w:basedOn w:val="CommentTextChar"/>
    <w:link w:val="CommentSubject"/>
    <w:uiPriority w:val="99"/>
    <w:semiHidden/>
    <w:rsid w:val="004E078E"/>
    <w:rPr>
      <w:rFonts w:ascii="Lato" w:hAnsi="Lato"/>
      <w:b/>
      <w:bCs/>
      <w:sz w:val="20"/>
      <w:szCs w:val="20"/>
    </w:rPr>
  </w:style>
  <w:style w:type="character" w:styleId="ui-provider" w:customStyle="1">
    <w:name w:val="ui-provider"/>
    <w:basedOn w:val="DefaultParagraphFont"/>
    <w:rsid w:val="00954E85"/>
  </w:style>
  <w:style w:type="character" w:styleId="cf01" w:customStyle="1">
    <w:name w:val="cf01"/>
    <w:basedOn w:val="DefaultParagraphFont"/>
    <w:rsid w:val="003647E2"/>
    <w:rPr>
      <w:rFonts w:hint="default" w:ascii="Segoe UI" w:hAnsi="Segoe UI" w:cs="Segoe UI"/>
      <w:sz w:val="18"/>
      <w:szCs w:val="18"/>
    </w:rPr>
  </w:style>
  <w:style w:type="character" w:styleId="normaltextrun" w:customStyle="1">
    <w:name w:val="normaltextrun"/>
    <w:basedOn w:val="DefaultParagraphFont"/>
    <w:rsid w:val="003647E2"/>
  </w:style>
  <w:style w:type="character" w:styleId="findhit" w:customStyle="1">
    <w:name w:val="findhit"/>
    <w:basedOn w:val="DefaultParagraphFont"/>
    <w:rsid w:val="003647E2"/>
  </w:style>
  <w:style w:type="character" w:styleId="Mention">
    <w:name w:val="Mention"/>
    <w:basedOn w:val="DefaultParagraphFont"/>
    <w:uiPriority w:val="99"/>
    <w:unhideWhenUsed/>
    <w:rsid w:val="00072191"/>
    <w:rPr>
      <w:color w:val="2B579A"/>
      <w:shd w:val="clear" w:color="auto" w:fill="E1DFDD"/>
    </w:rPr>
  </w:style>
  <w:style w:type="character" w:styleId="UnresolvedMention">
    <w:name w:val="Unresolved Mention"/>
    <w:basedOn w:val="DefaultParagraphFont"/>
    <w:uiPriority w:val="99"/>
    <w:rsid w:val="00446C41"/>
    <w:rPr>
      <w:color w:val="605E5C"/>
      <w:shd w:val="clear" w:color="auto" w:fill="E1DFDD"/>
    </w:rPr>
  </w:style>
  <w:style w:type="paragraph" w:styleId="Revision">
    <w:name w:val="Revision"/>
    <w:hidden/>
    <w:uiPriority w:val="99"/>
    <w:semiHidden/>
    <w:rsid w:val="007A11C4"/>
    <w:pPr>
      <w:spacing w:after="0" w:line="240" w:lineRule="auto"/>
    </w:pPr>
    <w:rPr>
      <w:rFonts w:ascii="Lato" w:hAnsi="Lato"/>
    </w:rPr>
  </w:style>
  <w:style w:type="paragraph" w:styleId="Default" w:customStyle="1">
    <w:name w:val="Default"/>
    <w:rsid w:val="002F0F04"/>
    <w:pPr>
      <w:autoSpaceDE w:val="0"/>
      <w:autoSpaceDN w:val="0"/>
      <w:adjustRightInd w:val="0"/>
      <w:spacing w:after="0" w:line="240" w:lineRule="auto"/>
    </w:pPr>
    <w:rPr>
      <w:rFonts w:ascii="Lato" w:hAnsi="Lato" w:cs="Lato"/>
      <w:color w:val="000000"/>
      <w:sz w:val="24"/>
      <w:szCs w:val="24"/>
    </w:rPr>
  </w:style>
  <w:style w:type="character" w:styleId="A2" w:customStyle="1">
    <w:name w:val="A2"/>
    <w:uiPriority w:val="99"/>
    <w:rsid w:val="002F0F04"/>
    <w:rPr>
      <w:rFonts w:cs="Lato"/>
      <w:color w:val="000000"/>
      <w:sz w:val="12"/>
      <w:szCs w:val="1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4870">
      <w:bodyDiv w:val="1"/>
      <w:marLeft w:val="0"/>
      <w:marRight w:val="0"/>
      <w:marTop w:val="0"/>
      <w:marBottom w:val="0"/>
      <w:divBdr>
        <w:top w:val="none" w:sz="0" w:space="0" w:color="auto"/>
        <w:left w:val="none" w:sz="0" w:space="0" w:color="auto"/>
        <w:bottom w:val="none" w:sz="0" w:space="0" w:color="auto"/>
        <w:right w:val="none" w:sz="0" w:space="0" w:color="auto"/>
      </w:divBdr>
    </w:div>
    <w:div w:id="789977997">
      <w:bodyDiv w:val="1"/>
      <w:marLeft w:val="0"/>
      <w:marRight w:val="0"/>
      <w:marTop w:val="0"/>
      <w:marBottom w:val="0"/>
      <w:divBdr>
        <w:top w:val="none" w:sz="0" w:space="0" w:color="auto"/>
        <w:left w:val="none" w:sz="0" w:space="0" w:color="auto"/>
        <w:bottom w:val="none" w:sz="0" w:space="0" w:color="auto"/>
        <w:right w:val="none" w:sz="0" w:space="0" w:color="auto"/>
      </w:divBdr>
    </w:div>
    <w:div w:id="1224488347">
      <w:bodyDiv w:val="1"/>
      <w:marLeft w:val="0"/>
      <w:marRight w:val="0"/>
      <w:marTop w:val="0"/>
      <w:marBottom w:val="0"/>
      <w:divBdr>
        <w:top w:val="none" w:sz="0" w:space="0" w:color="auto"/>
        <w:left w:val="none" w:sz="0" w:space="0" w:color="auto"/>
        <w:bottom w:val="none" w:sz="0" w:space="0" w:color="auto"/>
        <w:right w:val="none" w:sz="0" w:space="0" w:color="auto"/>
      </w:divBdr>
    </w:div>
    <w:div w:id="1464348585">
      <w:bodyDiv w:val="1"/>
      <w:marLeft w:val="0"/>
      <w:marRight w:val="0"/>
      <w:marTop w:val="0"/>
      <w:marBottom w:val="0"/>
      <w:divBdr>
        <w:top w:val="none" w:sz="0" w:space="0" w:color="auto"/>
        <w:left w:val="none" w:sz="0" w:space="0" w:color="auto"/>
        <w:bottom w:val="none" w:sz="0" w:space="0" w:color="auto"/>
        <w:right w:val="none" w:sz="0" w:space="0" w:color="auto"/>
      </w:divBdr>
    </w:div>
    <w:div w:id="1509061372">
      <w:bodyDiv w:val="1"/>
      <w:marLeft w:val="0"/>
      <w:marRight w:val="0"/>
      <w:marTop w:val="0"/>
      <w:marBottom w:val="0"/>
      <w:divBdr>
        <w:top w:val="none" w:sz="0" w:space="0" w:color="auto"/>
        <w:left w:val="none" w:sz="0" w:space="0" w:color="auto"/>
        <w:bottom w:val="none" w:sz="0" w:space="0" w:color="auto"/>
        <w:right w:val="none" w:sz="0" w:space="0" w:color="auto"/>
      </w:divBdr>
    </w:div>
    <w:div w:id="1673332214">
      <w:bodyDiv w:val="1"/>
      <w:marLeft w:val="0"/>
      <w:marRight w:val="0"/>
      <w:marTop w:val="0"/>
      <w:marBottom w:val="0"/>
      <w:divBdr>
        <w:top w:val="none" w:sz="0" w:space="0" w:color="auto"/>
        <w:left w:val="none" w:sz="0" w:space="0" w:color="auto"/>
        <w:bottom w:val="none" w:sz="0" w:space="0" w:color="auto"/>
        <w:right w:val="none" w:sz="0" w:space="0" w:color="auto"/>
      </w:divBdr>
    </w:div>
    <w:div w:id="211393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www.ofgem.gov.uk/publications/consent-granted-dcc-under-conditions-9-and-10-smart-meter-communication-licence-and-section-m43-smart-energy-code-august-2023" TargetMode="External"/><Relationship Id="rId2" Type="http://schemas.openxmlformats.org/officeDocument/2006/relationships/hyperlink" Target="https://www.which.co.uk/policy-and-insight/article/consumer-trust-in-business-august-2022-agqR01l7Aohw" TargetMode="External"/><Relationship Id="rId1" Type="http://schemas.openxmlformats.org/officeDocument/2006/relationships/hyperlink" Target="https://esc-production-2021.s3.eu-west-2.amazonaws.com/wp-content/uploads/2023/10/02105855/Data-For-Good-Final.pdf" TargetMode="External"/><Relationship Id="rId4" Type="http://schemas.openxmlformats.org/officeDocument/2006/relationships/hyperlink" Target="https://ssen-innovation.co.uk/sif/vivi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DCC Theme">
      <a:dk1>
        <a:sysClr val="windowText" lastClr="000000"/>
      </a:dk1>
      <a:lt1>
        <a:sysClr val="window" lastClr="FFFFFF"/>
      </a:lt1>
      <a:dk2>
        <a:srgbClr val="44546A"/>
      </a:dk2>
      <a:lt2>
        <a:srgbClr val="E7E6E6"/>
      </a:lt2>
      <a:accent1>
        <a:srgbClr val="1F144A"/>
      </a:accent1>
      <a:accent2>
        <a:srgbClr val="861889"/>
      </a:accent2>
      <a:accent3>
        <a:srgbClr val="CA005D"/>
      </a:accent3>
      <a:accent4>
        <a:srgbClr val="9CA299"/>
      </a:accent4>
      <a:accent5>
        <a:srgbClr val="95C11F"/>
      </a:accent5>
      <a:accent6>
        <a:srgbClr val="F39200"/>
      </a:accent6>
      <a:hlink>
        <a:srgbClr val="1F144A"/>
      </a:hlink>
      <a:folHlink>
        <a:srgbClr val="8A9187"/>
      </a:folHlink>
    </a:clrScheme>
    <a:fontScheme name="DCC Font">
      <a:majorFont>
        <a:latin typeface="Lato"/>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SharedWithUsers xmlns="038f6385-163d-4837-a2ce-e161dcb09188">
      <UserInfo>
        <DisplayName>Ringrow, James (DCC)</DisplayName>
        <AccountId>15</AccountId>
        <AccountType/>
      </UserInfo>
      <UserInfo>
        <DisplayName>Nampijja-Moleke, Susan (DCC)</DisplayName>
        <AccountId>72</AccountId>
        <AccountType/>
      </UserInfo>
      <UserInfo>
        <DisplayName>Ndlovu, Sifiso (DCC)</DisplayName>
        <AccountId>173</AccountId>
        <AccountType/>
      </UserInfo>
      <UserInfo>
        <DisplayName>Clark, Paul (DCC)</DisplayName>
        <AccountId>14</AccountId>
        <AccountType/>
      </UserInfo>
    </SharedWithUsers>
    <_ip_UnifiedCompliancePolicyUIAction xmlns="http://schemas.microsoft.com/sharepoint/v3" xsi:nil="true"/>
    <lcf76f155ced4ddcb4097134ff3c332f xmlns="b6cb9b8b-803b-4490-b567-e65a3085b720">
      <Terms xmlns="http://schemas.microsoft.com/office/infopath/2007/PartnerControls"/>
    </lcf76f155ced4ddcb4097134ff3c332f>
    <TaxCatchAll xmlns="038f6385-163d-4837-a2ce-e161dcb09188"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97A04BE4877B48AEC8623F331C2D9E" ma:contentTypeVersion="18" ma:contentTypeDescription="Create a new document." ma:contentTypeScope="" ma:versionID="fa24bdb57242fee6c5cff5358876d025">
  <xsd:schema xmlns:xsd="http://www.w3.org/2001/XMLSchema" xmlns:xs="http://www.w3.org/2001/XMLSchema" xmlns:p="http://schemas.microsoft.com/office/2006/metadata/properties" xmlns:ns1="http://schemas.microsoft.com/sharepoint/v3" xmlns:ns2="b6cb9b8b-803b-4490-b567-e65a3085b720" xmlns:ns3="038f6385-163d-4837-a2ce-e161dcb09188" targetNamespace="http://schemas.microsoft.com/office/2006/metadata/properties" ma:root="true" ma:fieldsID="4b1e923e2846548a0c8efc03e0dbb0c2" ns1:_="" ns2:_="" ns3:_="">
    <xsd:import namespace="http://schemas.microsoft.com/sharepoint/v3"/>
    <xsd:import namespace="b6cb9b8b-803b-4490-b567-e65a3085b720"/>
    <xsd:import namespace="038f6385-163d-4837-a2ce-e161dcb09188"/>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cb9b8b-803b-4490-b567-e65a3085b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8f6385-163d-4837-a2ce-e161dcb091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f0627aa-4a16-490b-be5e-4a848c379b08}" ma:internalName="TaxCatchAll" ma:showField="CatchAllData" ma:web="038f6385-163d-4837-a2ce-e161dcb091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410D5-ACB6-47D8-A1A3-A85E43E84A51}">
  <ds:schemaRefs>
    <ds:schemaRef ds:uri="http://schemas.microsoft.com/sharepoint/v3/contenttype/forms"/>
  </ds:schemaRefs>
</ds:datastoreItem>
</file>

<file path=customXml/itemProps2.xml><?xml version="1.0" encoding="utf-8"?>
<ds:datastoreItem xmlns:ds="http://schemas.openxmlformats.org/officeDocument/2006/customXml" ds:itemID="{52EAFC45-6589-4C6D-B3F3-7D9982433CC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7335B6A-DA78-41F6-BBB5-773ED1A3495A}">
  <ds:schemaRefs>
    <ds:schemaRef ds:uri="http://purl.org/dc/elements/1.1/"/>
    <ds:schemaRef ds:uri="http://schemas.microsoft.com/office/infopath/2007/PartnerControls"/>
    <ds:schemaRef ds:uri="72cd759a-33d4-4716-81b1-8de42c4f631b"/>
    <ds:schemaRef ds:uri="http://schemas.openxmlformats.org/package/2006/metadata/core-properties"/>
    <ds:schemaRef ds:uri="9f1c50ec-7a1a-47c0-9dac-5dfef2226497"/>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038f6385-163d-4837-a2ce-e161dcb09188"/>
    <ds:schemaRef ds:uri="http://schemas.microsoft.com/sharepoint/v3"/>
    <ds:schemaRef ds:uri="b6cb9b8b-803b-4490-b567-e65a3085b720"/>
  </ds:schemaRefs>
</ds:datastoreItem>
</file>

<file path=customXml/itemProps4.xml><?xml version="1.0" encoding="utf-8"?>
<ds:datastoreItem xmlns:ds="http://schemas.openxmlformats.org/officeDocument/2006/customXml" ds:itemID="{EF9CE587-1DDA-4189-9BA6-589DA2AE0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cb9b8b-803b-4490-b567-e65a3085b720"/>
    <ds:schemaRef ds:uri="038f6385-163d-4837-a2ce-e161dcb09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A794C2-5615-8341-BBF4-7BF98F0457A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Darren Hann</dc:creator>
  <keywords/>
  <dc:description/>
  <lastModifiedBy>Linsay Jones</lastModifiedBy>
  <revision>4</revision>
  <lastPrinted>2020-08-12T23:36:00.0000000Z</lastPrinted>
  <dcterms:created xsi:type="dcterms:W3CDTF">2024-02-08T16:33:00.0000000Z</dcterms:created>
  <dcterms:modified xsi:type="dcterms:W3CDTF">2024-02-20T14:56:48.0751016Z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0x010100B897A04BE4877B48AEC8623F331C2D9E</vt:lpwstr>
  </property>
  <property fmtid="{D5CDD505-2E9C-101B-9397-08002B2CF9AE}" pid="3" name="MSIP_Label_8a2b8bca-8558-4eb0-9160-cb4de095652d_Enabled">
    <vt:lpwstr>true</vt:lpwstr>
  </property>
  <property fmtid="{D5CDD505-2E9C-101B-9397-08002B2CF9AE}" pid="4" name="MSIP_Label_8a2b8bca-8558-4eb0-9160-cb4de095652d_SetDate">
    <vt:lpwstr>2024-01-10T10:25:51Z</vt:lpwstr>
  </property>
  <property fmtid="{D5CDD505-2E9C-101B-9397-08002B2CF9AE}" pid="5" name="MSIP_Label_8a2b8bca-8558-4eb0-9160-cb4de095652d_Method">
    <vt:lpwstr>Privileged</vt:lpwstr>
  </property>
  <property fmtid="{D5CDD505-2E9C-101B-9397-08002B2CF9AE}" pid="6" name="MSIP_Label_8a2b8bca-8558-4eb0-9160-cb4de095652d_Name">
    <vt:lpwstr>DCC_Controlled</vt:lpwstr>
  </property>
  <property fmtid="{D5CDD505-2E9C-101B-9397-08002B2CF9AE}" pid="7" name="MSIP_Label_8a2b8bca-8558-4eb0-9160-cb4de095652d_SiteId">
    <vt:lpwstr>d77ea84a-f7fd-4928-b8a3-64763b0a7710</vt:lpwstr>
  </property>
  <property fmtid="{D5CDD505-2E9C-101B-9397-08002B2CF9AE}" pid="8" name="MSIP_Label_8a2b8bca-8558-4eb0-9160-cb4de095652d_ActionId">
    <vt:lpwstr>962eab02-da57-48ca-a7b9-b55d14d05d55</vt:lpwstr>
  </property>
  <property fmtid="{D5CDD505-2E9C-101B-9397-08002B2CF9AE}" pid="9" name="MSIP_Label_8a2b8bca-8558-4eb0-9160-cb4de095652d_ContentBits">
    <vt:lpwstr>3</vt:lpwstr>
  </property>
  <property fmtid="{D5CDD505-2E9C-101B-9397-08002B2CF9AE}" pid="10" name="docIndexRef">
    <vt:lpwstr>f0d7aa53-b0bd-412f-a76c-be8aeacefff0</vt:lpwstr>
  </property>
  <property fmtid="{D5CDD505-2E9C-101B-9397-08002B2CF9AE}" pid="11" name="bjSaver">
    <vt:lpwstr>8Rl3BkrD3Bz6PwAqx3Sdq0c761u4O1X/</vt:lpwstr>
  </property>
  <property fmtid="{D5CDD505-2E9C-101B-9397-08002B2CF9AE}" pid="12" name="bjDocumentSecurityLabel">
    <vt:lpwstr>This item has no classification</vt:lpwstr>
  </property>
  <property fmtid="{D5CDD505-2E9C-101B-9397-08002B2CF9AE}" pid="13" name="bjClsUserRVM">
    <vt:lpwstr>[]</vt:lpwstr>
  </property>
  <property fmtid="{D5CDD505-2E9C-101B-9397-08002B2CF9AE}" pid="14" name="ClassificationContentMarkingFooterShapeIds">
    <vt:lpwstr>9,a,b</vt:lpwstr>
  </property>
  <property fmtid="{D5CDD505-2E9C-101B-9397-08002B2CF9AE}" pid="15" name="ClassificationContentMarkingFooterFontProps">
    <vt:lpwstr>#000000,10,Calibri</vt:lpwstr>
  </property>
  <property fmtid="{D5CDD505-2E9C-101B-9397-08002B2CF9AE}" pid="16" name="ClassificationContentMarkingFooterText">
    <vt:lpwstr>OFFICIAL-InternalOnly</vt:lpwstr>
  </property>
  <property fmtid="{D5CDD505-2E9C-101B-9397-08002B2CF9AE}" pid="17" name="MSIP_Label_38144ccb-b10a-4c0f-b070-7a3b00ac7463_Enabled">
    <vt:lpwstr>true</vt:lpwstr>
  </property>
  <property fmtid="{D5CDD505-2E9C-101B-9397-08002B2CF9AE}" pid="18" name="MSIP_Label_38144ccb-b10a-4c0f-b070-7a3b00ac7463_SetDate">
    <vt:lpwstr>2024-02-08T16:33:33Z</vt:lpwstr>
  </property>
  <property fmtid="{D5CDD505-2E9C-101B-9397-08002B2CF9AE}" pid="19" name="MSIP_Label_38144ccb-b10a-4c0f-b070-7a3b00ac7463_Method">
    <vt:lpwstr>Standard</vt:lpwstr>
  </property>
  <property fmtid="{D5CDD505-2E9C-101B-9397-08002B2CF9AE}" pid="20" name="MSIP_Label_38144ccb-b10a-4c0f-b070-7a3b00ac7463_Name">
    <vt:lpwstr>InternalOnly</vt:lpwstr>
  </property>
  <property fmtid="{D5CDD505-2E9C-101B-9397-08002B2CF9AE}" pid="21" name="MSIP_Label_38144ccb-b10a-4c0f-b070-7a3b00ac7463_SiteId">
    <vt:lpwstr>185562ad-39bc-4840-8e40-be6216340c52</vt:lpwstr>
  </property>
  <property fmtid="{D5CDD505-2E9C-101B-9397-08002B2CF9AE}" pid="22" name="MSIP_Label_38144ccb-b10a-4c0f-b070-7a3b00ac7463_ActionId">
    <vt:lpwstr>16a7c2f0-511c-4473-b694-bd6d796e082c</vt:lpwstr>
  </property>
  <property fmtid="{D5CDD505-2E9C-101B-9397-08002B2CF9AE}" pid="23" name="MSIP_Label_38144ccb-b10a-4c0f-b070-7a3b00ac7463_ContentBits">
    <vt:lpwstr>2</vt:lpwstr>
  </property>
  <property fmtid="{D5CDD505-2E9C-101B-9397-08002B2CF9AE}" pid="25" name="MediaServiceImageTags">
    <vt:lpwstr/>
  </property>
</Properties>
</file>