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413FF" w14:textId="77777777" w:rsidR="00F83D72" w:rsidRDefault="00F83D72"/>
    <w:p w14:paraId="69C00E67" w14:textId="0BFDE7D2" w:rsidR="003C7039" w:rsidRDefault="00BC119E" w:rsidP="003C7039">
      <w:pPr>
        <w:pStyle w:val="Title"/>
        <w:jc w:val="center"/>
      </w:pPr>
      <w:r>
        <w:t>Response to Standing Charges – Call for Input</w:t>
      </w:r>
    </w:p>
    <w:p w14:paraId="07F56D6C" w14:textId="77777777" w:rsidR="003C7039" w:rsidRDefault="003C7039" w:rsidP="003C7039"/>
    <w:sdt>
      <w:sdtPr>
        <w:rPr>
          <w:rFonts w:ascii="Arial" w:eastAsiaTheme="minorEastAsia" w:hAnsi="Arial" w:cstheme="minorBidi"/>
          <w:b w:val="0"/>
          <w:bCs w:val="0"/>
          <w:color w:val="4F81BD" w:themeColor="accent1"/>
          <w:sz w:val="20"/>
          <w:szCs w:val="22"/>
          <w:lang w:val="en-GB" w:eastAsia="en-GB"/>
        </w:rPr>
        <w:id w:val="-1419087908"/>
        <w:docPartObj>
          <w:docPartGallery w:val="Table of Contents"/>
          <w:docPartUnique/>
        </w:docPartObj>
      </w:sdtPr>
      <w:sdtEndPr>
        <w:rPr>
          <w:rFonts w:asciiTheme="minorHAnsi" w:eastAsiaTheme="minorHAnsi" w:hAnsiTheme="minorHAnsi"/>
          <w:noProof/>
          <w:sz w:val="22"/>
          <w:lang w:eastAsia="en-US"/>
        </w:rPr>
      </w:sdtEndPr>
      <w:sdtContent>
        <w:p w14:paraId="208D4F32" w14:textId="77777777" w:rsidR="003C7039" w:rsidRPr="003C7039" w:rsidRDefault="003C7039" w:rsidP="003C7039">
          <w:pPr>
            <w:pStyle w:val="TOCHeading"/>
            <w:rPr>
              <w:rStyle w:val="Heading2Char"/>
              <w:b/>
            </w:rPr>
          </w:pPr>
          <w:r w:rsidRPr="003C7039">
            <w:rPr>
              <w:rStyle w:val="Heading2Char"/>
              <w:b/>
            </w:rPr>
            <w:t>Contents</w:t>
          </w:r>
        </w:p>
        <w:p w14:paraId="2464A7CE" w14:textId="3FD5D095" w:rsidR="0064341C" w:rsidRDefault="003C7039">
          <w:pPr>
            <w:pStyle w:val="TOC2"/>
            <w:tabs>
              <w:tab w:val="right" w:leader="dot" w:pos="9016"/>
            </w:tabs>
            <w:rPr>
              <w:noProof/>
            </w:rPr>
          </w:pPr>
          <w:r w:rsidRPr="00B80921">
            <w:rPr>
              <w:rFonts w:ascii="Arial" w:eastAsiaTheme="minorEastAsia" w:hAnsi="Arial"/>
              <w:b/>
              <w:color w:val="404040" w:themeColor="text1" w:themeTint="BF"/>
              <w:lang w:eastAsia="en-GB"/>
            </w:rPr>
            <w:fldChar w:fldCharType="begin"/>
          </w:r>
          <w:r w:rsidRPr="00B73C3B">
            <w:rPr>
              <w:b/>
            </w:rPr>
            <w:instrText xml:space="preserve"> TOC \o "1-3" \h \z \u </w:instrText>
          </w:r>
          <w:r w:rsidRPr="00B80921">
            <w:rPr>
              <w:rFonts w:ascii="Arial" w:eastAsiaTheme="minorEastAsia" w:hAnsi="Arial"/>
              <w:b/>
              <w:color w:val="404040" w:themeColor="text1" w:themeTint="BF"/>
              <w:lang w:eastAsia="en-GB"/>
            </w:rPr>
            <w:fldChar w:fldCharType="separate"/>
          </w:r>
          <w:hyperlink w:anchor="_Toc152850902" w:history="1">
            <w:r w:rsidR="0064341C" w:rsidRPr="003170D3">
              <w:rPr>
                <w:rStyle w:val="Hyperlink"/>
                <w:noProof/>
              </w:rPr>
              <w:t>Question 14 - What issues affecting standing charges in the non-domestic retail sector should we consider further?</w:t>
            </w:r>
            <w:r w:rsidR="0064341C">
              <w:rPr>
                <w:noProof/>
                <w:webHidden/>
              </w:rPr>
              <w:tab/>
            </w:r>
            <w:r w:rsidR="0064341C">
              <w:rPr>
                <w:noProof/>
                <w:webHidden/>
              </w:rPr>
              <w:fldChar w:fldCharType="begin"/>
            </w:r>
            <w:r w:rsidR="0064341C">
              <w:rPr>
                <w:noProof/>
                <w:webHidden/>
              </w:rPr>
              <w:instrText xml:space="preserve"> PAGEREF _Toc152850902 \h </w:instrText>
            </w:r>
            <w:r w:rsidR="0064341C">
              <w:rPr>
                <w:noProof/>
                <w:webHidden/>
              </w:rPr>
            </w:r>
            <w:r w:rsidR="0064341C">
              <w:rPr>
                <w:noProof/>
                <w:webHidden/>
              </w:rPr>
              <w:fldChar w:fldCharType="separate"/>
            </w:r>
            <w:r w:rsidR="0064341C">
              <w:rPr>
                <w:noProof/>
                <w:webHidden/>
              </w:rPr>
              <w:t>2</w:t>
            </w:r>
            <w:r w:rsidR="0064341C">
              <w:rPr>
                <w:noProof/>
                <w:webHidden/>
              </w:rPr>
              <w:fldChar w:fldCharType="end"/>
            </w:r>
          </w:hyperlink>
        </w:p>
        <w:p w14:paraId="44863E23" w14:textId="522F2E65" w:rsidR="0064341C" w:rsidRDefault="002A2DF5">
          <w:pPr>
            <w:pStyle w:val="TOC2"/>
            <w:tabs>
              <w:tab w:val="right" w:leader="dot" w:pos="9016"/>
            </w:tabs>
            <w:rPr>
              <w:noProof/>
            </w:rPr>
          </w:pPr>
          <w:hyperlink w:anchor="_Toc152850903" w:history="1">
            <w:r w:rsidR="0064341C" w:rsidRPr="003170D3">
              <w:rPr>
                <w:rStyle w:val="Hyperlink"/>
                <w:noProof/>
              </w:rPr>
              <w:t>Issues We Have Identified</w:t>
            </w:r>
            <w:r w:rsidR="0064341C">
              <w:rPr>
                <w:noProof/>
                <w:webHidden/>
              </w:rPr>
              <w:tab/>
            </w:r>
            <w:r w:rsidR="0064341C">
              <w:rPr>
                <w:noProof/>
                <w:webHidden/>
              </w:rPr>
              <w:fldChar w:fldCharType="begin"/>
            </w:r>
            <w:r w:rsidR="0064341C">
              <w:rPr>
                <w:noProof/>
                <w:webHidden/>
              </w:rPr>
              <w:instrText xml:space="preserve"> PAGEREF _Toc152850903 \h </w:instrText>
            </w:r>
            <w:r w:rsidR="0064341C">
              <w:rPr>
                <w:noProof/>
                <w:webHidden/>
              </w:rPr>
            </w:r>
            <w:r w:rsidR="0064341C">
              <w:rPr>
                <w:noProof/>
                <w:webHidden/>
              </w:rPr>
              <w:fldChar w:fldCharType="separate"/>
            </w:r>
            <w:r w:rsidR="0064341C">
              <w:rPr>
                <w:noProof/>
                <w:webHidden/>
              </w:rPr>
              <w:t>2</w:t>
            </w:r>
            <w:r w:rsidR="0064341C">
              <w:rPr>
                <w:noProof/>
                <w:webHidden/>
              </w:rPr>
              <w:fldChar w:fldCharType="end"/>
            </w:r>
          </w:hyperlink>
        </w:p>
        <w:p w14:paraId="6D0AA1D0" w14:textId="4FDB45C1" w:rsidR="0064341C" w:rsidRDefault="002A2DF5">
          <w:pPr>
            <w:pStyle w:val="TOC2"/>
            <w:tabs>
              <w:tab w:val="right" w:leader="dot" w:pos="9016"/>
            </w:tabs>
            <w:rPr>
              <w:noProof/>
            </w:rPr>
          </w:pPr>
          <w:hyperlink w:anchor="_Toc152850904" w:history="1">
            <w:r w:rsidR="0064341C" w:rsidRPr="003170D3">
              <w:rPr>
                <w:rStyle w:val="Hyperlink"/>
                <w:noProof/>
              </w:rPr>
              <w:t>Examples</w:t>
            </w:r>
            <w:r w:rsidR="0064341C">
              <w:rPr>
                <w:noProof/>
                <w:webHidden/>
              </w:rPr>
              <w:tab/>
            </w:r>
            <w:r w:rsidR="0064341C">
              <w:rPr>
                <w:noProof/>
                <w:webHidden/>
              </w:rPr>
              <w:fldChar w:fldCharType="begin"/>
            </w:r>
            <w:r w:rsidR="0064341C">
              <w:rPr>
                <w:noProof/>
                <w:webHidden/>
              </w:rPr>
              <w:instrText xml:space="preserve"> PAGEREF _Toc152850904 \h </w:instrText>
            </w:r>
            <w:r w:rsidR="0064341C">
              <w:rPr>
                <w:noProof/>
                <w:webHidden/>
              </w:rPr>
            </w:r>
            <w:r w:rsidR="0064341C">
              <w:rPr>
                <w:noProof/>
                <w:webHidden/>
              </w:rPr>
              <w:fldChar w:fldCharType="separate"/>
            </w:r>
            <w:r w:rsidR="0064341C">
              <w:rPr>
                <w:noProof/>
                <w:webHidden/>
              </w:rPr>
              <w:t>2</w:t>
            </w:r>
            <w:r w:rsidR="0064341C">
              <w:rPr>
                <w:noProof/>
                <w:webHidden/>
              </w:rPr>
              <w:fldChar w:fldCharType="end"/>
            </w:r>
          </w:hyperlink>
        </w:p>
        <w:p w14:paraId="4BEE89AB" w14:textId="4DBAF54F" w:rsidR="0064341C" w:rsidRDefault="002A2DF5">
          <w:pPr>
            <w:pStyle w:val="TOC2"/>
            <w:tabs>
              <w:tab w:val="right" w:leader="dot" w:pos="9016"/>
            </w:tabs>
            <w:rPr>
              <w:noProof/>
            </w:rPr>
          </w:pPr>
          <w:hyperlink w:anchor="_Toc152850905" w:history="1">
            <w:r w:rsidR="0064341C" w:rsidRPr="003170D3">
              <w:rPr>
                <w:rStyle w:val="Hyperlink"/>
                <w:noProof/>
              </w:rPr>
              <w:t>Proposed Solutions</w:t>
            </w:r>
            <w:r w:rsidR="0064341C">
              <w:rPr>
                <w:noProof/>
                <w:webHidden/>
              </w:rPr>
              <w:tab/>
            </w:r>
            <w:r w:rsidR="0064341C">
              <w:rPr>
                <w:noProof/>
                <w:webHidden/>
              </w:rPr>
              <w:fldChar w:fldCharType="begin"/>
            </w:r>
            <w:r w:rsidR="0064341C">
              <w:rPr>
                <w:noProof/>
                <w:webHidden/>
              </w:rPr>
              <w:instrText xml:space="preserve"> PAGEREF _Toc152850905 \h </w:instrText>
            </w:r>
            <w:r w:rsidR="0064341C">
              <w:rPr>
                <w:noProof/>
                <w:webHidden/>
              </w:rPr>
            </w:r>
            <w:r w:rsidR="0064341C">
              <w:rPr>
                <w:noProof/>
                <w:webHidden/>
              </w:rPr>
              <w:fldChar w:fldCharType="separate"/>
            </w:r>
            <w:r w:rsidR="0064341C">
              <w:rPr>
                <w:noProof/>
                <w:webHidden/>
              </w:rPr>
              <w:t>2</w:t>
            </w:r>
            <w:r w:rsidR="0064341C">
              <w:rPr>
                <w:noProof/>
                <w:webHidden/>
              </w:rPr>
              <w:fldChar w:fldCharType="end"/>
            </w:r>
          </w:hyperlink>
        </w:p>
        <w:p w14:paraId="67E0D402" w14:textId="19244E8C" w:rsidR="003C7039" w:rsidRPr="00B80921" w:rsidRDefault="003C7039" w:rsidP="003C7039">
          <w:pPr>
            <w:rPr>
              <w:color w:val="4F81BD" w:themeColor="accent1"/>
            </w:rPr>
          </w:pPr>
          <w:r w:rsidRPr="00B80921">
            <w:rPr>
              <w:b/>
              <w:bCs/>
              <w:noProof/>
              <w:color w:val="4F81BD" w:themeColor="accent1"/>
            </w:rPr>
            <w:fldChar w:fldCharType="end"/>
          </w:r>
        </w:p>
      </w:sdtContent>
    </w:sdt>
    <w:p w14:paraId="3732452A" w14:textId="77777777" w:rsidR="003C7039" w:rsidRDefault="003C7039" w:rsidP="003C7039">
      <w:pPr>
        <w:pStyle w:val="Heading3"/>
      </w:pPr>
    </w:p>
    <w:p w14:paraId="1E944070" w14:textId="77777777" w:rsidR="003C7039" w:rsidRPr="003C7039" w:rsidRDefault="003C7039" w:rsidP="003C7039">
      <w:pPr>
        <w:sectPr w:rsidR="003C7039" w:rsidRPr="003C7039" w:rsidSect="00011A6F">
          <w:headerReference w:type="default" r:id="rId10"/>
          <w:footerReference w:type="even" r:id="rId11"/>
          <w:footerReference w:type="default" r:id="rId12"/>
          <w:footerReference w:type="first" r:id="rId13"/>
          <w:pgSz w:w="11906" w:h="16838"/>
          <w:pgMar w:top="2949" w:right="1440" w:bottom="1701" w:left="1440" w:header="708" w:footer="708" w:gutter="0"/>
          <w:cols w:space="708"/>
          <w:docGrid w:linePitch="360"/>
        </w:sectPr>
      </w:pPr>
    </w:p>
    <w:p w14:paraId="3878DCE8" w14:textId="77777777" w:rsidR="003C7039" w:rsidRDefault="003C7039" w:rsidP="003C7039">
      <w:pPr>
        <w:pStyle w:val="Heading2"/>
      </w:pPr>
    </w:p>
    <w:p w14:paraId="562EB93A" w14:textId="61E26793" w:rsidR="00571166" w:rsidRDefault="0059166C" w:rsidP="003C7039">
      <w:pPr>
        <w:pStyle w:val="Heading2"/>
      </w:pPr>
      <w:bookmarkStart w:id="0" w:name="_Toc152850902"/>
      <w:r>
        <w:t xml:space="preserve">Call for </w:t>
      </w:r>
      <w:proofErr w:type="gramStart"/>
      <w:r>
        <w:t>Input</w:t>
      </w:r>
      <w:proofErr w:type="gramEnd"/>
    </w:p>
    <w:p w14:paraId="71A36908" w14:textId="77777777" w:rsidR="000E6980" w:rsidRDefault="000E6980" w:rsidP="0059166C"/>
    <w:p w14:paraId="008DBA53" w14:textId="347E7035" w:rsidR="0059166C" w:rsidRDefault="0059166C" w:rsidP="0059166C">
      <w:r>
        <w:t>Of</w:t>
      </w:r>
      <w:r w:rsidR="00180449">
        <w:t>g</w:t>
      </w:r>
      <w:r>
        <w:t xml:space="preserve">em </w:t>
      </w:r>
      <w:r w:rsidR="00180449">
        <w:t xml:space="preserve">published a </w:t>
      </w:r>
      <w:hyperlink r:id="rId14" w:history="1">
        <w:r w:rsidR="00180449" w:rsidRPr="00BF46A2">
          <w:rPr>
            <w:rStyle w:val="Hyperlink"/>
          </w:rPr>
          <w:t>Call for Input on Standing Charges</w:t>
        </w:r>
      </w:hyperlink>
      <w:r w:rsidR="00180449">
        <w:t xml:space="preserve"> </w:t>
      </w:r>
      <w:r w:rsidR="00C16632">
        <w:t xml:space="preserve">on 16 November 2023 covering both domestic and non-domestic </w:t>
      </w:r>
      <w:r w:rsidR="00304D82">
        <w:t>standing charges.</w:t>
      </w:r>
    </w:p>
    <w:p w14:paraId="7B56244F" w14:textId="45D19F4E" w:rsidR="00304D82" w:rsidRDefault="00304D82" w:rsidP="0059166C">
      <w:r>
        <w:t xml:space="preserve">NFU Energy is a </w:t>
      </w:r>
      <w:r w:rsidR="001B4DBD">
        <w:t>Third-Party</w:t>
      </w:r>
      <w:r>
        <w:t xml:space="preserve"> Intermediary which deals with non-domestic energy only, so we have commented only</w:t>
      </w:r>
      <w:r w:rsidR="001B4DBD">
        <w:t xml:space="preserve"> on</w:t>
      </w:r>
      <w:r>
        <w:t xml:space="preserve"> </w:t>
      </w:r>
      <w:r w:rsidR="00BF46A2">
        <w:t>the areas affecting our customers.</w:t>
      </w:r>
    </w:p>
    <w:p w14:paraId="7137BD23" w14:textId="5582A7E3" w:rsidR="00BF46A2" w:rsidRDefault="000E27F5" w:rsidP="0059166C">
      <w:r>
        <w:t>Our customer base is principally agriculture and associated sectors, including a wider range of businesses where farmers have diversified to provide additional income. Agriculture is a high overhead sector</w:t>
      </w:r>
      <w:r w:rsidR="00E14C97">
        <w:t xml:space="preserve">, in which the impact of the energy crisis was felt acutely. Many of our customers are still recovering from the </w:t>
      </w:r>
      <w:r w:rsidR="00662ECE">
        <w:t>impact and</w:t>
      </w:r>
      <w:r w:rsidR="0007642C">
        <w:t xml:space="preserve"> are now facing significant challenges </w:t>
      </w:r>
      <w:proofErr w:type="gramStart"/>
      <w:r w:rsidR="0007642C">
        <w:t>as a result of</w:t>
      </w:r>
      <w:proofErr w:type="gramEnd"/>
      <w:r w:rsidR="0007642C">
        <w:t xml:space="preserve"> changes to </w:t>
      </w:r>
      <w:r w:rsidR="00AC2C71">
        <w:t>s</w:t>
      </w:r>
      <w:r w:rsidR="0007642C">
        <w:t xml:space="preserve">tanding </w:t>
      </w:r>
      <w:r w:rsidR="00AC2C71">
        <w:t>c</w:t>
      </w:r>
      <w:r w:rsidR="0007642C">
        <w:t>harges.</w:t>
      </w:r>
    </w:p>
    <w:p w14:paraId="01D480D3" w14:textId="63FB76DE" w:rsidR="0007642C" w:rsidRDefault="0007642C" w:rsidP="0059166C">
      <w:r w:rsidRPr="00D9283D">
        <w:t xml:space="preserve">We appreciate that it is not possible for the network to be upgraded without significant cost, and that these costs are inevitably going to </w:t>
      </w:r>
      <w:r w:rsidR="00B46A33">
        <w:t xml:space="preserve">be </w:t>
      </w:r>
      <w:r w:rsidRPr="00D9283D">
        <w:t xml:space="preserve">passed on, </w:t>
      </w:r>
      <w:r w:rsidR="00553961">
        <w:t xml:space="preserve">at least </w:t>
      </w:r>
      <w:r w:rsidRPr="00D9283D">
        <w:t>in part, to end users. We are concerned, however, at the way in which these costs have been distributed among non-domestic customers.</w:t>
      </w:r>
    </w:p>
    <w:p w14:paraId="7608A83D" w14:textId="77777777" w:rsidR="00C718D8" w:rsidRDefault="0032412F" w:rsidP="0059166C">
      <w:r>
        <w:t>It is easy to view agricultural customers as a small group with niche interests.</w:t>
      </w:r>
      <w:r w:rsidR="00684CDE">
        <w:t xml:space="preserve"> However, farmers put food on </w:t>
      </w:r>
      <w:proofErr w:type="gramStart"/>
      <w:r w:rsidR="00684CDE">
        <w:t>all of</w:t>
      </w:r>
      <w:proofErr w:type="gramEnd"/>
      <w:r w:rsidR="00684CDE">
        <w:t xml:space="preserve"> our plates</w:t>
      </w:r>
      <w:r w:rsidR="008D58B9">
        <w:t xml:space="preserve"> and producing food in the UK, rather than importing it, significantly reduces its environmental impact.</w:t>
      </w:r>
    </w:p>
    <w:p w14:paraId="2426506D" w14:textId="5449FB36" w:rsidR="0032412F" w:rsidRDefault="003A1FD4" w:rsidP="0059166C">
      <w:r>
        <w:t xml:space="preserve">Increases in electricity costs have the potential to </w:t>
      </w:r>
      <w:r w:rsidR="00BF7778">
        <w:t xml:space="preserve">increase the costs of food (driving inflation) and disrupt the food security of the nation if they cause farmers to </w:t>
      </w:r>
      <w:r w:rsidR="00E93489">
        <w:t>cease production in a particular segment of the market.</w:t>
      </w:r>
      <w:r w:rsidR="00C718D8">
        <w:t xml:space="preserve"> In 2023, UK food inflation rose to 19.2%, and ongoing global instability caused by the war in Ukraine and incidents of extreme weather have further highlighted the vulnerability of the UK’s food system.</w:t>
      </w:r>
    </w:p>
    <w:p w14:paraId="202EDB60" w14:textId="77777777" w:rsidR="005268A9" w:rsidRPr="0059166C" w:rsidRDefault="005268A9" w:rsidP="0059166C"/>
    <w:p w14:paraId="215368D4" w14:textId="77777777" w:rsidR="00E93489" w:rsidRDefault="00E93489">
      <w:pPr>
        <w:rPr>
          <w:rFonts w:ascii="Arial" w:eastAsiaTheme="majorEastAsia" w:hAnsi="Arial" w:cstheme="majorBidi"/>
          <w:b/>
          <w:color w:val="2FABE2"/>
          <w:sz w:val="24"/>
          <w:szCs w:val="26"/>
        </w:rPr>
      </w:pPr>
      <w:r>
        <w:br w:type="page"/>
      </w:r>
    </w:p>
    <w:p w14:paraId="0FBF906B" w14:textId="731FAD97" w:rsidR="003C7039" w:rsidRPr="00C45B2A" w:rsidRDefault="00BC119E" w:rsidP="003C7039">
      <w:pPr>
        <w:pStyle w:val="Heading2"/>
      </w:pPr>
      <w:r>
        <w:t>Quest</w:t>
      </w:r>
      <w:r w:rsidR="00A27F3F">
        <w:t xml:space="preserve">ion 14 - </w:t>
      </w:r>
      <w:r w:rsidR="0064341C" w:rsidRPr="0064341C">
        <w:t>What issues affecting standing charges in the non-domestic retail sector should we consider further?</w:t>
      </w:r>
      <w:bookmarkEnd w:id="0"/>
    </w:p>
    <w:p w14:paraId="37CE2F5F" w14:textId="77777777" w:rsidR="00571166" w:rsidRPr="004D0369" w:rsidRDefault="00571166" w:rsidP="003C7039">
      <w:pPr>
        <w:spacing w:line="280" w:lineRule="atLeast"/>
      </w:pPr>
    </w:p>
    <w:p w14:paraId="736CA107" w14:textId="2379D9B5" w:rsidR="003C7039" w:rsidRPr="00C45B2A" w:rsidRDefault="0064341C" w:rsidP="00630333">
      <w:pPr>
        <w:pStyle w:val="Heading2"/>
      </w:pPr>
      <w:bookmarkStart w:id="1" w:name="_Toc152850903"/>
      <w:r>
        <w:t>Issues We Have Identified</w:t>
      </w:r>
      <w:bookmarkEnd w:id="1"/>
    </w:p>
    <w:p w14:paraId="232E36BE" w14:textId="3EFF2DBD" w:rsidR="00D9283D" w:rsidRDefault="00D9283D" w:rsidP="00D9283D">
      <w:pPr>
        <w:pStyle w:val="Heading2"/>
        <w:rPr>
          <w:rFonts w:asciiTheme="minorHAnsi" w:eastAsiaTheme="minorHAnsi" w:hAnsiTheme="minorHAnsi" w:cstheme="minorBidi"/>
          <w:b w:val="0"/>
          <w:color w:val="auto"/>
          <w:sz w:val="22"/>
          <w:szCs w:val="22"/>
        </w:rPr>
      </w:pPr>
      <w:bookmarkStart w:id="2" w:name="_Toc152850904"/>
    </w:p>
    <w:p w14:paraId="40CDC5DB" w14:textId="3A9D4879" w:rsidR="00A02A5B" w:rsidRDefault="00510A62" w:rsidP="00A02A5B">
      <w:pPr>
        <w:pStyle w:val="Heading2"/>
      </w:pPr>
      <w:r w:rsidRPr="00D9283D">
        <w:rPr>
          <w:rFonts w:asciiTheme="minorHAnsi" w:eastAsiaTheme="minorHAnsi" w:hAnsiTheme="minorHAnsi" w:cstheme="minorBidi"/>
          <w:b w:val="0"/>
          <w:color w:val="auto"/>
          <w:sz w:val="22"/>
          <w:szCs w:val="22"/>
        </w:rPr>
        <w:t xml:space="preserve">We have been supporting customers to alter their </w:t>
      </w:r>
      <w:r w:rsidR="002C3DFB">
        <w:rPr>
          <w:rFonts w:asciiTheme="minorHAnsi" w:eastAsiaTheme="minorHAnsi" w:hAnsiTheme="minorHAnsi" w:cstheme="minorBidi"/>
          <w:b w:val="0"/>
          <w:color w:val="auto"/>
          <w:sz w:val="22"/>
          <w:szCs w:val="22"/>
        </w:rPr>
        <w:t>Maximum Import Capacity (</w:t>
      </w:r>
      <w:r w:rsidRPr="00D9283D">
        <w:rPr>
          <w:rFonts w:asciiTheme="minorHAnsi" w:eastAsiaTheme="minorHAnsi" w:hAnsiTheme="minorHAnsi" w:cstheme="minorBidi"/>
          <w:b w:val="0"/>
          <w:color w:val="auto"/>
          <w:sz w:val="22"/>
          <w:szCs w:val="22"/>
        </w:rPr>
        <w:t>MIC</w:t>
      </w:r>
      <w:r w:rsidR="002C3DFB">
        <w:rPr>
          <w:rFonts w:asciiTheme="minorHAnsi" w:eastAsiaTheme="minorHAnsi" w:hAnsiTheme="minorHAnsi" w:cstheme="minorBidi"/>
          <w:b w:val="0"/>
          <w:color w:val="auto"/>
          <w:sz w:val="22"/>
          <w:szCs w:val="22"/>
        </w:rPr>
        <w:t>)</w:t>
      </w:r>
      <w:r w:rsidRPr="00D9283D">
        <w:rPr>
          <w:rFonts w:asciiTheme="minorHAnsi" w:eastAsiaTheme="minorHAnsi" w:hAnsiTheme="minorHAnsi" w:cstheme="minorBidi"/>
          <w:b w:val="0"/>
          <w:color w:val="auto"/>
          <w:sz w:val="22"/>
          <w:szCs w:val="22"/>
        </w:rPr>
        <w:t xml:space="preserve"> </w:t>
      </w:r>
      <w:proofErr w:type="gramStart"/>
      <w:r w:rsidRPr="00D9283D">
        <w:rPr>
          <w:rFonts w:asciiTheme="minorHAnsi" w:eastAsiaTheme="minorHAnsi" w:hAnsiTheme="minorHAnsi" w:cstheme="minorBidi"/>
          <w:b w:val="0"/>
          <w:color w:val="auto"/>
          <w:sz w:val="22"/>
          <w:szCs w:val="22"/>
        </w:rPr>
        <w:t>banding,</w:t>
      </w:r>
      <w:proofErr w:type="gramEnd"/>
      <w:r w:rsidRPr="00D9283D">
        <w:rPr>
          <w:rFonts w:asciiTheme="minorHAnsi" w:eastAsiaTheme="minorHAnsi" w:hAnsiTheme="minorHAnsi" w:cstheme="minorBidi"/>
          <w:b w:val="0"/>
          <w:color w:val="auto"/>
          <w:sz w:val="22"/>
          <w:szCs w:val="22"/>
        </w:rPr>
        <w:t xml:space="preserve"> however, we think the current rules are prohibitive and are resulting in many customers being classified into bandings which are too high, and consequently more expensive than they reasonably should be.</w:t>
      </w:r>
    </w:p>
    <w:p w14:paraId="30C02CB9" w14:textId="2DC960F8" w:rsidR="00510A62" w:rsidRPr="00D9283D" w:rsidRDefault="00510A62" w:rsidP="00A02A5B">
      <w:pPr>
        <w:pStyle w:val="Heading2"/>
        <w:rPr>
          <w:rFonts w:asciiTheme="minorHAnsi" w:eastAsiaTheme="minorHAnsi" w:hAnsiTheme="minorHAnsi" w:cstheme="minorBidi"/>
          <w:b w:val="0"/>
          <w:color w:val="auto"/>
          <w:sz w:val="22"/>
          <w:szCs w:val="22"/>
        </w:rPr>
      </w:pPr>
      <w:r w:rsidRPr="00510A62">
        <w:rPr>
          <w:rFonts w:asciiTheme="minorHAnsi" w:eastAsiaTheme="minorHAnsi" w:hAnsiTheme="minorHAnsi" w:cstheme="minorBidi"/>
          <w:b w:val="0"/>
          <w:color w:val="auto"/>
          <w:sz w:val="22"/>
          <w:szCs w:val="22"/>
        </w:rPr>
        <w:t xml:space="preserve">For many of these customers, DNOs previously advised </w:t>
      </w:r>
      <w:r w:rsidR="006D01CE">
        <w:rPr>
          <w:rFonts w:asciiTheme="minorHAnsi" w:eastAsiaTheme="minorHAnsi" w:hAnsiTheme="minorHAnsi" w:cstheme="minorBidi"/>
          <w:b w:val="0"/>
          <w:color w:val="auto"/>
          <w:sz w:val="22"/>
          <w:szCs w:val="22"/>
        </w:rPr>
        <w:t xml:space="preserve">that </w:t>
      </w:r>
      <w:r w:rsidRPr="00510A62">
        <w:rPr>
          <w:rFonts w:asciiTheme="minorHAnsi" w:eastAsiaTheme="minorHAnsi" w:hAnsiTheme="minorHAnsi" w:cstheme="minorBidi"/>
          <w:b w:val="0"/>
          <w:color w:val="auto"/>
          <w:sz w:val="22"/>
          <w:szCs w:val="22"/>
        </w:rPr>
        <w:t xml:space="preserve">they needed </w:t>
      </w:r>
      <w:r w:rsidR="006D01CE">
        <w:rPr>
          <w:rFonts w:asciiTheme="minorHAnsi" w:eastAsiaTheme="minorHAnsi" w:hAnsiTheme="minorHAnsi" w:cstheme="minorBidi"/>
          <w:b w:val="0"/>
          <w:color w:val="auto"/>
          <w:sz w:val="22"/>
          <w:szCs w:val="22"/>
        </w:rPr>
        <w:t>very high</w:t>
      </w:r>
      <w:r w:rsidRPr="00510A62">
        <w:rPr>
          <w:rFonts w:asciiTheme="minorHAnsi" w:eastAsiaTheme="minorHAnsi" w:hAnsiTheme="minorHAnsi" w:cstheme="minorBidi"/>
          <w:b w:val="0"/>
          <w:color w:val="auto"/>
          <w:sz w:val="22"/>
          <w:szCs w:val="22"/>
        </w:rPr>
        <w:t xml:space="preserve"> </w:t>
      </w:r>
      <w:proofErr w:type="spellStart"/>
      <w:r w:rsidRPr="00510A62">
        <w:rPr>
          <w:rFonts w:asciiTheme="minorHAnsi" w:eastAsiaTheme="minorHAnsi" w:hAnsiTheme="minorHAnsi" w:cstheme="minorBidi"/>
          <w:b w:val="0"/>
          <w:color w:val="auto"/>
          <w:sz w:val="22"/>
          <w:szCs w:val="22"/>
        </w:rPr>
        <w:t>kVa</w:t>
      </w:r>
      <w:proofErr w:type="spellEnd"/>
      <w:r w:rsidR="006D01CE">
        <w:rPr>
          <w:rFonts w:asciiTheme="minorHAnsi" w:eastAsiaTheme="minorHAnsi" w:hAnsiTheme="minorHAnsi" w:cstheme="minorBidi"/>
          <w:b w:val="0"/>
          <w:color w:val="auto"/>
          <w:sz w:val="22"/>
          <w:szCs w:val="22"/>
        </w:rPr>
        <w:t xml:space="preserve"> as a contingency</w:t>
      </w:r>
      <w:r w:rsidRPr="00510A62">
        <w:rPr>
          <w:rFonts w:asciiTheme="minorHAnsi" w:eastAsiaTheme="minorHAnsi" w:hAnsiTheme="minorHAnsi" w:cstheme="minorBidi"/>
          <w:b w:val="0"/>
          <w:color w:val="auto"/>
          <w:sz w:val="22"/>
          <w:szCs w:val="22"/>
        </w:rPr>
        <w:t xml:space="preserve">, </w:t>
      </w:r>
      <w:r>
        <w:rPr>
          <w:rFonts w:asciiTheme="minorHAnsi" w:eastAsiaTheme="minorHAnsi" w:hAnsiTheme="minorHAnsi" w:cstheme="minorBidi"/>
          <w:b w:val="0"/>
          <w:color w:val="auto"/>
          <w:sz w:val="22"/>
          <w:szCs w:val="22"/>
        </w:rPr>
        <w:t xml:space="preserve">and the customer is </w:t>
      </w:r>
      <w:r w:rsidRPr="00510A62">
        <w:rPr>
          <w:rFonts w:asciiTheme="minorHAnsi" w:eastAsiaTheme="minorHAnsi" w:hAnsiTheme="minorHAnsi" w:cstheme="minorBidi"/>
          <w:b w:val="0"/>
          <w:color w:val="auto"/>
          <w:sz w:val="22"/>
          <w:szCs w:val="22"/>
        </w:rPr>
        <w:t>now require</w:t>
      </w:r>
      <w:r>
        <w:rPr>
          <w:rFonts w:asciiTheme="minorHAnsi" w:eastAsiaTheme="minorHAnsi" w:hAnsiTheme="minorHAnsi" w:cstheme="minorBidi"/>
          <w:b w:val="0"/>
          <w:color w:val="auto"/>
          <w:sz w:val="22"/>
          <w:szCs w:val="22"/>
        </w:rPr>
        <w:t>d to show a</w:t>
      </w:r>
      <w:r w:rsidRPr="00510A62">
        <w:rPr>
          <w:rFonts w:asciiTheme="minorHAnsi" w:eastAsiaTheme="minorHAnsi" w:hAnsiTheme="minorHAnsi" w:cstheme="minorBidi"/>
          <w:b w:val="0"/>
          <w:color w:val="auto"/>
          <w:sz w:val="22"/>
          <w:szCs w:val="22"/>
        </w:rPr>
        <w:t xml:space="preserve"> significant “change of use” to </w:t>
      </w:r>
      <w:r w:rsidR="006D01CE">
        <w:rPr>
          <w:rFonts w:asciiTheme="minorHAnsi" w:eastAsiaTheme="minorHAnsi" w:hAnsiTheme="minorHAnsi" w:cstheme="minorBidi"/>
          <w:b w:val="0"/>
          <w:color w:val="auto"/>
          <w:sz w:val="22"/>
          <w:szCs w:val="22"/>
        </w:rPr>
        <w:t>move</w:t>
      </w:r>
      <w:r w:rsidR="00A02A5B">
        <w:rPr>
          <w:rFonts w:asciiTheme="minorHAnsi" w:eastAsiaTheme="minorHAnsi" w:hAnsiTheme="minorHAnsi" w:cstheme="minorBidi"/>
          <w:b w:val="0"/>
          <w:color w:val="auto"/>
          <w:sz w:val="22"/>
          <w:szCs w:val="22"/>
        </w:rPr>
        <w:t xml:space="preserve"> to a more appropriate</w:t>
      </w:r>
      <w:r w:rsidRPr="00510A62">
        <w:rPr>
          <w:rFonts w:asciiTheme="minorHAnsi" w:eastAsiaTheme="minorHAnsi" w:hAnsiTheme="minorHAnsi" w:cstheme="minorBidi"/>
          <w:b w:val="0"/>
          <w:color w:val="auto"/>
          <w:sz w:val="22"/>
          <w:szCs w:val="22"/>
        </w:rPr>
        <w:t xml:space="preserve"> band</w:t>
      </w:r>
      <w:r w:rsidR="00A02A5B">
        <w:rPr>
          <w:rFonts w:asciiTheme="minorHAnsi" w:eastAsiaTheme="minorHAnsi" w:hAnsiTheme="minorHAnsi" w:cstheme="minorBidi"/>
          <w:b w:val="0"/>
          <w:color w:val="auto"/>
          <w:sz w:val="22"/>
          <w:szCs w:val="22"/>
        </w:rPr>
        <w:t xml:space="preserve">, or they are unable to change band if they cannot halve their </w:t>
      </w:r>
      <w:r w:rsidR="006D01CE" w:rsidRPr="00D9283D">
        <w:rPr>
          <w:rFonts w:asciiTheme="minorHAnsi" w:eastAsiaTheme="minorHAnsi" w:hAnsiTheme="minorHAnsi" w:cstheme="minorBidi"/>
          <w:b w:val="0"/>
          <w:color w:val="auto"/>
          <w:sz w:val="22"/>
          <w:szCs w:val="22"/>
        </w:rPr>
        <w:t>MIC</w:t>
      </w:r>
      <w:r w:rsidRPr="00510A62">
        <w:rPr>
          <w:rFonts w:asciiTheme="minorHAnsi" w:eastAsiaTheme="minorHAnsi" w:hAnsiTheme="minorHAnsi" w:cstheme="minorBidi"/>
          <w:b w:val="0"/>
          <w:color w:val="auto"/>
          <w:sz w:val="22"/>
          <w:szCs w:val="22"/>
        </w:rPr>
        <w:t>.</w:t>
      </w:r>
    </w:p>
    <w:p w14:paraId="3EF6E759" w14:textId="564A3861" w:rsidR="00D9283D" w:rsidRPr="00D9283D" w:rsidRDefault="0022330E" w:rsidP="00A02A5B">
      <w:pPr>
        <w:pStyle w:val="Heading2"/>
        <w:rPr>
          <w:rFonts w:asciiTheme="minorHAnsi" w:eastAsiaTheme="minorHAnsi" w:hAnsiTheme="minorHAnsi" w:cstheme="minorBidi"/>
          <w:b w:val="0"/>
          <w:color w:val="auto"/>
          <w:sz w:val="22"/>
          <w:szCs w:val="22"/>
        </w:rPr>
      </w:pPr>
      <w:r>
        <w:rPr>
          <w:rFonts w:asciiTheme="minorHAnsi" w:eastAsiaTheme="minorHAnsi" w:hAnsiTheme="minorHAnsi" w:cstheme="minorBidi"/>
          <w:b w:val="0"/>
          <w:color w:val="auto"/>
          <w:sz w:val="22"/>
          <w:szCs w:val="22"/>
        </w:rPr>
        <w:t>We are also concerned that t</w:t>
      </w:r>
      <w:r w:rsidR="00D9283D" w:rsidRPr="00D9283D">
        <w:rPr>
          <w:rFonts w:asciiTheme="minorHAnsi" w:eastAsiaTheme="minorHAnsi" w:hAnsiTheme="minorHAnsi" w:cstheme="minorBidi"/>
          <w:b w:val="0"/>
          <w:color w:val="auto"/>
          <w:sz w:val="22"/>
          <w:szCs w:val="22"/>
        </w:rPr>
        <w:t>he current banding model, based on peak demand (</w:t>
      </w:r>
      <w:proofErr w:type="spellStart"/>
      <w:r w:rsidR="00D9283D" w:rsidRPr="00D9283D">
        <w:rPr>
          <w:rFonts w:asciiTheme="minorHAnsi" w:eastAsiaTheme="minorHAnsi" w:hAnsiTheme="minorHAnsi" w:cstheme="minorBidi"/>
          <w:b w:val="0"/>
          <w:color w:val="auto"/>
          <w:sz w:val="22"/>
          <w:szCs w:val="22"/>
        </w:rPr>
        <w:t>kVa</w:t>
      </w:r>
      <w:proofErr w:type="spellEnd"/>
      <w:r w:rsidR="00D9283D" w:rsidRPr="00D9283D">
        <w:rPr>
          <w:rFonts w:asciiTheme="minorHAnsi" w:eastAsiaTheme="minorHAnsi" w:hAnsiTheme="minorHAnsi" w:cstheme="minorBidi"/>
          <w:b w:val="0"/>
          <w:color w:val="auto"/>
          <w:sz w:val="22"/>
          <w:szCs w:val="22"/>
        </w:rPr>
        <w:t xml:space="preserve"> set), adversely affects those who need to use a significant amount of energy for a short period of time, and consume little to no energy between this seasonal demand. This emphasises the impact on agricultural consumers of electricity due to the need to operate high-consumption equipment on a seasonal basis</w:t>
      </w:r>
      <w:r w:rsidR="009F4F72">
        <w:rPr>
          <w:rFonts w:asciiTheme="minorHAnsi" w:eastAsiaTheme="minorHAnsi" w:hAnsiTheme="minorHAnsi" w:cstheme="minorBidi"/>
          <w:b w:val="0"/>
          <w:color w:val="auto"/>
          <w:sz w:val="22"/>
          <w:szCs w:val="22"/>
        </w:rPr>
        <w:t>, or to adapt to weather conditions</w:t>
      </w:r>
      <w:r w:rsidR="00D9283D" w:rsidRPr="00D9283D">
        <w:rPr>
          <w:rFonts w:asciiTheme="minorHAnsi" w:eastAsiaTheme="minorHAnsi" w:hAnsiTheme="minorHAnsi" w:cstheme="minorBidi"/>
          <w:b w:val="0"/>
          <w:color w:val="auto"/>
          <w:sz w:val="22"/>
          <w:szCs w:val="22"/>
        </w:rPr>
        <w:t>.</w:t>
      </w:r>
    </w:p>
    <w:p w14:paraId="6A42F7CC" w14:textId="18100162" w:rsidR="00D9283D" w:rsidRDefault="00E93489" w:rsidP="00A90CAD">
      <w:pPr>
        <w:rPr>
          <w:b/>
        </w:rPr>
      </w:pPr>
      <w:r>
        <w:t>Similar trends around the cost of standing charges exist for Non-Half Hourly meters</w:t>
      </w:r>
      <w:r w:rsidR="007930FA">
        <w:t>, with one large supply recently replacing their 25</w:t>
      </w:r>
      <w:r w:rsidR="009B7D55">
        <w:t xml:space="preserve">p per day standing charge for low-consumption meters with 75p per day; annually this is a change from </w:t>
      </w:r>
      <w:r w:rsidR="00931D29">
        <w:t xml:space="preserve">£91.25 to £273.75. </w:t>
      </w:r>
    </w:p>
    <w:p w14:paraId="19BB8569" w14:textId="77777777" w:rsidR="00D9283D" w:rsidRDefault="00D9283D" w:rsidP="00D9283D">
      <w:pPr>
        <w:pStyle w:val="Heading2"/>
      </w:pPr>
    </w:p>
    <w:p w14:paraId="746D3600" w14:textId="7359D60F" w:rsidR="003C7039" w:rsidRPr="00C45B2A" w:rsidRDefault="0064341C" w:rsidP="00D9283D">
      <w:pPr>
        <w:pStyle w:val="Heading2"/>
      </w:pPr>
      <w:r>
        <w:t>Examples</w:t>
      </w:r>
      <w:bookmarkEnd w:id="2"/>
      <w:r w:rsidR="00D70BB5">
        <w:t xml:space="preserve"> of the issues our members have </w:t>
      </w:r>
      <w:proofErr w:type="gramStart"/>
      <w:r w:rsidR="00D70BB5">
        <w:t>encountered</w:t>
      </w:r>
      <w:proofErr w:type="gramEnd"/>
    </w:p>
    <w:p w14:paraId="2956D5AE" w14:textId="067D4480" w:rsidR="00571166" w:rsidRPr="000213E1" w:rsidRDefault="00D70BB5" w:rsidP="00571166">
      <w:pPr>
        <w:rPr>
          <w:b/>
          <w:bCs/>
        </w:rPr>
      </w:pPr>
      <w:r>
        <w:rPr>
          <w:b/>
          <w:bCs/>
        </w:rPr>
        <w:br/>
      </w:r>
      <w:r w:rsidR="00571166" w:rsidRPr="000213E1">
        <w:rPr>
          <w:b/>
          <w:bCs/>
        </w:rPr>
        <w:t xml:space="preserve">Example </w:t>
      </w:r>
      <w:r>
        <w:rPr>
          <w:b/>
          <w:bCs/>
        </w:rPr>
        <w:t xml:space="preserve">1 </w:t>
      </w:r>
      <w:r w:rsidR="00571166">
        <w:rPr>
          <w:b/>
          <w:bCs/>
        </w:rPr>
        <w:t>– H</w:t>
      </w:r>
      <w:r>
        <w:rPr>
          <w:b/>
          <w:bCs/>
        </w:rPr>
        <w:t>alf Hourly Meter supplying an</w:t>
      </w:r>
      <w:r w:rsidR="00571166">
        <w:rPr>
          <w:b/>
          <w:bCs/>
        </w:rPr>
        <w:t xml:space="preserve"> Anaerobic Digestion</w:t>
      </w:r>
      <w:r>
        <w:rPr>
          <w:b/>
          <w:bCs/>
        </w:rPr>
        <w:t xml:space="preserve"> </w:t>
      </w:r>
      <w:r w:rsidR="00366341">
        <w:rPr>
          <w:b/>
          <w:bCs/>
        </w:rPr>
        <w:t>p</w:t>
      </w:r>
      <w:r>
        <w:rPr>
          <w:b/>
          <w:bCs/>
        </w:rPr>
        <w:t xml:space="preserve">lant </w:t>
      </w:r>
    </w:p>
    <w:p w14:paraId="3D5D2712" w14:textId="4B6A2FB2" w:rsidR="00BF5FFB" w:rsidRDefault="009F794A" w:rsidP="00BF5FFB">
      <w:r>
        <w:t>Our</w:t>
      </w:r>
      <w:r w:rsidR="00BF5FFB">
        <w:t xml:space="preserve"> customer runs an Anaerobic Digestion plant based on Wales</w:t>
      </w:r>
      <w:r>
        <w:t xml:space="preserve">, with a High Voltage Meter which is currently </w:t>
      </w:r>
      <w:r w:rsidR="009E7ABA">
        <w:t>in Band 1, meaning they are unable to reduce the standing charge by way of a re-banding.</w:t>
      </w:r>
    </w:p>
    <w:p w14:paraId="6A15DDE1" w14:textId="3FFA5048" w:rsidR="00571166" w:rsidRDefault="00065877" w:rsidP="00571166">
      <w:r>
        <w:t>On their current, expiring</w:t>
      </w:r>
      <w:r w:rsidR="0014725A">
        <w:t>,</w:t>
      </w:r>
      <w:r>
        <w:t xml:space="preserve"> contract the </w:t>
      </w:r>
      <w:r w:rsidR="00571166">
        <w:t>S</w:t>
      </w:r>
      <w:r w:rsidR="0014725A">
        <w:t xml:space="preserve">tanding Charge </w:t>
      </w:r>
      <w:r w:rsidR="00FC2024">
        <w:t>i</w:t>
      </w:r>
      <w:r w:rsidR="00571166">
        <w:t>s around £</w:t>
      </w:r>
      <w:r>
        <w:t>3,700</w:t>
      </w:r>
      <w:r w:rsidR="00571166">
        <w:t xml:space="preserve"> per </w:t>
      </w:r>
      <w:r>
        <w:t>year</w:t>
      </w:r>
      <w:r w:rsidR="00571166">
        <w:t xml:space="preserve">. </w:t>
      </w:r>
    </w:p>
    <w:p w14:paraId="181BD20F" w14:textId="77777777" w:rsidR="00065877" w:rsidRDefault="00065877" w:rsidP="00571166">
      <w:r>
        <w:t>The cost for the energy they used in the previous year was around</w:t>
      </w:r>
      <w:r w:rsidR="00571166">
        <w:t xml:space="preserve"> £4</w:t>
      </w:r>
      <w:r>
        <w:t>,</w:t>
      </w:r>
      <w:r w:rsidR="00571166">
        <w:t>000</w:t>
      </w:r>
      <w:r>
        <w:t xml:space="preserve">, and they exported renewable energy to the grid worth around </w:t>
      </w:r>
      <w:r w:rsidR="00571166">
        <w:t>£3</w:t>
      </w:r>
      <w:r>
        <w:t>,</w:t>
      </w:r>
      <w:r w:rsidR="00571166">
        <w:t>500</w:t>
      </w:r>
      <w:r>
        <w:t>.</w:t>
      </w:r>
    </w:p>
    <w:p w14:paraId="3A7FFD1D" w14:textId="77777777" w:rsidR="00D65EC9" w:rsidRDefault="00065877" w:rsidP="00571166">
      <w:r>
        <w:t xml:space="preserve">Quotes for the meter this year are returning </w:t>
      </w:r>
      <w:r w:rsidR="00571166">
        <w:t>S</w:t>
      </w:r>
      <w:r>
        <w:t xml:space="preserve">tanding </w:t>
      </w:r>
      <w:r w:rsidR="00571166">
        <w:t>C</w:t>
      </w:r>
      <w:r>
        <w:t xml:space="preserve">hanges of around </w:t>
      </w:r>
      <w:r w:rsidR="00571166">
        <w:t>£29,000</w:t>
      </w:r>
      <w:r w:rsidR="00225720">
        <w:t>.</w:t>
      </w:r>
    </w:p>
    <w:p w14:paraId="0EE59D88" w14:textId="61133FB5" w:rsidR="00571166" w:rsidRDefault="00225720" w:rsidP="00571166">
      <w:r>
        <w:t>Our customer is considering whether or they can sustain operations</w:t>
      </w:r>
      <w:r w:rsidR="00F96F36">
        <w:t xml:space="preserve"> </w:t>
      </w:r>
      <w:proofErr w:type="gramStart"/>
      <w:r w:rsidR="00F96F36">
        <w:t>in light of</w:t>
      </w:r>
      <w:proofErr w:type="gramEnd"/>
      <w:r w:rsidR="00F96F36">
        <w:t xml:space="preserve"> this increase in costs</w:t>
      </w:r>
      <w:r w:rsidR="000E27F5">
        <w:t>.</w:t>
      </w:r>
      <w:r w:rsidR="002535A4">
        <w:t xml:space="preserve"> In this example, the changes to Standing Charges create a real disincentive to continue generating renewable energy. </w:t>
      </w:r>
      <w:r w:rsidR="00366341">
        <w:t>This situation is likely to be repeated across Anaerobic Digestion plants due to the necessity of having a High Voltage connection.</w:t>
      </w:r>
    </w:p>
    <w:p w14:paraId="411267CC" w14:textId="77777777" w:rsidR="007C1FB6" w:rsidRDefault="007C1FB6" w:rsidP="00571166">
      <w:pPr>
        <w:rPr>
          <w:b/>
          <w:bCs/>
        </w:rPr>
      </w:pPr>
    </w:p>
    <w:p w14:paraId="745C62AB" w14:textId="77777777" w:rsidR="007C1FB6" w:rsidRDefault="007C1FB6" w:rsidP="00571166">
      <w:pPr>
        <w:rPr>
          <w:b/>
          <w:bCs/>
        </w:rPr>
      </w:pPr>
    </w:p>
    <w:p w14:paraId="19D92D8B" w14:textId="7A24E46F" w:rsidR="00571166" w:rsidRPr="000213E1" w:rsidRDefault="00571166" w:rsidP="00571166">
      <w:pPr>
        <w:rPr>
          <w:b/>
          <w:bCs/>
        </w:rPr>
      </w:pPr>
      <w:r w:rsidRPr="000213E1">
        <w:rPr>
          <w:b/>
          <w:bCs/>
        </w:rPr>
        <w:t>Example</w:t>
      </w:r>
      <w:r w:rsidR="00D96D50">
        <w:rPr>
          <w:b/>
          <w:bCs/>
        </w:rPr>
        <w:t xml:space="preserve"> 2</w:t>
      </w:r>
      <w:r w:rsidRPr="000213E1">
        <w:rPr>
          <w:b/>
          <w:bCs/>
        </w:rPr>
        <w:t xml:space="preserve"> </w:t>
      </w:r>
      <w:r>
        <w:rPr>
          <w:b/>
          <w:bCs/>
        </w:rPr>
        <w:t>– HH, Grain Dryer</w:t>
      </w:r>
    </w:p>
    <w:p w14:paraId="3BB4FDBF" w14:textId="20CC2345" w:rsidR="00571166" w:rsidRDefault="00D65EC9" w:rsidP="00571166">
      <w:r>
        <w:t>Our customer is an arable crops farmer who ha</w:t>
      </w:r>
      <w:r w:rsidR="00021AA9">
        <w:t>d</w:t>
      </w:r>
      <w:r>
        <w:t xml:space="preserve"> </w:t>
      </w:r>
      <w:r w:rsidR="00021AA9">
        <w:t>a g</w:t>
      </w:r>
      <w:r w:rsidR="00571166">
        <w:t xml:space="preserve">rain </w:t>
      </w:r>
      <w:r w:rsidR="00021AA9">
        <w:t>d</w:t>
      </w:r>
      <w:r w:rsidR="00571166">
        <w:t>ryer</w:t>
      </w:r>
      <w:r w:rsidR="00021AA9">
        <w:t xml:space="preserve"> installed in the last few years. The nature of grain dryers is that they are not in use for </w:t>
      </w:r>
      <w:proofErr w:type="gramStart"/>
      <w:r w:rsidR="00021AA9">
        <w:t>the majority of</w:t>
      </w:r>
      <w:proofErr w:type="gramEnd"/>
      <w:r w:rsidR="00021AA9">
        <w:t xml:space="preserve"> the year, some years they are not required or are run for very short periods, and when harvest takes place during wetter weather, they are run continuously for</w:t>
      </w:r>
      <w:r w:rsidR="00B7414A">
        <w:t xml:space="preserve"> around 2 months.</w:t>
      </w:r>
    </w:p>
    <w:p w14:paraId="6156DB64" w14:textId="131D514C" w:rsidR="00571166" w:rsidRDefault="00B7414A" w:rsidP="00571166">
      <w:r>
        <w:t xml:space="preserve">For this site, the </w:t>
      </w:r>
      <w:r w:rsidR="00571166">
        <w:t>E</w:t>
      </w:r>
      <w:r>
        <w:t xml:space="preserve">stimated Annual </w:t>
      </w:r>
      <w:r w:rsidR="00571166">
        <w:t>C</w:t>
      </w:r>
      <w:r>
        <w:t>onsumption is</w:t>
      </w:r>
      <w:r w:rsidR="00571166">
        <w:t xml:space="preserve"> 2,500</w:t>
      </w:r>
      <w:r>
        <w:t xml:space="preserve"> kWh, used almost exclusively in September and October.</w:t>
      </w:r>
    </w:p>
    <w:p w14:paraId="5C2B7653" w14:textId="3F71F680" w:rsidR="00571166" w:rsidRDefault="00B7414A" w:rsidP="00571166">
      <w:r>
        <w:t xml:space="preserve">Their previous contract had a Standing Charge of </w:t>
      </w:r>
      <w:r w:rsidR="00E91113">
        <w:t>around £1,100 per year.</w:t>
      </w:r>
    </w:p>
    <w:p w14:paraId="0A6736AE" w14:textId="79755746" w:rsidR="00571166" w:rsidRDefault="006D5E79" w:rsidP="00571166">
      <w:r>
        <w:t xml:space="preserve">The </w:t>
      </w:r>
      <w:r w:rsidR="00571166">
        <w:t>S</w:t>
      </w:r>
      <w:r>
        <w:t xml:space="preserve">tanding </w:t>
      </w:r>
      <w:r w:rsidR="00571166">
        <w:t>C</w:t>
      </w:r>
      <w:r>
        <w:t>harge has now increased to around £5,900 per year.</w:t>
      </w:r>
    </w:p>
    <w:p w14:paraId="5192FE36" w14:textId="556E917C" w:rsidR="002C15EF" w:rsidRDefault="002C15EF" w:rsidP="00571166">
      <w:r>
        <w:t>The customer does not consider a banding change viable, given the potential to need to run the grain dryer at close to their current MIC</w:t>
      </w:r>
      <w:r w:rsidR="008421C0">
        <w:t>, however, even if they were able to move to band 1, their Standing Charge would be around £3,300 per year, triple the previous standing charge.</w:t>
      </w:r>
    </w:p>
    <w:p w14:paraId="63C48BDF" w14:textId="6B227CFC" w:rsidR="00571166" w:rsidRDefault="00920120" w:rsidP="00571166">
      <w:proofErr w:type="gramStart"/>
      <w:r>
        <w:t>As a consequence of</w:t>
      </w:r>
      <w:proofErr w:type="gramEnd"/>
      <w:r>
        <w:t xml:space="preserve"> the </w:t>
      </w:r>
      <w:r w:rsidR="00AC2C71">
        <w:t>s</w:t>
      </w:r>
      <w:r>
        <w:t xml:space="preserve">tanding </w:t>
      </w:r>
      <w:r w:rsidR="00AC2C71">
        <w:t>c</w:t>
      </w:r>
      <w:r>
        <w:t>harges they are now facing, the customer is c</w:t>
      </w:r>
      <w:r w:rsidR="00571166">
        <w:t xml:space="preserve">onsidering removing </w:t>
      </w:r>
      <w:r>
        <w:t xml:space="preserve">the </w:t>
      </w:r>
      <w:r w:rsidR="00571166">
        <w:t>meter</w:t>
      </w:r>
      <w:r>
        <w:t xml:space="preserve"> from the site</w:t>
      </w:r>
      <w:r w:rsidR="00571166">
        <w:t xml:space="preserve"> and switching to diesel generators </w:t>
      </w:r>
      <w:r>
        <w:t>to power the grain dryer when required.</w:t>
      </w:r>
    </w:p>
    <w:p w14:paraId="00321A90" w14:textId="0A7A7176" w:rsidR="00366341" w:rsidRDefault="00366341" w:rsidP="00571166">
      <w:r>
        <w:t>NFU Energy has around 400 meters associated with the operation of grain dryers on our books, and we expect that the considerations of this customer will be mirrored by other customers</w:t>
      </w:r>
      <w:r w:rsidR="00385FB2">
        <w:t xml:space="preserve">. The potential move from a </w:t>
      </w:r>
      <w:proofErr w:type="gramStart"/>
      <w:r w:rsidR="00385FB2">
        <w:t>greener-grid</w:t>
      </w:r>
      <w:proofErr w:type="gramEnd"/>
      <w:r w:rsidR="00385FB2">
        <w:t xml:space="preserve"> to local diesel generation to operate equipment which is vital in the production of food is deeply concerning to us.</w:t>
      </w:r>
    </w:p>
    <w:p w14:paraId="0636DB4F" w14:textId="23786F67" w:rsidR="00571166" w:rsidRPr="005809EA" w:rsidRDefault="00571166" w:rsidP="00571166">
      <w:pPr>
        <w:rPr>
          <w:b/>
          <w:bCs/>
        </w:rPr>
      </w:pPr>
      <w:r w:rsidRPr="005809EA">
        <w:rPr>
          <w:b/>
          <w:bCs/>
        </w:rPr>
        <w:t>Example</w:t>
      </w:r>
      <w:r w:rsidR="00D96D50">
        <w:rPr>
          <w:b/>
          <w:bCs/>
        </w:rPr>
        <w:t xml:space="preserve"> 3</w:t>
      </w:r>
      <w:r w:rsidRPr="005809EA">
        <w:rPr>
          <w:b/>
          <w:bCs/>
        </w:rPr>
        <w:t xml:space="preserve"> </w:t>
      </w:r>
      <w:r>
        <w:rPr>
          <w:b/>
          <w:bCs/>
        </w:rPr>
        <w:t xml:space="preserve">– High </w:t>
      </w:r>
      <w:proofErr w:type="spellStart"/>
      <w:r>
        <w:rPr>
          <w:b/>
          <w:bCs/>
        </w:rPr>
        <w:t>KvA</w:t>
      </w:r>
      <w:proofErr w:type="spellEnd"/>
    </w:p>
    <w:p w14:paraId="01880B64" w14:textId="0EB51BAB" w:rsidR="00571166" w:rsidRDefault="000E6980" w:rsidP="00571166">
      <w:r>
        <w:t xml:space="preserve">Our customer has a meter installed with </w:t>
      </w:r>
      <w:r w:rsidR="00571166">
        <w:t xml:space="preserve">276 </w:t>
      </w:r>
      <w:proofErr w:type="spellStart"/>
      <w:r w:rsidR="00571166">
        <w:t>kVa</w:t>
      </w:r>
      <w:proofErr w:type="spellEnd"/>
      <w:r>
        <w:t xml:space="preserve"> MIC</w:t>
      </w:r>
      <w:r w:rsidR="00641FCE">
        <w:t xml:space="preserve">, and has contacted us </w:t>
      </w:r>
      <w:proofErr w:type="gramStart"/>
      <w:r w:rsidR="00641FCE">
        <w:t>as a result of</w:t>
      </w:r>
      <w:proofErr w:type="gramEnd"/>
      <w:r w:rsidR="00641FCE">
        <w:t xml:space="preserve"> the Standing Charges they are now facing to maintain the MIC. We have analysed the data </w:t>
      </w:r>
      <w:r w:rsidR="002E7C42">
        <w:t>from their current supplier and, in discussions with their supplier, we have been unable to meet the requirement to halve their MIC</w:t>
      </w:r>
      <w:r w:rsidR="00236F39">
        <w:t xml:space="preserve"> </w:t>
      </w:r>
      <w:proofErr w:type="gramStart"/>
      <w:r w:rsidR="00236F39">
        <w:t>in order to</w:t>
      </w:r>
      <w:proofErr w:type="gramEnd"/>
      <w:r w:rsidR="00236F39">
        <w:t xml:space="preserve"> have their banding changed.</w:t>
      </w:r>
    </w:p>
    <w:p w14:paraId="129775B2" w14:textId="6C3E4697" w:rsidR="00236F39" w:rsidRDefault="00236F39" w:rsidP="00571166">
      <w:r>
        <w:t xml:space="preserve">Our analysis suggests that the customer requires an MIC of around </w:t>
      </w:r>
      <w:r w:rsidR="00D96283">
        <w:t xml:space="preserve">150 </w:t>
      </w:r>
      <w:proofErr w:type="spellStart"/>
      <w:r w:rsidR="00D96283">
        <w:t>kVa</w:t>
      </w:r>
      <w:proofErr w:type="spellEnd"/>
      <w:r w:rsidR="00D96283">
        <w:t xml:space="preserve">, and the requirement would be to reduce it to 138 </w:t>
      </w:r>
      <w:proofErr w:type="spellStart"/>
      <w:r w:rsidR="00D96283">
        <w:t>kVa</w:t>
      </w:r>
      <w:proofErr w:type="spellEnd"/>
      <w:r w:rsidR="00D96283">
        <w:t xml:space="preserve"> to change banding.</w:t>
      </w:r>
    </w:p>
    <w:p w14:paraId="00BC40EE" w14:textId="11EBC771" w:rsidR="00D96283" w:rsidRDefault="00D96283" w:rsidP="00571166">
      <w:r>
        <w:t xml:space="preserve">This means that the customer will continue to fall into band 4, paying Standing Charges for 276 </w:t>
      </w:r>
      <w:proofErr w:type="spellStart"/>
      <w:r>
        <w:t>kVa</w:t>
      </w:r>
      <w:proofErr w:type="spellEnd"/>
      <w:r>
        <w:t xml:space="preserve"> despite falling just 12 </w:t>
      </w:r>
      <w:proofErr w:type="spellStart"/>
      <w:r>
        <w:t>kVa</w:t>
      </w:r>
      <w:proofErr w:type="spellEnd"/>
      <w:r>
        <w:t xml:space="preserve"> short of the threshold, and if taken at </w:t>
      </w:r>
      <w:r w:rsidR="00E05096">
        <w:t xml:space="preserve">150 </w:t>
      </w:r>
      <w:proofErr w:type="spellStart"/>
      <w:r w:rsidR="00E05096">
        <w:t>kVa</w:t>
      </w:r>
      <w:proofErr w:type="spellEnd"/>
      <w:r w:rsidR="00E05096">
        <w:t xml:space="preserve"> on a new meter they would fall into band 3.</w:t>
      </w:r>
    </w:p>
    <w:p w14:paraId="776B6C2E" w14:textId="24ADC2AD" w:rsidR="00E05096" w:rsidRDefault="00BE2041" w:rsidP="00571166">
      <w:r>
        <w:t xml:space="preserve">In monetary terms, this means they will continue to pay £18,250 per year, rather than </w:t>
      </w:r>
      <w:r w:rsidR="008D1395">
        <w:t xml:space="preserve">£9,855. </w:t>
      </w:r>
    </w:p>
    <w:p w14:paraId="23066206" w14:textId="6C66BFC6" w:rsidR="00571166" w:rsidRDefault="00571166" w:rsidP="00571166">
      <w:pPr>
        <w:rPr>
          <w:b/>
          <w:bCs/>
        </w:rPr>
      </w:pPr>
      <w:r w:rsidRPr="00373289">
        <w:rPr>
          <w:b/>
          <w:bCs/>
        </w:rPr>
        <w:t>Example</w:t>
      </w:r>
      <w:r w:rsidR="00D96D50">
        <w:rPr>
          <w:b/>
          <w:bCs/>
        </w:rPr>
        <w:t xml:space="preserve"> 4</w:t>
      </w:r>
      <w:r w:rsidRPr="00373289">
        <w:rPr>
          <w:b/>
          <w:bCs/>
        </w:rPr>
        <w:t xml:space="preserve"> – </w:t>
      </w:r>
      <w:r w:rsidR="00B91784">
        <w:rPr>
          <w:b/>
          <w:bCs/>
        </w:rPr>
        <w:t>Non-Half Hourly Meter</w:t>
      </w:r>
    </w:p>
    <w:p w14:paraId="70BA1425" w14:textId="7BD165C0" w:rsidR="00B91784" w:rsidRDefault="00B91784" w:rsidP="00571166">
      <w:r>
        <w:t xml:space="preserve">Our customer has </w:t>
      </w:r>
      <w:r w:rsidR="00637B24">
        <w:t>two</w:t>
      </w:r>
      <w:r>
        <w:t xml:space="preserve"> non-half hourly meters fitted</w:t>
      </w:r>
      <w:r w:rsidR="00637B24">
        <w:t xml:space="preserve"> at their farm, and </w:t>
      </w:r>
      <w:r w:rsidR="006616EE">
        <w:t>farm buildings on the same site.</w:t>
      </w:r>
      <w:r w:rsidR="00BC48B8">
        <w:t xml:space="preserve"> The </w:t>
      </w:r>
      <w:r w:rsidR="008C69FC">
        <w:t xml:space="preserve">primary meter has an </w:t>
      </w:r>
      <w:r w:rsidR="00BC48B8">
        <w:t xml:space="preserve">annual consumption </w:t>
      </w:r>
      <w:r w:rsidR="008C69FC">
        <w:t>of</w:t>
      </w:r>
      <w:r w:rsidR="00BC48B8">
        <w:t xml:space="preserve"> around 66,000 kWh</w:t>
      </w:r>
      <w:r w:rsidR="008C69FC">
        <w:t>.</w:t>
      </w:r>
    </w:p>
    <w:p w14:paraId="63468FF2" w14:textId="12B5C5C6" w:rsidR="006616EE" w:rsidRDefault="006616EE" w:rsidP="00571166">
      <w:r>
        <w:t xml:space="preserve">Their </w:t>
      </w:r>
      <w:proofErr w:type="gramStart"/>
      <w:r>
        <w:t>12 month</w:t>
      </w:r>
      <w:proofErr w:type="gramEnd"/>
      <w:r>
        <w:t xml:space="preserve"> contract</w:t>
      </w:r>
      <w:r w:rsidR="00D94ED5">
        <w:t xml:space="preserve"> for this meter,</w:t>
      </w:r>
      <w:r>
        <w:t xml:space="preserve"> agreed in late-2022</w:t>
      </w:r>
      <w:r w:rsidR="00D94ED5">
        <w:t>,</w:t>
      </w:r>
      <w:r>
        <w:t xml:space="preserve"> ha</w:t>
      </w:r>
      <w:r w:rsidR="00D94ED5">
        <w:t>s</w:t>
      </w:r>
      <w:r>
        <w:t xml:space="preserve"> a standing charge of 40p per day, </w:t>
      </w:r>
      <w:r w:rsidR="00640C61">
        <w:t>£146 per year</w:t>
      </w:r>
      <w:r w:rsidR="00D94ED5">
        <w:t>.</w:t>
      </w:r>
    </w:p>
    <w:p w14:paraId="0849D2D0" w14:textId="6D60CC74" w:rsidR="00640C61" w:rsidRDefault="00640C61" w:rsidP="00571166">
      <w:r>
        <w:t>The new contract, which ha</w:t>
      </w:r>
      <w:r w:rsidR="00D94ED5">
        <w:t>s</w:t>
      </w:r>
      <w:r>
        <w:t xml:space="preserve"> recently been agreed and will go live in the new year, ha</w:t>
      </w:r>
      <w:r w:rsidR="00D94ED5">
        <w:t xml:space="preserve">s a standing charge of </w:t>
      </w:r>
      <w:r w:rsidR="00D94ED5" w:rsidRPr="00D94ED5">
        <w:t>192.596</w:t>
      </w:r>
      <w:r w:rsidR="00D94ED5">
        <w:t>p per day, £</w:t>
      </w:r>
      <w:r w:rsidR="00D16975">
        <w:t xml:space="preserve">703 per year. </w:t>
      </w:r>
    </w:p>
    <w:p w14:paraId="265C66C1" w14:textId="41995651" w:rsidR="003462DC" w:rsidRDefault="00D641B6" w:rsidP="00571166">
      <w:r>
        <w:t>This is over 4 times the current contract</w:t>
      </w:r>
      <w:r w:rsidR="00606C25">
        <w:t xml:space="preserve">. Given some farmers have </w:t>
      </w:r>
      <w:r w:rsidR="000B21FC">
        <w:t>upwards of 10 meters covering multiple</w:t>
      </w:r>
      <w:r w:rsidR="00B007AD">
        <w:t xml:space="preserve"> installations at various</w:t>
      </w:r>
      <w:r w:rsidR="000B21FC">
        <w:t xml:space="preserve"> sites across their operations, this represents a significant </w:t>
      </w:r>
      <w:r w:rsidR="00B007AD">
        <w:t xml:space="preserve">increase in charges over which they have no real control short of removing meters and looking at </w:t>
      </w:r>
      <w:r w:rsidR="003462DC">
        <w:t>local generation (which is often diesel).</w:t>
      </w:r>
    </w:p>
    <w:p w14:paraId="2EAAC266" w14:textId="03F4D361" w:rsidR="003C7039" w:rsidRDefault="0064341C" w:rsidP="003C7039">
      <w:pPr>
        <w:pStyle w:val="Heading2"/>
      </w:pPr>
      <w:bookmarkStart w:id="3" w:name="_Toc152850905"/>
      <w:r>
        <w:t>Proposed Solutions</w:t>
      </w:r>
      <w:bookmarkEnd w:id="3"/>
    </w:p>
    <w:p w14:paraId="4D95349D" w14:textId="40E71417" w:rsidR="00C71DD5" w:rsidRPr="00B42BE9" w:rsidRDefault="00C71DD5" w:rsidP="00C71DD5">
      <w:pPr>
        <w:rPr>
          <w:b/>
          <w:bCs/>
        </w:rPr>
      </w:pPr>
      <w:r>
        <w:rPr>
          <w:b/>
          <w:bCs/>
        </w:rPr>
        <w:br/>
        <w:t xml:space="preserve">Standing Changes based on </w:t>
      </w:r>
      <w:r w:rsidRPr="00B42BE9">
        <w:rPr>
          <w:b/>
          <w:bCs/>
        </w:rPr>
        <w:t>Annualised Average:</w:t>
      </w:r>
    </w:p>
    <w:p w14:paraId="70103DFA" w14:textId="34A08F9D" w:rsidR="00C71DD5" w:rsidRDefault="00C71DD5" w:rsidP="00C71DD5">
      <w:r>
        <w:t>We believe that a fairer approach to this – acknowledging that suppliers and DNOs must pass on at least some of the costs of upgrading the network – would be to base Standing Charges on an annualised average, rather than peak demand, where possible.</w:t>
      </w:r>
      <w:r w:rsidR="00E71E70">
        <w:t xml:space="preserve"> This could utilise EAC or an average of peak demand across </w:t>
      </w:r>
      <w:proofErr w:type="gramStart"/>
      <w:r w:rsidR="00181635">
        <w:t>a number of</w:t>
      </w:r>
      <w:proofErr w:type="gramEnd"/>
      <w:r w:rsidR="00181635">
        <w:t xml:space="preserve"> months.</w:t>
      </w:r>
    </w:p>
    <w:p w14:paraId="3A26A2F2" w14:textId="4E9E56F6" w:rsidR="00C71DD5" w:rsidRDefault="00C71DD5" w:rsidP="00C71DD5">
      <w:r>
        <w:t xml:space="preserve">This would still mean that those making most use of the network would be paying the </w:t>
      </w:r>
      <w:proofErr w:type="gramStart"/>
      <w:r>
        <w:t>most, but</w:t>
      </w:r>
      <w:proofErr w:type="gramEnd"/>
      <w:r>
        <w:t xml:space="preserve"> would take a bigger picture approach to doing so</w:t>
      </w:r>
      <w:r w:rsidR="00181635">
        <w:t xml:space="preserve"> to ensure that occasional high demand would not have a disproportionate impact on a customer’s bills.</w:t>
      </w:r>
    </w:p>
    <w:p w14:paraId="7745F2F4" w14:textId="77777777" w:rsidR="00C71DD5" w:rsidRPr="00B42BE9" w:rsidRDefault="00C71DD5" w:rsidP="00C71DD5">
      <w:pPr>
        <w:rPr>
          <w:b/>
          <w:bCs/>
        </w:rPr>
      </w:pPr>
      <w:r w:rsidRPr="00B42BE9">
        <w:rPr>
          <w:b/>
          <w:bCs/>
        </w:rPr>
        <w:t>Change to banding-moves</w:t>
      </w:r>
      <w:r>
        <w:rPr>
          <w:b/>
          <w:bCs/>
        </w:rPr>
        <w:t xml:space="preserve"> under Schedule 32 of the </w:t>
      </w:r>
      <w:r w:rsidRPr="00201AC9">
        <w:rPr>
          <w:b/>
          <w:bCs/>
        </w:rPr>
        <w:t>Distribution Connection and Use of System Agreement</w:t>
      </w:r>
      <w:r w:rsidRPr="00B42BE9">
        <w:rPr>
          <w:b/>
          <w:bCs/>
        </w:rPr>
        <w:t>:</w:t>
      </w:r>
    </w:p>
    <w:p w14:paraId="51868110" w14:textId="77777777" w:rsidR="00C71DD5" w:rsidRDefault="00C71DD5" w:rsidP="00C71DD5">
      <w:r>
        <w:t>Where it is not possible to use average demand, we would suggest decreasing the requirements around re-banding.</w:t>
      </w:r>
    </w:p>
    <w:p w14:paraId="3012178F" w14:textId="3A902ED7" w:rsidR="00C71DD5" w:rsidRDefault="00C71DD5" w:rsidP="00C71DD5">
      <w:r>
        <w:t xml:space="preserve">The requirement that </w:t>
      </w:r>
      <w:proofErr w:type="spellStart"/>
      <w:r>
        <w:t>kVa</w:t>
      </w:r>
      <w:proofErr w:type="spellEnd"/>
      <w:r>
        <w:t xml:space="preserve"> is reduced by at least 50% to move band is prohibitive and results in situations like Example </w:t>
      </w:r>
      <w:r w:rsidR="00D96D50">
        <w:t>3</w:t>
      </w:r>
      <w:r>
        <w:t>. Given the significant increase in standing charge for the higher bands, it is increasingly important that people are in the correct band for their actual peak demand, where an annualised average is not possible.</w:t>
      </w:r>
    </w:p>
    <w:p w14:paraId="411E8D22" w14:textId="77777777" w:rsidR="00C71DD5" w:rsidRDefault="00C71DD5" w:rsidP="00C71DD5">
      <w:r>
        <w:t xml:space="preserve">A change from requiring a reduction from 50% to simply assessing where </w:t>
      </w:r>
      <w:proofErr w:type="spellStart"/>
      <w:r>
        <w:t>kVa</w:t>
      </w:r>
      <w:proofErr w:type="spellEnd"/>
      <w:r>
        <w:t xml:space="preserve"> </w:t>
      </w:r>
      <w:proofErr w:type="gramStart"/>
      <w:r>
        <w:t>actually sits</w:t>
      </w:r>
      <w:proofErr w:type="gramEnd"/>
      <w:r>
        <w:t xml:space="preserve"> within the bands would significantly alleviate the disproportionate effect on many non-domestic customers, and result in a fairer cost distribution across the network.</w:t>
      </w:r>
    </w:p>
    <w:p w14:paraId="4C19366E" w14:textId="77777777" w:rsidR="00C71DD5" w:rsidRDefault="00C71DD5" w:rsidP="00C71DD5">
      <w:pPr>
        <w:rPr>
          <w:b/>
          <w:bCs/>
        </w:rPr>
      </w:pPr>
      <w:r w:rsidRPr="00B42BE9">
        <w:rPr>
          <w:b/>
          <w:bCs/>
        </w:rPr>
        <w:t>Increased banding</w:t>
      </w:r>
      <w:r>
        <w:rPr>
          <w:b/>
          <w:bCs/>
        </w:rPr>
        <w:t xml:space="preserve"> segmentation</w:t>
      </w:r>
      <w:r w:rsidRPr="00B42BE9">
        <w:rPr>
          <w:b/>
          <w:bCs/>
        </w:rPr>
        <w:t>:</w:t>
      </w:r>
    </w:p>
    <w:p w14:paraId="7E49F512" w14:textId="77777777" w:rsidR="00C71DD5" w:rsidRDefault="00C71DD5" w:rsidP="00C71DD5">
      <w:r>
        <w:t>Many people in Band 1 are paying disproportionate Standing Charges for the energy use. Where their consumption is low, but they have a high voltage meter – as in the case of the Anaerobic Digestion plant above.</w:t>
      </w:r>
    </w:p>
    <w:p w14:paraId="764BAEF1" w14:textId="3F91B687" w:rsidR="00C71DD5" w:rsidRDefault="00C71DD5" w:rsidP="00C71DD5">
      <w:r>
        <w:t>Increasing segmentation of the Standing Charge bandings, so that there are more bands which, therefore, more closely represent the usage the customers within them, would more fairly distribute the costs of upgrading the network.</w:t>
      </w:r>
    </w:p>
    <w:p w14:paraId="33CECF4D" w14:textId="77777777" w:rsidR="002807BA" w:rsidRDefault="002807BA" w:rsidP="002807BA">
      <w:pPr>
        <w:rPr>
          <w:b/>
          <w:bCs/>
        </w:rPr>
      </w:pPr>
      <w:r w:rsidRPr="00AF274A">
        <w:rPr>
          <w:b/>
          <w:bCs/>
        </w:rPr>
        <w:t xml:space="preserve">Increase frequency of banding </w:t>
      </w:r>
      <w:r>
        <w:rPr>
          <w:b/>
          <w:bCs/>
        </w:rPr>
        <w:t>changes:</w:t>
      </w:r>
    </w:p>
    <w:p w14:paraId="19036F3A" w14:textId="3D565A63" w:rsidR="002807BA" w:rsidRDefault="002807BA" w:rsidP="00C71DD5">
      <w:r>
        <w:t xml:space="preserve">Currently customers are limited </w:t>
      </w:r>
      <w:r w:rsidR="007074A6">
        <w:t xml:space="preserve">to one change per year in terms of banding. </w:t>
      </w:r>
      <w:r w:rsidR="004A1944">
        <w:t xml:space="preserve">Increasing the frequency and potentially automating the </w:t>
      </w:r>
      <w:r w:rsidR="00D90CF6">
        <w:t>change of a scheduled basis (we would suggest quarterly</w:t>
      </w:r>
      <w:r w:rsidR="00F468AE">
        <w:t>)</w:t>
      </w:r>
      <w:r w:rsidR="00841D56">
        <w:t>.</w:t>
      </w:r>
    </w:p>
    <w:p w14:paraId="7B87AAB7" w14:textId="6FDCBA90" w:rsidR="007C1FB6" w:rsidRDefault="007C1FB6" w:rsidP="00C71DD5">
      <w:r>
        <w:t xml:space="preserve">This would mean that customer such as those in Example 2 would not </w:t>
      </w:r>
      <w:r w:rsidR="00254D90">
        <w:t xml:space="preserve">pay high levels of standing charge for the months – 9 or 10 of them – during which their equipment lies </w:t>
      </w:r>
      <w:proofErr w:type="gramStart"/>
      <w:r w:rsidR="00254D90">
        <w:t>dormant, but</w:t>
      </w:r>
      <w:proofErr w:type="gramEnd"/>
      <w:r w:rsidR="00254D90">
        <w:t xml:space="preserve"> would pay at a higher level for the quarter in which they need to run the equipment.</w:t>
      </w:r>
    </w:p>
    <w:p w14:paraId="353C1FB6" w14:textId="6175A4E1" w:rsidR="00AD197F" w:rsidRPr="00AD197F" w:rsidRDefault="00AD197F" w:rsidP="00C71DD5">
      <w:pPr>
        <w:rPr>
          <w:b/>
          <w:bCs/>
        </w:rPr>
      </w:pPr>
      <w:r w:rsidRPr="00AD197F">
        <w:rPr>
          <w:b/>
          <w:bCs/>
        </w:rPr>
        <w:t xml:space="preserve">Remove Standing Charges from “fixed” </w:t>
      </w:r>
      <w:proofErr w:type="gramStart"/>
      <w:r w:rsidRPr="00AD197F">
        <w:rPr>
          <w:b/>
          <w:bCs/>
        </w:rPr>
        <w:t>contracts</w:t>
      </w:r>
      <w:proofErr w:type="gramEnd"/>
    </w:p>
    <w:p w14:paraId="24D978D4" w14:textId="3E0C175D" w:rsidR="00AD197F" w:rsidRDefault="00AD197F" w:rsidP="00C71DD5">
      <w:r>
        <w:t xml:space="preserve">Where a customer signs a contract with a </w:t>
      </w:r>
      <w:r w:rsidR="000928F6">
        <w:t>standing charge as part of the terms, even a change in banding will not change the level of standing charge they pay.</w:t>
      </w:r>
    </w:p>
    <w:p w14:paraId="4DA15E8A" w14:textId="299C78AF" w:rsidR="000928F6" w:rsidRPr="00AD197F" w:rsidRDefault="000928F6" w:rsidP="00C71DD5">
      <w:r>
        <w:t xml:space="preserve">Given the significant increase in third party costs within the makeup of standing charges, we would suggest moving standing charges out of the fixed rates contained in a contract and moving them to a </w:t>
      </w:r>
      <w:proofErr w:type="gramStart"/>
      <w:r>
        <w:t>third party</w:t>
      </w:r>
      <w:proofErr w:type="gramEnd"/>
      <w:r>
        <w:t xml:space="preserve"> cost, in a similar way to C</w:t>
      </w:r>
      <w:r w:rsidR="003462DC">
        <w:t xml:space="preserve">limate </w:t>
      </w:r>
      <w:r>
        <w:t>C</w:t>
      </w:r>
      <w:r w:rsidR="003462DC">
        <w:t xml:space="preserve">hange </w:t>
      </w:r>
      <w:r>
        <w:t>L</w:t>
      </w:r>
      <w:r w:rsidR="003462DC">
        <w:t>evy</w:t>
      </w:r>
      <w:r w:rsidR="007C1FB6">
        <w:t xml:space="preserve">, which is recalculated on a quarterly basis. </w:t>
      </w:r>
    </w:p>
    <w:p w14:paraId="50835A0C" w14:textId="794345CB" w:rsidR="00C71DD5" w:rsidRPr="00112180" w:rsidRDefault="00C71DD5" w:rsidP="00C71DD5">
      <w:pPr>
        <w:rPr>
          <w:b/>
          <w:bCs/>
        </w:rPr>
      </w:pPr>
      <w:r>
        <w:rPr>
          <w:b/>
          <w:bCs/>
        </w:rPr>
        <w:t>Renewable</w:t>
      </w:r>
      <w:r w:rsidRPr="00112180">
        <w:rPr>
          <w:b/>
          <w:bCs/>
        </w:rPr>
        <w:t xml:space="preserve"> Generation</w:t>
      </w:r>
      <w:r w:rsidR="000161FE">
        <w:rPr>
          <w:b/>
          <w:bCs/>
        </w:rPr>
        <w:t>:</w:t>
      </w:r>
    </w:p>
    <w:p w14:paraId="4CD03A04" w14:textId="79F34AA0" w:rsidR="00912A75" w:rsidRDefault="00C71DD5" w:rsidP="00C71DD5">
      <w:r>
        <w:t>Where renewable generation is taking place, the steep increase in standing charges is acting as a deterrent to continue</w:t>
      </w:r>
      <w:r w:rsidR="00912A75">
        <w:t>d</w:t>
      </w:r>
      <w:r>
        <w:t xml:space="preserve"> generati</w:t>
      </w:r>
      <w:r w:rsidR="00912A75">
        <w:t>o</w:t>
      </w:r>
      <w:r>
        <w:t>n</w:t>
      </w:r>
      <w:r w:rsidR="001E082F">
        <w:t xml:space="preserve">. Potentially driving renewable generators out of the market seems at odds with the policy intention behind the </w:t>
      </w:r>
      <w:r w:rsidR="00E17655">
        <w:t xml:space="preserve">changes to </w:t>
      </w:r>
      <w:r w:rsidR="00AC2C71">
        <w:t>s</w:t>
      </w:r>
      <w:r w:rsidR="00E17655">
        <w:t xml:space="preserve">tanding </w:t>
      </w:r>
      <w:r w:rsidR="00AC2C71">
        <w:t>c</w:t>
      </w:r>
      <w:r w:rsidR="00E17655">
        <w:t>harges.</w:t>
      </w:r>
    </w:p>
    <w:p w14:paraId="50F3E627" w14:textId="26ECF609" w:rsidR="003C7039" w:rsidRDefault="00C71DD5" w:rsidP="000161FE">
      <w:r>
        <w:t xml:space="preserve">We would suggest </w:t>
      </w:r>
      <w:r w:rsidR="003B6055">
        <w:t xml:space="preserve">finding a way to </w:t>
      </w:r>
      <w:r w:rsidR="000161FE">
        <w:t>decrease the impact on</w:t>
      </w:r>
      <w:r w:rsidR="00E17655">
        <w:t xml:space="preserve"> </w:t>
      </w:r>
      <w:r>
        <w:t xml:space="preserve">those generating renewable energy from the </w:t>
      </w:r>
      <w:r w:rsidR="00B37D71">
        <w:t>increases in standing charges</w:t>
      </w:r>
      <w:r w:rsidR="000161FE">
        <w:t>. This could be through a subsidy or reduction in the standing charge for these customers.</w:t>
      </w:r>
      <w:r w:rsidR="0052557A">
        <w:t xml:space="preserve"> </w:t>
      </w:r>
    </w:p>
    <w:sectPr w:rsidR="003C7039">
      <w:headerReference w:type="default" r:id="rId15"/>
      <w:footerReference w:type="even" r:id="rId16"/>
      <w:footerReference w:type="defaul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09495" w14:textId="77777777" w:rsidR="00011A6F" w:rsidRDefault="00011A6F" w:rsidP="003C7039">
      <w:pPr>
        <w:spacing w:after="0" w:line="240" w:lineRule="auto"/>
      </w:pPr>
      <w:r>
        <w:separator/>
      </w:r>
    </w:p>
  </w:endnote>
  <w:endnote w:type="continuationSeparator" w:id="0">
    <w:p w14:paraId="6C03DDC5" w14:textId="77777777" w:rsidR="00011A6F" w:rsidRDefault="00011A6F" w:rsidP="003C7039">
      <w:pPr>
        <w:spacing w:after="0" w:line="240" w:lineRule="auto"/>
      </w:pPr>
      <w:r>
        <w:continuationSeparator/>
      </w:r>
    </w:p>
  </w:endnote>
  <w:endnote w:type="continuationNotice" w:id="1">
    <w:p w14:paraId="54BA56D4" w14:textId="77777777" w:rsidR="00011A6F" w:rsidRDefault="00011A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552C8" w14:textId="36B63D28" w:rsidR="002A2DF5" w:rsidRDefault="002A2DF5">
    <w:pPr>
      <w:pStyle w:val="Footer"/>
    </w:pPr>
    <w:r>
      <w:rPr>
        <w:noProof/>
      </w:rPr>
      <mc:AlternateContent>
        <mc:Choice Requires="wps">
          <w:drawing>
            <wp:anchor distT="0" distB="0" distL="0" distR="0" simplePos="0" relativeHeight="251660289" behindDoc="0" locked="0" layoutInCell="1" allowOverlap="1" wp14:anchorId="0854ED85" wp14:editId="1CC6BBC0">
              <wp:simplePos x="635" y="635"/>
              <wp:positionH relativeFrom="page">
                <wp:align>center</wp:align>
              </wp:positionH>
              <wp:positionV relativeFrom="page">
                <wp:align>bottom</wp:align>
              </wp:positionV>
              <wp:extent cx="443865" cy="44386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3674BA" w14:textId="0828B57A" w:rsidR="002A2DF5" w:rsidRPr="002A2DF5" w:rsidRDefault="002A2DF5" w:rsidP="002A2DF5">
                          <w:pPr>
                            <w:spacing w:after="0"/>
                            <w:rPr>
                              <w:rFonts w:ascii="Calibri" w:eastAsia="Calibri" w:hAnsi="Calibri" w:cs="Calibri"/>
                              <w:noProof/>
                              <w:color w:val="000000"/>
                              <w:sz w:val="20"/>
                              <w:szCs w:val="20"/>
                            </w:rPr>
                          </w:pPr>
                          <w:r w:rsidRPr="002A2DF5">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854ED85" id="_x0000_t202" coordsize="21600,21600" o:spt="202" path="m,l,21600r21600,l21600,xe">
              <v:stroke joinstyle="miter"/>
              <v:path gradientshapeok="t" o:connecttype="rect"/>
            </v:shapetype>
            <v:shape id="Text Box 3" o:spid="_x0000_s1026" type="#_x0000_t202" alt="OFFICIAL-InternalOnly" style="position:absolute;margin-left:0;margin-top:0;width:34.95pt;height:34.95pt;z-index:251660289;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143674BA" w14:textId="0828B57A" w:rsidR="002A2DF5" w:rsidRPr="002A2DF5" w:rsidRDefault="002A2DF5" w:rsidP="002A2DF5">
                    <w:pPr>
                      <w:spacing w:after="0"/>
                      <w:rPr>
                        <w:rFonts w:ascii="Calibri" w:eastAsia="Calibri" w:hAnsi="Calibri" w:cs="Calibri"/>
                        <w:noProof/>
                        <w:color w:val="000000"/>
                        <w:sz w:val="20"/>
                        <w:szCs w:val="20"/>
                      </w:rPr>
                    </w:pPr>
                    <w:r w:rsidRPr="002A2DF5">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14DCB" w14:textId="779B9A93" w:rsidR="003C7039" w:rsidRDefault="002A2DF5" w:rsidP="00D35CFE">
    <w:pPr>
      <w:pStyle w:val="Footer"/>
      <w:jc w:val="right"/>
      <w:rPr>
        <w:color w:val="7F7F7F" w:themeColor="background1" w:themeShade="7F"/>
        <w:spacing w:val="60"/>
      </w:rPr>
    </w:pPr>
    <w:r>
      <w:rPr>
        <w:noProof/>
      </w:rPr>
      <mc:AlternateContent>
        <mc:Choice Requires="wps">
          <w:drawing>
            <wp:anchor distT="0" distB="0" distL="0" distR="0" simplePos="0" relativeHeight="251661313" behindDoc="0" locked="0" layoutInCell="1" allowOverlap="1" wp14:anchorId="2785E8BF" wp14:editId="456CBE4A">
              <wp:simplePos x="635" y="635"/>
              <wp:positionH relativeFrom="page">
                <wp:align>center</wp:align>
              </wp:positionH>
              <wp:positionV relativeFrom="page">
                <wp:align>bottom</wp:align>
              </wp:positionV>
              <wp:extent cx="443865" cy="443865"/>
              <wp:effectExtent l="0" t="0" r="9525" b="0"/>
              <wp:wrapNone/>
              <wp:docPr id="4" name="Text Box 4"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0789C9" w14:textId="083DC9A0" w:rsidR="002A2DF5" w:rsidRPr="002A2DF5" w:rsidRDefault="002A2DF5" w:rsidP="002A2DF5">
                          <w:pPr>
                            <w:spacing w:after="0"/>
                            <w:rPr>
                              <w:rFonts w:ascii="Calibri" w:eastAsia="Calibri" w:hAnsi="Calibri" w:cs="Calibri"/>
                              <w:noProof/>
                              <w:color w:val="000000"/>
                              <w:sz w:val="20"/>
                              <w:szCs w:val="20"/>
                            </w:rPr>
                          </w:pPr>
                          <w:r w:rsidRPr="002A2DF5">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785E8BF" id="_x0000_t202" coordsize="21600,21600" o:spt="202" path="m,l,21600r21600,l21600,xe">
              <v:stroke joinstyle="miter"/>
              <v:path gradientshapeok="t" o:connecttype="rect"/>
            </v:shapetype>
            <v:shape id="Text Box 4" o:spid="_x0000_s1027" type="#_x0000_t202" alt="OFFICIAL-InternalOnly" style="position:absolute;left:0;text-align:left;margin-left:0;margin-top:0;width:34.95pt;height:34.95pt;z-index:25166131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3C0789C9" w14:textId="083DC9A0" w:rsidR="002A2DF5" w:rsidRPr="002A2DF5" w:rsidRDefault="002A2DF5" w:rsidP="002A2DF5">
                    <w:pPr>
                      <w:spacing w:after="0"/>
                      <w:rPr>
                        <w:rFonts w:ascii="Calibri" w:eastAsia="Calibri" w:hAnsi="Calibri" w:cs="Calibri"/>
                        <w:noProof/>
                        <w:color w:val="000000"/>
                        <w:sz w:val="20"/>
                        <w:szCs w:val="20"/>
                      </w:rPr>
                    </w:pPr>
                    <w:r w:rsidRPr="002A2DF5">
                      <w:rPr>
                        <w:rFonts w:ascii="Calibri" w:eastAsia="Calibri" w:hAnsi="Calibri" w:cs="Calibri"/>
                        <w:noProof/>
                        <w:color w:val="000000"/>
                        <w:sz w:val="20"/>
                        <w:szCs w:val="20"/>
                      </w:rPr>
                      <w:t>OFFICIAL-InternalOnly</w:t>
                    </w:r>
                  </w:p>
                </w:txbxContent>
              </v:textbox>
              <w10:wrap anchorx="page" anchory="page"/>
            </v:shape>
          </w:pict>
        </mc:Fallback>
      </mc:AlternateContent>
    </w:r>
  </w:p>
  <w:sdt>
    <w:sdtPr>
      <w:id w:val="-1927796443"/>
      <w:docPartObj>
        <w:docPartGallery w:val="Page Numbers (Bottom of Page)"/>
        <w:docPartUnique/>
      </w:docPartObj>
    </w:sdtPr>
    <w:sdtEndPr>
      <w:rPr>
        <w:b/>
        <w:color w:val="FFFFFF" w:themeColor="background1"/>
      </w:rPr>
    </w:sdtEndPr>
    <w:sdtContent>
      <w:p w14:paraId="2C414DCB" w14:textId="779B9A93" w:rsidR="003C7039" w:rsidRDefault="003C7039" w:rsidP="00D35CFE">
        <w:pPr>
          <w:pStyle w:val="Footer"/>
          <w:jc w:val="right"/>
          <w:rPr>
            <w:color w:val="7F7F7F" w:themeColor="background1" w:themeShade="7F"/>
            <w:spacing w:val="60"/>
          </w:rPr>
        </w:pPr>
        <w:r>
          <w:rPr>
            <w:noProof/>
            <w:spacing w:val="6"/>
          </w:rPr>
          <mc:AlternateContent>
            <mc:Choice Requires="wps">
              <w:drawing>
                <wp:anchor distT="0" distB="0" distL="114300" distR="114300" simplePos="0" relativeHeight="251658240" behindDoc="0" locked="0" layoutInCell="1" allowOverlap="1" wp14:anchorId="6430B67E" wp14:editId="3BD5EB4C">
                  <wp:simplePos x="0" y="0"/>
                  <wp:positionH relativeFrom="column">
                    <wp:posOffset>-133350</wp:posOffset>
                  </wp:positionH>
                  <wp:positionV relativeFrom="paragraph">
                    <wp:posOffset>78105</wp:posOffset>
                  </wp:positionV>
                  <wp:extent cx="4888865" cy="485775"/>
                  <wp:effectExtent l="0" t="0" r="0" b="952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886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16546" w14:textId="77777777" w:rsidR="003C7039" w:rsidRPr="00EF2EAB" w:rsidRDefault="003C7039" w:rsidP="00D35CFE">
                              <w:pPr>
                                <w:spacing w:after="0" w:line="260" w:lineRule="exact"/>
                                <w:rPr>
                                  <w:rFonts w:cs="Arial"/>
                                  <w:b/>
                                  <w:noProof/>
                                  <w:color w:val="FFFFFF" w:themeColor="background1"/>
                                  <w:sz w:val="18"/>
                                </w:rPr>
                              </w:pPr>
                              <w:r>
                                <w:rPr>
                                  <w:rFonts w:cs="Arial"/>
                                  <w:b/>
                                  <w:noProof/>
                                  <w:color w:val="FFFFFF" w:themeColor="background1"/>
                                  <w:sz w:val="18"/>
                                </w:rPr>
                                <w:t>NFU Energy 10</w:t>
                              </w:r>
                              <w:r w:rsidRPr="007F6562">
                                <w:rPr>
                                  <w:rFonts w:cs="Arial"/>
                                  <w:b/>
                                  <w:noProof/>
                                  <w:color w:val="FFFFFF" w:themeColor="background1"/>
                                  <w:sz w:val="18"/>
                                  <w:vertAlign w:val="superscript"/>
                                </w:rPr>
                                <w:t>th</w:t>
                              </w:r>
                              <w:r>
                                <w:rPr>
                                  <w:rFonts w:cs="Arial"/>
                                  <w:b/>
                                  <w:noProof/>
                                  <w:color w:val="FFFFFF" w:themeColor="background1"/>
                                  <w:sz w:val="18"/>
                                </w:rPr>
                                <w:t xml:space="preserve"> Street</w:t>
                              </w:r>
                              <w:r w:rsidRPr="00EF2EAB">
                                <w:rPr>
                                  <w:rFonts w:cs="Arial"/>
                                  <w:b/>
                                  <w:noProof/>
                                  <w:color w:val="FFFFFF" w:themeColor="background1"/>
                                  <w:sz w:val="18"/>
                                </w:rPr>
                                <w:t xml:space="preserve">  Stoneleigh Park   Kenilworth   Warwickshire   CV8 2LS</w:t>
                              </w:r>
                            </w:p>
                            <w:p w14:paraId="6636FD07" w14:textId="77777777" w:rsidR="003C7039" w:rsidRPr="00EF2EAB" w:rsidRDefault="003C7039" w:rsidP="00D35CFE">
                              <w:pPr>
                                <w:spacing w:after="0" w:line="260" w:lineRule="exact"/>
                                <w:rPr>
                                  <w:rFonts w:cs="Arial"/>
                                  <w:b/>
                                  <w:noProof/>
                                  <w:color w:val="FFFFFF" w:themeColor="background1"/>
                                  <w:sz w:val="18"/>
                                </w:rPr>
                              </w:pPr>
                              <w:r w:rsidRPr="00EF2EAB">
                                <w:rPr>
                                  <w:rFonts w:cs="Arial"/>
                                  <w:b/>
                                  <w:noProof/>
                                  <w:color w:val="FFFFFF" w:themeColor="background1"/>
                                  <w:sz w:val="18"/>
                                </w:rPr>
                                <w:t>T: 024 7669 6512   F: 024 7669 6360   W: www.</w:t>
                              </w:r>
                              <w:r>
                                <w:rPr>
                                  <w:rFonts w:cs="Arial"/>
                                  <w:b/>
                                  <w:noProof/>
                                  <w:color w:val="FFFFFF" w:themeColor="background1"/>
                                  <w:sz w:val="18"/>
                                </w:rPr>
                                <w:t>nfu-energy</w:t>
                              </w:r>
                              <w:r w:rsidRPr="00EF2EAB">
                                <w:rPr>
                                  <w:rFonts w:cs="Arial"/>
                                  <w:b/>
                                  <w:noProof/>
                                  <w:color w:val="FFFFFF" w:themeColor="background1"/>
                                  <w:sz w:val="18"/>
                                </w:rPr>
                                <w:t>.co.uk</w:t>
                              </w:r>
                            </w:p>
                            <w:p w14:paraId="6695E423" w14:textId="77777777" w:rsidR="003C7039" w:rsidRPr="00EF2EAB" w:rsidRDefault="003C7039" w:rsidP="00D35CFE">
                              <w:pPr>
                                <w:spacing w:before="120" w:after="0" w:line="240" w:lineRule="auto"/>
                                <w:rPr>
                                  <w:rFonts w:cs="Arial"/>
                                  <w:b/>
                                  <w:noProof/>
                                  <w:color w:val="FFFFFF" w:themeColor="background1"/>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C7E2C16">
                <v:shapetype id="_x0000_t202" coordsize="21600,21600" o:spt="202" path="m,l,21600r21600,l21600,xe" w14:anchorId="6430B67E">
                  <v:stroke joinstyle="miter"/>
                  <v:path gradientshapeok="t" o:connecttype="rect"/>
                </v:shapetype>
                <v:shape id="Text Box 17" style="position:absolute;left:0;text-align:left;margin-left:-10.5pt;margin-top:6.15pt;width:384.95pt;height: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">
                  <v:textbox>
                    <w:txbxContent>
                      <w:p w:rsidRPr="00EF2EAB" w:rsidR="003C7039" w:rsidP="00D35CFE" w:rsidRDefault="003C7039" w14:paraId="607F2D59" w14:textId="77777777">
                        <w:pPr>
                          <w:spacing w:after="0" w:line="260" w:lineRule="exact"/>
                          <w:rPr>
                            <w:rFonts w:cs="Arial"/>
                            <w:b/>
                            <w:noProof/>
                            <w:color w:val="FFFFFF" w:themeColor="background1"/>
                            <w:sz w:val="18"/>
                          </w:rPr>
                        </w:pPr>
                        <w:r>
                          <w:rPr>
                            <w:rFonts w:cs="Arial"/>
                            <w:b/>
                            <w:noProof/>
                            <w:color w:val="FFFFFF" w:themeColor="background1"/>
                            <w:sz w:val="18"/>
                          </w:rPr>
                          <w:t>NFU Energy 10</w:t>
                        </w:r>
                        <w:r w:rsidRPr="007F6562">
                          <w:rPr>
                            <w:rFonts w:cs="Arial"/>
                            <w:b/>
                            <w:noProof/>
                            <w:color w:val="FFFFFF" w:themeColor="background1"/>
                            <w:sz w:val="18"/>
                            <w:vertAlign w:val="superscript"/>
                          </w:rPr>
                          <w:t>th</w:t>
                        </w:r>
                        <w:r>
                          <w:rPr>
                            <w:rFonts w:cs="Arial"/>
                            <w:b/>
                            <w:noProof/>
                            <w:color w:val="FFFFFF" w:themeColor="background1"/>
                            <w:sz w:val="18"/>
                          </w:rPr>
                          <w:t xml:space="preserve"> Street</w:t>
                        </w:r>
                        <w:r w:rsidRPr="00EF2EAB">
                          <w:rPr>
                            <w:rFonts w:cs="Arial"/>
                            <w:b/>
                            <w:noProof/>
                            <w:color w:val="FFFFFF" w:themeColor="background1"/>
                            <w:sz w:val="18"/>
                          </w:rPr>
                          <w:t xml:space="preserve">  Stoneleigh Park   Kenilworth   Warwickshire   CV8 2LS</w:t>
                        </w:r>
                      </w:p>
                      <w:p w:rsidRPr="00EF2EAB" w:rsidR="003C7039" w:rsidP="00D35CFE" w:rsidRDefault="003C7039" w14:paraId="25D1C623" w14:textId="77777777">
                        <w:pPr>
                          <w:spacing w:after="0" w:line="260" w:lineRule="exact"/>
                          <w:rPr>
                            <w:rFonts w:cs="Arial"/>
                            <w:b/>
                            <w:noProof/>
                            <w:color w:val="FFFFFF" w:themeColor="background1"/>
                            <w:sz w:val="18"/>
                          </w:rPr>
                        </w:pPr>
                        <w:r w:rsidRPr="00EF2EAB">
                          <w:rPr>
                            <w:rFonts w:cs="Arial"/>
                            <w:b/>
                            <w:noProof/>
                            <w:color w:val="FFFFFF" w:themeColor="background1"/>
                            <w:sz w:val="18"/>
                          </w:rPr>
                          <w:t>T: 024 7669 6512   F: 024 7669 6360   W: www.</w:t>
                        </w:r>
                        <w:r>
                          <w:rPr>
                            <w:rFonts w:cs="Arial"/>
                            <w:b/>
                            <w:noProof/>
                            <w:color w:val="FFFFFF" w:themeColor="background1"/>
                            <w:sz w:val="18"/>
                          </w:rPr>
                          <w:t>nfu-energy</w:t>
                        </w:r>
                        <w:r w:rsidRPr="00EF2EAB">
                          <w:rPr>
                            <w:rFonts w:cs="Arial"/>
                            <w:b/>
                            <w:noProof/>
                            <w:color w:val="FFFFFF" w:themeColor="background1"/>
                            <w:sz w:val="18"/>
                          </w:rPr>
                          <w:t>.co.uk</w:t>
                        </w:r>
                      </w:p>
                      <w:p w:rsidRPr="00EF2EAB" w:rsidR="003C7039" w:rsidP="00D35CFE" w:rsidRDefault="003C7039" w14:paraId="672A6659" w14:textId="77777777">
                        <w:pPr>
                          <w:spacing w:before="120" w:after="0" w:line="240" w:lineRule="auto"/>
                          <w:rPr>
                            <w:rFonts w:cs="Arial"/>
                            <w:b/>
                            <w:noProof/>
                            <w:color w:val="FFFFFF" w:themeColor="background1"/>
                            <w:sz w:val="14"/>
                          </w:rPr>
                        </w:pPr>
                      </w:p>
                    </w:txbxContent>
                  </v:textbox>
                </v:shape>
              </w:pict>
            </mc:Fallback>
          </mc:AlternateContent>
        </w:r>
        <w:r w:rsidRPr="008A135A">
          <w:rPr>
            <w:b/>
            <w:noProof/>
            <w:color w:val="FFFFFF" w:themeColor="background1"/>
            <w:sz w:val="24"/>
          </w:rPr>
          <mc:AlternateContent>
            <mc:Choice Requires="wps">
              <w:drawing>
                <wp:anchor distT="0" distB="0" distL="114300" distR="114300" simplePos="0" relativeHeight="251658241" behindDoc="1" locked="0" layoutInCell="1" allowOverlap="1" wp14:anchorId="18B08F30" wp14:editId="4871F057">
                  <wp:simplePos x="0" y="0"/>
                  <wp:positionH relativeFrom="column">
                    <wp:posOffset>-962025</wp:posOffset>
                  </wp:positionH>
                  <wp:positionV relativeFrom="paragraph">
                    <wp:posOffset>-45720</wp:posOffset>
                  </wp:positionV>
                  <wp:extent cx="7677150" cy="895350"/>
                  <wp:effectExtent l="57150" t="19050" r="76200" b="95250"/>
                  <wp:wrapNone/>
                  <wp:docPr id="26" name="Rectangle 26"/>
                  <wp:cNvGraphicFramePr/>
                  <a:graphic xmlns:a="http://schemas.openxmlformats.org/drawingml/2006/main">
                    <a:graphicData uri="http://schemas.microsoft.com/office/word/2010/wordprocessingShape">
                      <wps:wsp>
                        <wps:cNvSpPr/>
                        <wps:spPr>
                          <a:xfrm>
                            <a:off x="0" y="0"/>
                            <a:ext cx="7677150" cy="895350"/>
                          </a:xfrm>
                          <a:prstGeom prst="rect">
                            <a:avLst/>
                          </a:prstGeom>
                          <a:solidFill>
                            <a:schemeClr val="bg1">
                              <a:lumMod val="65000"/>
                            </a:schemeClr>
                          </a:solidFill>
                          <a:ln>
                            <a:solidFill>
                              <a:schemeClr val="bg1">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14="http://schemas.microsoft.com/office/drawing/2010/main" xmlns:a="http://schemas.openxmlformats.org/drawingml/2006/main">
              <w:pict w14:anchorId="7DF8AE0E">
                <v:rect id="Rectangle 26" style="position:absolute;margin-left:-75.75pt;margin-top:-3.6pt;width:604.5pt;height: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a5a5a5 [2092]" strokecolor="#bfbfbf [2412]" w14:anchorId="080B7D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">
                  <v:shadow on="t" color="black" opacity="22937f" offset="0,.63889mm" origin=",.5"/>
                </v:rect>
              </w:pict>
            </mc:Fallback>
          </mc:AlternateContent>
        </w:r>
      </w:p>
      <w:p w14:paraId="60522170" w14:textId="77777777" w:rsidR="003C7039" w:rsidRPr="00EF2EAB" w:rsidRDefault="003C7039" w:rsidP="00D35CFE">
        <w:pPr>
          <w:tabs>
            <w:tab w:val="right" w:pos="9356"/>
          </w:tabs>
          <w:jc w:val="right"/>
          <w:rPr>
            <w:b/>
            <w:noProof/>
            <w:color w:val="FFFFFF" w:themeColor="background1"/>
            <w:sz w:val="18"/>
          </w:rPr>
        </w:pPr>
        <w:r w:rsidRPr="00EF2EAB">
          <w:rPr>
            <w:b/>
            <w:noProof/>
            <w:color w:val="FFFFFF" w:themeColor="background1"/>
            <w:sz w:val="14"/>
          </w:rPr>
          <w:t>© 201</w:t>
        </w:r>
        <w:r>
          <w:rPr>
            <w:b/>
            <w:noProof/>
            <w:color w:val="FFFFFF" w:themeColor="background1"/>
            <w:sz w:val="14"/>
          </w:rPr>
          <w:t>8 NFU Energy</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476FE" w14:textId="3C6ACD4F" w:rsidR="002A2DF5" w:rsidRDefault="002A2DF5">
    <w:pPr>
      <w:pStyle w:val="Footer"/>
    </w:pPr>
    <w:r>
      <w:rPr>
        <w:noProof/>
      </w:rPr>
      <mc:AlternateContent>
        <mc:Choice Requires="wps">
          <w:drawing>
            <wp:anchor distT="0" distB="0" distL="0" distR="0" simplePos="0" relativeHeight="251659265" behindDoc="0" locked="0" layoutInCell="1" allowOverlap="1" wp14:anchorId="685331EE" wp14:editId="7764075B">
              <wp:simplePos x="635" y="635"/>
              <wp:positionH relativeFrom="page">
                <wp:align>center</wp:align>
              </wp:positionH>
              <wp:positionV relativeFrom="page">
                <wp:align>bottom</wp:align>
              </wp:positionV>
              <wp:extent cx="443865" cy="44386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61F200" w14:textId="0E8DF7B1" w:rsidR="002A2DF5" w:rsidRPr="002A2DF5" w:rsidRDefault="002A2DF5" w:rsidP="002A2DF5">
                          <w:pPr>
                            <w:spacing w:after="0"/>
                            <w:rPr>
                              <w:rFonts w:ascii="Calibri" w:eastAsia="Calibri" w:hAnsi="Calibri" w:cs="Calibri"/>
                              <w:noProof/>
                              <w:color w:val="000000"/>
                              <w:sz w:val="20"/>
                              <w:szCs w:val="20"/>
                            </w:rPr>
                          </w:pPr>
                          <w:r w:rsidRPr="002A2DF5">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85331EE" id="_x0000_t202" coordsize="21600,21600" o:spt="202" path="m,l,21600r21600,l21600,xe">
              <v:stroke joinstyle="miter"/>
              <v:path gradientshapeok="t" o:connecttype="rect"/>
            </v:shapetype>
            <v:shape id="Text Box 1" o:spid="_x0000_s1029" type="#_x0000_t202" alt="OFFICIAL-InternalOnly" style="position:absolute;margin-left:0;margin-top:0;width:34.95pt;height:34.95pt;z-index:25165926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7E61F200" w14:textId="0E8DF7B1" w:rsidR="002A2DF5" w:rsidRPr="002A2DF5" w:rsidRDefault="002A2DF5" w:rsidP="002A2DF5">
                    <w:pPr>
                      <w:spacing w:after="0"/>
                      <w:rPr>
                        <w:rFonts w:ascii="Calibri" w:eastAsia="Calibri" w:hAnsi="Calibri" w:cs="Calibri"/>
                        <w:noProof/>
                        <w:color w:val="000000"/>
                        <w:sz w:val="20"/>
                        <w:szCs w:val="20"/>
                      </w:rPr>
                    </w:pPr>
                    <w:r w:rsidRPr="002A2DF5">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3EE02" w14:textId="76A7164E" w:rsidR="002A2DF5" w:rsidRDefault="002A2DF5">
    <w:pPr>
      <w:pStyle w:val="Footer"/>
    </w:pPr>
    <w:r>
      <w:rPr>
        <w:noProof/>
      </w:rPr>
      <mc:AlternateContent>
        <mc:Choice Requires="wps">
          <w:drawing>
            <wp:anchor distT="0" distB="0" distL="0" distR="0" simplePos="0" relativeHeight="251663361" behindDoc="0" locked="0" layoutInCell="1" allowOverlap="1" wp14:anchorId="030FA267" wp14:editId="49713E46">
              <wp:simplePos x="635" y="635"/>
              <wp:positionH relativeFrom="page">
                <wp:align>center</wp:align>
              </wp:positionH>
              <wp:positionV relativeFrom="page">
                <wp:align>bottom</wp:align>
              </wp:positionV>
              <wp:extent cx="443865" cy="443865"/>
              <wp:effectExtent l="0" t="0" r="9525" b="0"/>
              <wp:wrapNone/>
              <wp:docPr id="6" name="Text Box 6"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13455" w14:textId="4A917639" w:rsidR="002A2DF5" w:rsidRPr="002A2DF5" w:rsidRDefault="002A2DF5" w:rsidP="002A2DF5">
                          <w:pPr>
                            <w:spacing w:after="0"/>
                            <w:rPr>
                              <w:rFonts w:ascii="Calibri" w:eastAsia="Calibri" w:hAnsi="Calibri" w:cs="Calibri"/>
                              <w:noProof/>
                              <w:color w:val="000000"/>
                              <w:sz w:val="20"/>
                              <w:szCs w:val="20"/>
                            </w:rPr>
                          </w:pPr>
                          <w:r w:rsidRPr="002A2DF5">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30FA267" id="_x0000_t202" coordsize="21600,21600" o:spt="202" path="m,l,21600r21600,l21600,xe">
              <v:stroke joinstyle="miter"/>
              <v:path gradientshapeok="t" o:connecttype="rect"/>
            </v:shapetype>
            <v:shape id="Text Box 6" o:spid="_x0000_s1030" type="#_x0000_t202" alt="OFFICIAL-InternalOnly" style="position:absolute;margin-left:0;margin-top:0;width:34.95pt;height:34.95pt;z-index:25166336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51913455" w14:textId="4A917639" w:rsidR="002A2DF5" w:rsidRPr="002A2DF5" w:rsidRDefault="002A2DF5" w:rsidP="002A2DF5">
                    <w:pPr>
                      <w:spacing w:after="0"/>
                      <w:rPr>
                        <w:rFonts w:ascii="Calibri" w:eastAsia="Calibri" w:hAnsi="Calibri" w:cs="Calibri"/>
                        <w:noProof/>
                        <w:color w:val="000000"/>
                        <w:sz w:val="20"/>
                        <w:szCs w:val="20"/>
                      </w:rPr>
                    </w:pPr>
                    <w:r w:rsidRPr="002A2DF5">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99506" w14:textId="65420309" w:rsidR="002A2DF5" w:rsidRDefault="002A2DF5">
    <w:pPr>
      <w:pStyle w:val="Footer"/>
    </w:pPr>
    <w:r>
      <w:rPr>
        <w:noProof/>
      </w:rPr>
      <mc:AlternateContent>
        <mc:Choice Requires="wps">
          <w:drawing>
            <wp:anchor distT="0" distB="0" distL="0" distR="0" simplePos="0" relativeHeight="251664385" behindDoc="0" locked="0" layoutInCell="1" allowOverlap="1" wp14:anchorId="307B5AE5" wp14:editId="1E6EABF9">
              <wp:simplePos x="635" y="635"/>
              <wp:positionH relativeFrom="page">
                <wp:align>center</wp:align>
              </wp:positionH>
              <wp:positionV relativeFrom="page">
                <wp:align>bottom</wp:align>
              </wp:positionV>
              <wp:extent cx="443865" cy="443865"/>
              <wp:effectExtent l="0" t="0" r="9525" b="0"/>
              <wp:wrapNone/>
              <wp:docPr id="7" name="Text Box 7"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55BB91" w14:textId="0E098637" w:rsidR="002A2DF5" w:rsidRPr="002A2DF5" w:rsidRDefault="002A2DF5" w:rsidP="002A2DF5">
                          <w:pPr>
                            <w:spacing w:after="0"/>
                            <w:rPr>
                              <w:rFonts w:ascii="Calibri" w:eastAsia="Calibri" w:hAnsi="Calibri" w:cs="Calibri"/>
                              <w:noProof/>
                              <w:color w:val="000000"/>
                              <w:sz w:val="20"/>
                              <w:szCs w:val="20"/>
                            </w:rPr>
                          </w:pPr>
                          <w:r w:rsidRPr="002A2DF5">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7B5AE5" id="_x0000_t202" coordsize="21600,21600" o:spt="202" path="m,l,21600r21600,l21600,xe">
              <v:stroke joinstyle="miter"/>
              <v:path gradientshapeok="t" o:connecttype="rect"/>
            </v:shapetype>
            <v:shape id="Text Box 7" o:spid="_x0000_s1031" type="#_x0000_t202" alt="OFFICIAL-InternalOnly" style="position:absolute;margin-left:0;margin-top:0;width:34.95pt;height:34.95pt;z-index:25166438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AwgpOo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6255BB91" w14:textId="0E098637" w:rsidR="002A2DF5" w:rsidRPr="002A2DF5" w:rsidRDefault="002A2DF5" w:rsidP="002A2DF5">
                    <w:pPr>
                      <w:spacing w:after="0"/>
                      <w:rPr>
                        <w:rFonts w:ascii="Calibri" w:eastAsia="Calibri" w:hAnsi="Calibri" w:cs="Calibri"/>
                        <w:noProof/>
                        <w:color w:val="000000"/>
                        <w:sz w:val="20"/>
                        <w:szCs w:val="20"/>
                      </w:rPr>
                    </w:pPr>
                    <w:r w:rsidRPr="002A2DF5">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700BC" w14:textId="243431DC" w:rsidR="002A2DF5" w:rsidRDefault="002A2DF5">
    <w:pPr>
      <w:pStyle w:val="Footer"/>
    </w:pPr>
    <w:r>
      <w:rPr>
        <w:noProof/>
      </w:rPr>
      <mc:AlternateContent>
        <mc:Choice Requires="wps">
          <w:drawing>
            <wp:anchor distT="0" distB="0" distL="0" distR="0" simplePos="0" relativeHeight="251662337" behindDoc="0" locked="0" layoutInCell="1" allowOverlap="1" wp14:anchorId="016994E0" wp14:editId="3B9FED27">
              <wp:simplePos x="635" y="635"/>
              <wp:positionH relativeFrom="page">
                <wp:align>center</wp:align>
              </wp:positionH>
              <wp:positionV relativeFrom="page">
                <wp:align>bottom</wp:align>
              </wp:positionV>
              <wp:extent cx="443865" cy="443865"/>
              <wp:effectExtent l="0" t="0" r="9525" b="0"/>
              <wp:wrapNone/>
              <wp:docPr id="5" name="Text Box 5"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A55E1C" w14:textId="5F182067" w:rsidR="002A2DF5" w:rsidRPr="002A2DF5" w:rsidRDefault="002A2DF5" w:rsidP="002A2DF5">
                          <w:pPr>
                            <w:spacing w:after="0"/>
                            <w:rPr>
                              <w:rFonts w:ascii="Calibri" w:eastAsia="Calibri" w:hAnsi="Calibri" w:cs="Calibri"/>
                              <w:noProof/>
                              <w:color w:val="000000"/>
                              <w:sz w:val="20"/>
                              <w:szCs w:val="20"/>
                            </w:rPr>
                          </w:pPr>
                          <w:r w:rsidRPr="002A2DF5">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16994E0" id="_x0000_t202" coordsize="21600,21600" o:spt="202" path="m,l,21600r21600,l21600,xe">
              <v:stroke joinstyle="miter"/>
              <v:path gradientshapeok="t" o:connecttype="rect"/>
            </v:shapetype>
            <v:shape id="Text Box 5" o:spid="_x0000_s1032" type="#_x0000_t202" alt="OFFICIAL-InternalOnly" style="position:absolute;margin-left:0;margin-top:0;width:34.95pt;height:34.95pt;z-index:25166233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sGRCgIAABw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etZUVHzqfgfViYZCGPbtnVw3VHojfHgWSAumOUi04YkO&#10;baArOYyIsxrwx9/sMZ54Jy9nHQmm5JYUzZn5ZmkfUVsTwAnsEpjf5lc5+e2hvQeS4ZxehJMJkhWD&#10;maBGaF9JzqtYiFzCSipX8t0E78OgXHoOUq1WKYhk5ETY2K2TMXWkK3L50r8KdCPhgTb1CJOaRPGO&#10;9yE23vRudQjEflpKpHYgcmScJJjWOj6XqPFf/1PU+VEvfwI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l7Bk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2CA55E1C" w14:textId="5F182067" w:rsidR="002A2DF5" w:rsidRPr="002A2DF5" w:rsidRDefault="002A2DF5" w:rsidP="002A2DF5">
                    <w:pPr>
                      <w:spacing w:after="0"/>
                      <w:rPr>
                        <w:rFonts w:ascii="Calibri" w:eastAsia="Calibri" w:hAnsi="Calibri" w:cs="Calibri"/>
                        <w:noProof/>
                        <w:color w:val="000000"/>
                        <w:sz w:val="20"/>
                        <w:szCs w:val="20"/>
                      </w:rPr>
                    </w:pPr>
                    <w:r w:rsidRPr="002A2DF5">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F571E" w14:textId="77777777" w:rsidR="00011A6F" w:rsidRDefault="00011A6F" w:rsidP="003C7039">
      <w:pPr>
        <w:spacing w:after="0" w:line="240" w:lineRule="auto"/>
      </w:pPr>
      <w:r>
        <w:separator/>
      </w:r>
    </w:p>
  </w:footnote>
  <w:footnote w:type="continuationSeparator" w:id="0">
    <w:p w14:paraId="0B9209F8" w14:textId="77777777" w:rsidR="00011A6F" w:rsidRDefault="00011A6F" w:rsidP="003C7039">
      <w:pPr>
        <w:spacing w:after="0" w:line="240" w:lineRule="auto"/>
      </w:pPr>
      <w:r>
        <w:continuationSeparator/>
      </w:r>
    </w:p>
  </w:footnote>
  <w:footnote w:type="continuationNotice" w:id="1">
    <w:p w14:paraId="01EE7A9C" w14:textId="77777777" w:rsidR="00011A6F" w:rsidRDefault="00011A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E8500" w14:textId="77777777" w:rsidR="003C7039" w:rsidRDefault="003C7039">
    <w:pPr>
      <w:pStyle w:val="Header"/>
    </w:pPr>
    <w:r>
      <w:rPr>
        <w:noProof/>
      </w:rPr>
      <w:drawing>
        <wp:inline distT="0" distB="0" distL="0" distR="0" wp14:anchorId="0C066345" wp14:editId="6C1B08E2">
          <wp:extent cx="1801368" cy="941832"/>
          <wp:effectExtent l="0" t="0" r="8890" b="0"/>
          <wp:docPr id="678170594" name="Picture 6781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FU Energy Logo - RGB 300dpi 5c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1368" cy="94183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7872E" w14:textId="77777777" w:rsidR="003C7039" w:rsidRDefault="003C7039">
    <w:pPr>
      <w:pStyle w:val="Header"/>
    </w:pPr>
    <w:r>
      <w:rPr>
        <w:noProof/>
      </w:rPr>
      <w:drawing>
        <wp:inline distT="0" distB="0" distL="0" distR="0" wp14:anchorId="561E1385" wp14:editId="5ADFADF5">
          <wp:extent cx="1801368" cy="941832"/>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FU Energy Logo - RGB 300dpi 5c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1368" cy="9418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D608CB"/>
    <w:multiLevelType w:val="hybridMultilevel"/>
    <w:tmpl w:val="15EE9DA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87181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376"/>
    <w:rsid w:val="00011A6F"/>
    <w:rsid w:val="000161FE"/>
    <w:rsid w:val="00021AA9"/>
    <w:rsid w:val="0002667D"/>
    <w:rsid w:val="00040376"/>
    <w:rsid w:val="00051194"/>
    <w:rsid w:val="000518E1"/>
    <w:rsid w:val="00065877"/>
    <w:rsid w:val="0007642C"/>
    <w:rsid w:val="000928F6"/>
    <w:rsid w:val="000B21FC"/>
    <w:rsid w:val="000B64AB"/>
    <w:rsid w:val="000E27F5"/>
    <w:rsid w:val="000E6980"/>
    <w:rsid w:val="000E6BD6"/>
    <w:rsid w:val="0014725A"/>
    <w:rsid w:val="00180449"/>
    <w:rsid w:val="00181635"/>
    <w:rsid w:val="001903F4"/>
    <w:rsid w:val="001B4DBD"/>
    <w:rsid w:val="001B6AE1"/>
    <w:rsid w:val="001C5F3B"/>
    <w:rsid w:val="001E082F"/>
    <w:rsid w:val="0022330E"/>
    <w:rsid w:val="00223813"/>
    <w:rsid w:val="00225720"/>
    <w:rsid w:val="00236F39"/>
    <w:rsid w:val="002535A4"/>
    <w:rsid w:val="00254D90"/>
    <w:rsid w:val="00265C3D"/>
    <w:rsid w:val="002807BA"/>
    <w:rsid w:val="002A1FD0"/>
    <w:rsid w:val="002A2DF5"/>
    <w:rsid w:val="002C15EF"/>
    <w:rsid w:val="002C3DFB"/>
    <w:rsid w:val="002E7C42"/>
    <w:rsid w:val="002F1FB3"/>
    <w:rsid w:val="00304D82"/>
    <w:rsid w:val="0032412F"/>
    <w:rsid w:val="00333209"/>
    <w:rsid w:val="003462DC"/>
    <w:rsid w:val="00366341"/>
    <w:rsid w:val="00385FB2"/>
    <w:rsid w:val="003A1FD4"/>
    <w:rsid w:val="003B6055"/>
    <w:rsid w:val="003B67DA"/>
    <w:rsid w:val="003C3F3B"/>
    <w:rsid w:val="003C7039"/>
    <w:rsid w:val="00412A90"/>
    <w:rsid w:val="00447ADD"/>
    <w:rsid w:val="004825DC"/>
    <w:rsid w:val="004A1944"/>
    <w:rsid w:val="00510A62"/>
    <w:rsid w:val="005163B6"/>
    <w:rsid w:val="0052557A"/>
    <w:rsid w:val="005268A9"/>
    <w:rsid w:val="00553961"/>
    <w:rsid w:val="00562CA4"/>
    <w:rsid w:val="00566C4C"/>
    <w:rsid w:val="00571166"/>
    <w:rsid w:val="0059166C"/>
    <w:rsid w:val="005C411D"/>
    <w:rsid w:val="00606C25"/>
    <w:rsid w:val="00607C1E"/>
    <w:rsid w:val="00625C1B"/>
    <w:rsid w:val="00630333"/>
    <w:rsid w:val="00637B24"/>
    <w:rsid w:val="00640C61"/>
    <w:rsid w:val="00641FCE"/>
    <w:rsid w:val="0064341C"/>
    <w:rsid w:val="006616EE"/>
    <w:rsid w:val="00662CDC"/>
    <w:rsid w:val="00662ECE"/>
    <w:rsid w:val="00684CDE"/>
    <w:rsid w:val="006B182D"/>
    <w:rsid w:val="006D01CE"/>
    <w:rsid w:val="006D5E79"/>
    <w:rsid w:val="00701B74"/>
    <w:rsid w:val="007074A6"/>
    <w:rsid w:val="00725280"/>
    <w:rsid w:val="00734DE3"/>
    <w:rsid w:val="007478C9"/>
    <w:rsid w:val="00763EE8"/>
    <w:rsid w:val="0078257E"/>
    <w:rsid w:val="00785EFE"/>
    <w:rsid w:val="007930FA"/>
    <w:rsid w:val="007C1FB6"/>
    <w:rsid w:val="00841D56"/>
    <w:rsid w:val="008421C0"/>
    <w:rsid w:val="008C69FC"/>
    <w:rsid w:val="008D1395"/>
    <w:rsid w:val="008D530D"/>
    <w:rsid w:val="008D58B9"/>
    <w:rsid w:val="00904737"/>
    <w:rsid w:val="00912A75"/>
    <w:rsid w:val="00920120"/>
    <w:rsid w:val="00931D29"/>
    <w:rsid w:val="00941DE3"/>
    <w:rsid w:val="00942A43"/>
    <w:rsid w:val="009B7D55"/>
    <w:rsid w:val="009E7ABA"/>
    <w:rsid w:val="009F4F72"/>
    <w:rsid w:val="009F794A"/>
    <w:rsid w:val="00A02A5B"/>
    <w:rsid w:val="00A27F3F"/>
    <w:rsid w:val="00A90CAD"/>
    <w:rsid w:val="00AC2C71"/>
    <w:rsid w:val="00AD197F"/>
    <w:rsid w:val="00AF274A"/>
    <w:rsid w:val="00B007AD"/>
    <w:rsid w:val="00B37D71"/>
    <w:rsid w:val="00B46A33"/>
    <w:rsid w:val="00B70C8B"/>
    <w:rsid w:val="00B7414A"/>
    <w:rsid w:val="00B74747"/>
    <w:rsid w:val="00B77191"/>
    <w:rsid w:val="00B91784"/>
    <w:rsid w:val="00BA7182"/>
    <w:rsid w:val="00BA7513"/>
    <w:rsid w:val="00BB345A"/>
    <w:rsid w:val="00BC119E"/>
    <w:rsid w:val="00BC48B8"/>
    <w:rsid w:val="00BE2041"/>
    <w:rsid w:val="00BF46A2"/>
    <w:rsid w:val="00BF5FFB"/>
    <w:rsid w:val="00BF7778"/>
    <w:rsid w:val="00C03FD6"/>
    <w:rsid w:val="00C16632"/>
    <w:rsid w:val="00C56889"/>
    <w:rsid w:val="00C718D8"/>
    <w:rsid w:val="00C71DD5"/>
    <w:rsid w:val="00C8310D"/>
    <w:rsid w:val="00CE4A78"/>
    <w:rsid w:val="00D16975"/>
    <w:rsid w:val="00D16B80"/>
    <w:rsid w:val="00D35CFE"/>
    <w:rsid w:val="00D615C5"/>
    <w:rsid w:val="00D641B6"/>
    <w:rsid w:val="00D65EC9"/>
    <w:rsid w:val="00D665FD"/>
    <w:rsid w:val="00D70BB5"/>
    <w:rsid w:val="00D90CF6"/>
    <w:rsid w:val="00D9283D"/>
    <w:rsid w:val="00D94ED5"/>
    <w:rsid w:val="00D96283"/>
    <w:rsid w:val="00D96D50"/>
    <w:rsid w:val="00DA7E58"/>
    <w:rsid w:val="00DC6156"/>
    <w:rsid w:val="00E05096"/>
    <w:rsid w:val="00E128E5"/>
    <w:rsid w:val="00E14C97"/>
    <w:rsid w:val="00E17655"/>
    <w:rsid w:val="00E2047E"/>
    <w:rsid w:val="00E71E70"/>
    <w:rsid w:val="00E91113"/>
    <w:rsid w:val="00E918DA"/>
    <w:rsid w:val="00E93489"/>
    <w:rsid w:val="00E948FC"/>
    <w:rsid w:val="00E95E14"/>
    <w:rsid w:val="00ED1AE8"/>
    <w:rsid w:val="00F3373C"/>
    <w:rsid w:val="00F468AE"/>
    <w:rsid w:val="00F6636C"/>
    <w:rsid w:val="00F74D5C"/>
    <w:rsid w:val="00F76611"/>
    <w:rsid w:val="00F83D72"/>
    <w:rsid w:val="00F96F36"/>
    <w:rsid w:val="00FB0F7F"/>
    <w:rsid w:val="00FC20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C14FF"/>
  <w15:chartTrackingRefBased/>
  <w15:docId w15:val="{78772821-BC6E-4609-9432-D74023B49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NFU 1"/>
    <w:basedOn w:val="Normal"/>
    <w:next w:val="Normal"/>
    <w:link w:val="Heading1Char"/>
    <w:uiPriority w:val="9"/>
    <w:qFormat/>
    <w:rsid w:val="003C7039"/>
    <w:pPr>
      <w:keepNext/>
      <w:keepLines/>
      <w:spacing w:before="240" w:after="0"/>
      <w:outlineLvl w:val="0"/>
    </w:pPr>
    <w:rPr>
      <w:rFonts w:ascii="Arial" w:eastAsiaTheme="majorEastAsia" w:hAnsi="Arial" w:cstheme="majorBidi"/>
      <w:b/>
      <w:color w:val="2FABE2"/>
      <w:sz w:val="28"/>
      <w:szCs w:val="32"/>
      <w:u w:val="single"/>
    </w:rPr>
  </w:style>
  <w:style w:type="paragraph" w:styleId="Heading2">
    <w:name w:val="heading 2"/>
    <w:aliases w:val="NFU 2"/>
    <w:basedOn w:val="Normal"/>
    <w:next w:val="Normal"/>
    <w:link w:val="Heading2Char"/>
    <w:uiPriority w:val="9"/>
    <w:unhideWhenUsed/>
    <w:qFormat/>
    <w:rsid w:val="003C7039"/>
    <w:pPr>
      <w:keepNext/>
      <w:keepLines/>
      <w:spacing w:before="40" w:after="0"/>
      <w:outlineLvl w:val="1"/>
    </w:pPr>
    <w:rPr>
      <w:rFonts w:ascii="Arial" w:eastAsiaTheme="majorEastAsia" w:hAnsi="Arial" w:cstheme="majorBidi"/>
      <w:b/>
      <w:color w:val="2FABE2"/>
      <w:sz w:val="24"/>
      <w:szCs w:val="26"/>
    </w:rPr>
  </w:style>
  <w:style w:type="paragraph" w:styleId="Heading3">
    <w:name w:val="heading 3"/>
    <w:basedOn w:val="Normal"/>
    <w:next w:val="Normal"/>
    <w:link w:val="Heading3Char"/>
    <w:uiPriority w:val="9"/>
    <w:semiHidden/>
    <w:unhideWhenUsed/>
    <w:qFormat/>
    <w:rsid w:val="003C70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3C703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NFU Title"/>
    <w:basedOn w:val="Normal"/>
    <w:next w:val="Normal"/>
    <w:link w:val="TitleChar"/>
    <w:uiPriority w:val="10"/>
    <w:qFormat/>
    <w:rsid w:val="003C7039"/>
    <w:pPr>
      <w:spacing w:after="0" w:line="240" w:lineRule="auto"/>
      <w:contextualSpacing/>
    </w:pPr>
    <w:rPr>
      <w:rFonts w:ascii="Arial" w:eastAsiaTheme="majorEastAsia" w:hAnsi="Arial" w:cstheme="majorBidi"/>
      <w:b/>
      <w:color w:val="2FABE2"/>
      <w:spacing w:val="-10"/>
      <w:kern w:val="28"/>
      <w:sz w:val="48"/>
      <w:szCs w:val="56"/>
    </w:rPr>
  </w:style>
  <w:style w:type="character" w:customStyle="1" w:styleId="TitleChar">
    <w:name w:val="Title Char"/>
    <w:aliases w:val="NFU Title Char"/>
    <w:basedOn w:val="DefaultParagraphFont"/>
    <w:link w:val="Title"/>
    <w:uiPriority w:val="10"/>
    <w:rsid w:val="003C7039"/>
    <w:rPr>
      <w:rFonts w:ascii="Arial" w:eastAsiaTheme="majorEastAsia" w:hAnsi="Arial" w:cstheme="majorBidi"/>
      <w:b/>
      <w:color w:val="2FABE2"/>
      <w:spacing w:val="-10"/>
      <w:kern w:val="28"/>
      <w:sz w:val="48"/>
      <w:szCs w:val="56"/>
    </w:rPr>
  </w:style>
  <w:style w:type="character" w:customStyle="1" w:styleId="Heading1Char">
    <w:name w:val="Heading 1 Char"/>
    <w:aliases w:val="NFU 1 Char"/>
    <w:basedOn w:val="DefaultParagraphFont"/>
    <w:link w:val="Heading1"/>
    <w:uiPriority w:val="9"/>
    <w:rsid w:val="003C7039"/>
    <w:rPr>
      <w:rFonts w:ascii="Arial" w:eastAsiaTheme="majorEastAsia" w:hAnsi="Arial" w:cstheme="majorBidi"/>
      <w:b/>
      <w:color w:val="2FABE2"/>
      <w:sz w:val="28"/>
      <w:szCs w:val="32"/>
      <w:u w:val="single"/>
    </w:rPr>
  </w:style>
  <w:style w:type="character" w:customStyle="1" w:styleId="Heading2Char">
    <w:name w:val="Heading 2 Char"/>
    <w:aliases w:val="NFU 2 Char"/>
    <w:basedOn w:val="DefaultParagraphFont"/>
    <w:link w:val="Heading2"/>
    <w:uiPriority w:val="9"/>
    <w:rsid w:val="003C7039"/>
    <w:rPr>
      <w:rFonts w:ascii="Arial" w:eastAsiaTheme="majorEastAsia" w:hAnsi="Arial" w:cstheme="majorBidi"/>
      <w:b/>
      <w:color w:val="2FABE2"/>
      <w:sz w:val="24"/>
      <w:szCs w:val="26"/>
    </w:rPr>
  </w:style>
  <w:style w:type="paragraph" w:styleId="Header">
    <w:name w:val="header"/>
    <w:basedOn w:val="Normal"/>
    <w:link w:val="HeaderChar"/>
    <w:uiPriority w:val="99"/>
    <w:unhideWhenUsed/>
    <w:rsid w:val="003C70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7039"/>
  </w:style>
  <w:style w:type="paragraph" w:styleId="Footer">
    <w:name w:val="footer"/>
    <w:basedOn w:val="Normal"/>
    <w:link w:val="FooterChar"/>
    <w:uiPriority w:val="99"/>
    <w:unhideWhenUsed/>
    <w:rsid w:val="003C70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7039"/>
  </w:style>
  <w:style w:type="character" w:customStyle="1" w:styleId="Heading3Char">
    <w:name w:val="Heading 3 Char"/>
    <w:basedOn w:val="DefaultParagraphFont"/>
    <w:link w:val="Heading3"/>
    <w:uiPriority w:val="9"/>
    <w:semiHidden/>
    <w:rsid w:val="003C7039"/>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3C7039"/>
    <w:rPr>
      <w:rFonts w:asciiTheme="majorHAnsi" w:eastAsiaTheme="majorEastAsia" w:hAnsiTheme="majorHAnsi" w:cstheme="majorBidi"/>
      <w:i/>
      <w:iCs/>
      <w:color w:val="365F91" w:themeColor="accent1" w:themeShade="BF"/>
    </w:rPr>
  </w:style>
  <w:style w:type="character" w:styleId="Hyperlink">
    <w:name w:val="Hyperlink"/>
    <w:basedOn w:val="DefaultParagraphFont"/>
    <w:uiPriority w:val="99"/>
    <w:unhideWhenUsed/>
    <w:rsid w:val="003C7039"/>
    <w:rPr>
      <w:color w:val="0000FF" w:themeColor="hyperlink"/>
      <w:u w:val="single"/>
    </w:rPr>
  </w:style>
  <w:style w:type="paragraph" w:styleId="TOCHeading">
    <w:name w:val="TOC Heading"/>
    <w:basedOn w:val="Heading1"/>
    <w:next w:val="Normal"/>
    <w:uiPriority w:val="39"/>
    <w:unhideWhenUsed/>
    <w:qFormat/>
    <w:rsid w:val="003C7039"/>
    <w:pPr>
      <w:spacing w:before="480"/>
      <w:outlineLvl w:val="9"/>
    </w:pPr>
    <w:rPr>
      <w:rFonts w:asciiTheme="majorHAnsi" w:hAnsiTheme="majorHAnsi"/>
      <w:bCs/>
      <w:color w:val="365F91" w:themeColor="accent1" w:themeShade="BF"/>
      <w:szCs w:val="28"/>
      <w:u w:val="none"/>
      <w:lang w:val="en-US" w:eastAsia="ja-JP"/>
    </w:rPr>
  </w:style>
  <w:style w:type="paragraph" w:styleId="TOC3">
    <w:name w:val="toc 3"/>
    <w:basedOn w:val="Normal"/>
    <w:next w:val="Normal"/>
    <w:autoRedefine/>
    <w:uiPriority w:val="39"/>
    <w:unhideWhenUsed/>
    <w:rsid w:val="003C7039"/>
    <w:pPr>
      <w:spacing w:after="100" w:line="280" w:lineRule="exact"/>
      <w:ind w:left="400"/>
    </w:pPr>
    <w:rPr>
      <w:rFonts w:ascii="Arial" w:eastAsiaTheme="minorEastAsia" w:hAnsi="Arial"/>
      <w:color w:val="404040" w:themeColor="text1" w:themeTint="BF"/>
      <w:lang w:eastAsia="en-GB"/>
    </w:rPr>
  </w:style>
  <w:style w:type="paragraph" w:styleId="TOC2">
    <w:name w:val="toc 2"/>
    <w:basedOn w:val="Normal"/>
    <w:next w:val="Normal"/>
    <w:autoRedefine/>
    <w:uiPriority w:val="39"/>
    <w:unhideWhenUsed/>
    <w:rsid w:val="0064341C"/>
    <w:pPr>
      <w:spacing w:after="100"/>
      <w:ind w:left="220"/>
    </w:pPr>
  </w:style>
  <w:style w:type="character" w:styleId="UnresolvedMention">
    <w:name w:val="Unresolved Mention"/>
    <w:basedOn w:val="DefaultParagraphFont"/>
    <w:uiPriority w:val="99"/>
    <w:semiHidden/>
    <w:unhideWhenUsed/>
    <w:rsid w:val="00BF46A2"/>
    <w:rPr>
      <w:color w:val="605E5C"/>
      <w:shd w:val="clear" w:color="auto" w:fill="E1DFDD"/>
    </w:rPr>
  </w:style>
  <w:style w:type="paragraph" w:styleId="Revision">
    <w:name w:val="Revision"/>
    <w:hidden/>
    <w:uiPriority w:val="99"/>
    <w:semiHidden/>
    <w:rsid w:val="00D16B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ofgem.gov.uk/publications/standing-charges-call-input?utm_medium=email&amp;utm_source=dotMailer&amp;utm_campaign=Daily-Alert_16-11-2023&amp;utm_content=Standing+charges+%E2%80%93+call+for+input&amp;dm_i=1QCB,8GSE8,3HX7S6,YZ1Y7,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P:\NFU%20Energy%20Report%20Layou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2e041dd4-e647-4390-b4d6-480bfe37482d">
      <UserInfo>
        <DisplayName>Standing Charges Visitors</DisplayName>
        <AccountId>4</AccountId>
        <AccountType/>
      </UserInfo>
      <UserInfo>
        <DisplayName>Standing Charges Members</DisplayName>
        <AccountId>5</AccountId>
        <AccountType/>
      </UserInfo>
      <UserInfo>
        <DisplayName>Thomas Spry</DisplayName>
        <AccountId>14</AccountId>
        <AccountType/>
      </UserInfo>
      <UserInfo>
        <DisplayName>Tim Jarvis</DisplayName>
        <AccountId>41</AccountId>
        <AccountType/>
      </UserInfo>
      <UserInfo>
        <DisplayName>Pete Wightman</DisplayName>
        <AccountId>13</AccountId>
        <AccountType/>
      </UserInfo>
      <UserInfo>
        <DisplayName>Thomas Holderness</DisplayName>
        <AccountId>94</AccountId>
        <AccountType/>
      </UserInfo>
      <UserInfo>
        <DisplayName>Iain McKie</DisplayName>
        <AccountId>76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AA071916217949A2C688816719CCB5" ma:contentTypeVersion="8" ma:contentTypeDescription="Create a new document." ma:contentTypeScope="" ma:versionID="0e34daa513a9b49f4160ddb8b56c793b">
  <xsd:schema xmlns:xsd="http://www.w3.org/2001/XMLSchema" xmlns:xs="http://www.w3.org/2001/XMLSchema" xmlns:p="http://schemas.microsoft.com/office/2006/metadata/properties" xmlns:ns1="http://schemas.microsoft.com/sharepoint/v3" xmlns:ns2="ef734944-a7ad-4b57-ae4e-cd1525b0a319" xmlns:ns3="2e041dd4-e647-4390-b4d6-480bfe37482d" targetNamespace="http://schemas.microsoft.com/office/2006/metadata/properties" ma:root="true" ma:fieldsID="b4ce6911a89e547e699d22944bba460c" ns1:_="" ns2:_="" ns3:_="">
    <xsd:import namespace="http://schemas.microsoft.com/sharepoint/v3"/>
    <xsd:import namespace="ef734944-a7ad-4b57-ae4e-cd1525b0a319"/>
    <xsd:import namespace="2e041dd4-e647-4390-b4d6-480bfe37482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734944-a7ad-4b57-ae4e-cd1525b0a3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041dd4-e647-4390-b4d6-480bfe37482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54D37B-FB94-4344-BAEC-0A4E3F93C9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575C1F-2688-402E-92DE-98F4D5AD852A}">
  <ds:schemaRefs>
    <ds:schemaRef ds:uri="http://schemas.microsoft.com/sharepoint/v3/contenttype/forms"/>
  </ds:schemaRefs>
</ds:datastoreItem>
</file>

<file path=customXml/itemProps3.xml><?xml version="1.0" encoding="utf-8"?>
<ds:datastoreItem xmlns:ds="http://schemas.openxmlformats.org/officeDocument/2006/customXml" ds:itemID="{E340695C-7FA5-4142-9BA6-D12B0F9D729F}"/>
</file>

<file path=docProps/app.xml><?xml version="1.0" encoding="utf-8"?>
<Properties xmlns="http://schemas.openxmlformats.org/officeDocument/2006/extended-properties" xmlns:vt="http://schemas.openxmlformats.org/officeDocument/2006/docPropsVTypes">
  <Template>NFU%20Energy%20Report%20Layout.dotx</Template>
  <TotalTime>23</TotalTime>
  <Pages>1</Pages>
  <Words>1686</Words>
  <Characters>9613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11277</CharactersWithSpaces>
  <SharedDoc>false</SharedDoc>
  <HLinks>
    <vt:vector size="30" baseType="variant">
      <vt:variant>
        <vt:i4>7798897</vt:i4>
      </vt:variant>
      <vt:variant>
        <vt:i4>27</vt:i4>
      </vt:variant>
      <vt:variant>
        <vt:i4>0</vt:i4>
      </vt:variant>
      <vt:variant>
        <vt:i4>5</vt:i4>
      </vt:variant>
      <vt:variant>
        <vt:lpwstr>https://www.ofgem.gov.uk/publications/standing-charges-call-input?utm_medium=email&amp;utm_source=dotMailer&amp;utm_campaign=Daily-Alert_16-11-2023&amp;utm_content=Standing+charges+%E2%80%93+call+for+input&amp;dm_i=1QCB,8GSE8,3HX7S6,YZ1Y7,1</vt:lpwstr>
      </vt:variant>
      <vt:variant>
        <vt:lpwstr/>
      </vt:variant>
      <vt:variant>
        <vt:i4>1703999</vt:i4>
      </vt:variant>
      <vt:variant>
        <vt:i4>20</vt:i4>
      </vt:variant>
      <vt:variant>
        <vt:i4>0</vt:i4>
      </vt:variant>
      <vt:variant>
        <vt:i4>5</vt:i4>
      </vt:variant>
      <vt:variant>
        <vt:lpwstr/>
      </vt:variant>
      <vt:variant>
        <vt:lpwstr>_Toc152850905</vt:lpwstr>
      </vt:variant>
      <vt:variant>
        <vt:i4>1703999</vt:i4>
      </vt:variant>
      <vt:variant>
        <vt:i4>14</vt:i4>
      </vt:variant>
      <vt:variant>
        <vt:i4>0</vt:i4>
      </vt:variant>
      <vt:variant>
        <vt:i4>5</vt:i4>
      </vt:variant>
      <vt:variant>
        <vt:lpwstr/>
      </vt:variant>
      <vt:variant>
        <vt:lpwstr>_Toc152850904</vt:lpwstr>
      </vt:variant>
      <vt:variant>
        <vt:i4>1703999</vt:i4>
      </vt:variant>
      <vt:variant>
        <vt:i4>8</vt:i4>
      </vt:variant>
      <vt:variant>
        <vt:i4>0</vt:i4>
      </vt:variant>
      <vt:variant>
        <vt:i4>5</vt:i4>
      </vt:variant>
      <vt:variant>
        <vt:lpwstr/>
      </vt:variant>
      <vt:variant>
        <vt:lpwstr>_Toc152850903</vt:lpwstr>
      </vt:variant>
      <vt:variant>
        <vt:i4>1703999</vt:i4>
      </vt:variant>
      <vt:variant>
        <vt:i4>2</vt:i4>
      </vt:variant>
      <vt:variant>
        <vt:i4>0</vt:i4>
      </vt:variant>
      <vt:variant>
        <vt:i4>5</vt:i4>
      </vt:variant>
      <vt:variant>
        <vt:lpwstr/>
      </vt:variant>
      <vt:variant>
        <vt:lpwstr>_Toc152850902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White</dc:creator>
  <cp:keywords/>
  <dc:description/>
  <cp:lastModifiedBy>Joshua Robinson</cp:lastModifiedBy>
  <cp:revision>20</cp:revision>
  <dcterms:created xsi:type="dcterms:W3CDTF">2024-01-12T18:04:00Z</dcterms:created>
  <dcterms:modified xsi:type="dcterms:W3CDTF">2024-01-12T18:04:00Z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0x010100B7AA071916217949A2C688816719CCB5</vt:lpwstr>
  </property>
  <property fmtid="{D5CDD505-2E9C-101B-9397-08002B2CF9AE}" pid="3" name="ClassificationContentMarkingFooterShapeIds">
    <vt:lpwstr>1,3,4,5,6,7</vt:lpwstr>
  </property>
  <property fmtid="{D5CDD505-2E9C-101B-9397-08002B2CF9AE}" pid="4" name="ClassificationContentMarkingFooterFontProps">
    <vt:lpwstr>#000000,10,Calibri</vt:lpwstr>
  </property>
  <property fmtid="{D5CDD505-2E9C-101B-9397-08002B2CF9AE}" pid="5" name="ClassificationContentMarkingFooterText">
    <vt:lpwstr>OFFICIAL-InternalOnly</vt:lpwstr>
  </property>
  <property fmtid="{D5CDD505-2E9C-101B-9397-08002B2CF9AE}" pid="6" name="MSIP_Label_38144ccb-b10a-4c0f-b070-7a3b00ac7463_Enabled">
    <vt:lpwstr>true</vt:lpwstr>
  </property>
  <property fmtid="{D5CDD505-2E9C-101B-9397-08002B2CF9AE}" pid="7" name="MSIP_Label_38144ccb-b10a-4c0f-b070-7a3b00ac7463_SetDate">
    <vt:lpwstr>2024-01-12T18:04:04Z</vt:lpwstr>
  </property>
  <property fmtid="{D5CDD505-2E9C-101B-9397-08002B2CF9AE}" pid="8" name="MSIP_Label_38144ccb-b10a-4c0f-b070-7a3b00ac7463_Method">
    <vt:lpwstr>Standard</vt:lpwstr>
  </property>
  <property fmtid="{D5CDD505-2E9C-101B-9397-08002B2CF9AE}" pid="9" name="MSIP_Label_38144ccb-b10a-4c0f-b070-7a3b00ac7463_Name">
    <vt:lpwstr>InternalOnly</vt:lpwstr>
  </property>
  <property fmtid="{D5CDD505-2E9C-101B-9397-08002B2CF9AE}" pid="10" name="MSIP_Label_38144ccb-b10a-4c0f-b070-7a3b00ac7463_SiteId">
    <vt:lpwstr>185562ad-39bc-4840-8e40-be6216340c52</vt:lpwstr>
  </property>
  <property fmtid="{D5CDD505-2E9C-101B-9397-08002B2CF9AE}" pid="11" name="MSIP_Label_38144ccb-b10a-4c0f-b070-7a3b00ac7463_ActionId">
    <vt:lpwstr>f93bbe3d-121f-4006-9544-0f60cecf4725</vt:lpwstr>
  </property>
  <property fmtid="{D5CDD505-2E9C-101B-9397-08002B2CF9AE}" pid="12" name="MSIP_Label_38144ccb-b10a-4c0f-b070-7a3b00ac7463_ContentBits">
    <vt:lpwstr>2</vt:lpwstr>
  </property>
  <property fmtid="{D5CDD505-2E9C-101B-9397-08002B2CF9AE}" pid="13" name="_ExtendedDescription">
    <vt:lpwstr/>
  </property>
</Properties>
</file>