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4F0C" w14:textId="77777777" w:rsidR="00917ADC" w:rsidRDefault="00917ADC">
      <w:pPr>
        <w:pStyle w:val="Schedule"/>
        <w:pageBreakBefore w:val="0"/>
        <w:rPr>
          <w:caps w:val="0"/>
        </w:rPr>
      </w:pPr>
      <w:r>
        <w:rPr>
          <w:caps w:val="0"/>
        </w:rPr>
        <w:t>SCHEDULE ELEVEN</w:t>
      </w:r>
    </w:p>
    <w:p w14:paraId="665B44F7" w14:textId="26B4456A" w:rsidR="00917ADC" w:rsidRDefault="009006E8">
      <w:pPr>
        <w:pStyle w:val="Schedule"/>
        <w:pageBreakBefore w:val="0"/>
        <w:rPr>
          <w:caps w:val="0"/>
        </w:rPr>
      </w:pPr>
      <w:r>
        <w:rPr>
          <w:caps w:val="0"/>
        </w:rPr>
        <w:t>THE COMPANY</w:t>
      </w:r>
      <w:r w:rsidR="00917ADC">
        <w:rPr>
          <w:caps w:val="0"/>
        </w:rPr>
        <w:t xml:space="preserve"> TEC EXCHANGE RATE APPLICATIONS</w:t>
      </w:r>
    </w:p>
    <w:p w14:paraId="5671AE1E" w14:textId="77777777" w:rsidR="00917ADC" w:rsidRDefault="00917ADC">
      <w:pPr>
        <w:pStyle w:val="ScheduleTitle"/>
        <w:spacing w:after="0"/>
      </w:pPr>
    </w:p>
    <w:p w14:paraId="62318E70" w14:textId="5A8F60AF" w:rsidR="00917ADC" w:rsidRDefault="00917ADC">
      <w:pPr>
        <w:pStyle w:val="Heading1"/>
        <w:numPr>
          <w:ilvl w:val="0"/>
          <w:numId w:val="17"/>
        </w:numPr>
        <w:tabs>
          <w:tab w:val="clear" w:pos="720"/>
          <w:tab w:val="clear" w:pos="851"/>
          <w:tab w:val="num" w:pos="709"/>
        </w:tabs>
        <w:ind w:left="709" w:hanging="709"/>
        <w:rPr>
          <w:b/>
          <w:bCs/>
          <w:caps/>
          <w:color w:val="000000"/>
        </w:rPr>
      </w:pPr>
      <w:r>
        <w:rPr>
          <w:b/>
          <w:bCs/>
          <w:caps/>
          <w:color w:val="000000"/>
        </w:rPr>
        <w:t xml:space="preserve">Requirements for </w:t>
      </w:r>
      <w:r w:rsidR="009006E8">
        <w:rPr>
          <w:b/>
          <w:bCs/>
          <w:caps/>
          <w:color w:val="000000"/>
        </w:rPr>
        <w:t>The Company</w:t>
      </w:r>
      <w:r>
        <w:rPr>
          <w:b/>
          <w:bCs/>
          <w:caps/>
          <w:color w:val="000000"/>
        </w:rPr>
        <w:t xml:space="preserve"> TEC EXCHANGE RATE APPLICATION submitted by </w:t>
      </w:r>
      <w:r w:rsidR="009006E8">
        <w:rPr>
          <w:b/>
          <w:bCs/>
          <w:caps/>
          <w:color w:val="000000"/>
        </w:rPr>
        <w:t>The Company</w:t>
      </w:r>
      <w:r>
        <w:rPr>
          <w:b/>
          <w:bCs/>
          <w:caps/>
          <w:color w:val="000000"/>
        </w:rPr>
        <w:t xml:space="preserve"> to a Transmission Owner pursuant to Section D, Part THREE, sub-paragraph 1.1.1, 1.1.2 or 1.1.3:</w:t>
      </w:r>
    </w:p>
    <w:p w14:paraId="22323ADA" w14:textId="59289FF7" w:rsidR="00917ADC" w:rsidRDefault="009006E8">
      <w:pPr>
        <w:pStyle w:val="Heading2"/>
        <w:tabs>
          <w:tab w:val="clear" w:pos="720"/>
          <w:tab w:val="clear" w:pos="864"/>
          <w:tab w:val="num" w:pos="709"/>
        </w:tabs>
        <w:ind w:left="709" w:hanging="709"/>
        <w:rPr>
          <w:color w:val="000000"/>
        </w:rPr>
      </w:pPr>
      <w:r>
        <w:rPr>
          <w:color w:val="000000"/>
        </w:rPr>
        <w:t>The Company</w:t>
      </w:r>
      <w:r w:rsidR="00917ADC">
        <w:rPr>
          <w:color w:val="000000"/>
        </w:rPr>
        <w:t xml:space="preserve"> TEC Exchange Rate Application submitted by </w:t>
      </w:r>
      <w:r>
        <w:rPr>
          <w:color w:val="000000"/>
        </w:rPr>
        <w:t>The Company</w:t>
      </w:r>
      <w:r w:rsidR="00917ADC">
        <w:rPr>
          <w:color w:val="000000"/>
        </w:rPr>
        <w:t xml:space="preserve"> to a Transmission Owner pursuant to Section D, Part Three, sub-paragraph 1.1.1, 1.1.2or 1.1.3 shall contain the following information:</w:t>
      </w:r>
    </w:p>
    <w:p w14:paraId="7C0880B4" w14:textId="77777777" w:rsidR="00917ADC" w:rsidRDefault="00917ADC">
      <w:pPr>
        <w:pStyle w:val="Heading3"/>
        <w:tabs>
          <w:tab w:val="clear" w:pos="1584"/>
          <w:tab w:val="clear" w:pos="2160"/>
          <w:tab w:val="num" w:pos="1418"/>
        </w:tabs>
        <w:ind w:left="1418" w:hanging="709"/>
        <w:rPr>
          <w:color w:val="000000"/>
        </w:rPr>
      </w:pPr>
      <w:r>
        <w:rPr>
          <w:color w:val="000000"/>
        </w:rPr>
        <w:t xml:space="preserve">The User Application Date. </w:t>
      </w:r>
    </w:p>
    <w:p w14:paraId="6D3E6C7A" w14:textId="77777777" w:rsidR="00917ADC" w:rsidRDefault="00917ADC">
      <w:pPr>
        <w:pStyle w:val="Heading3"/>
        <w:tabs>
          <w:tab w:val="clear" w:pos="1584"/>
          <w:tab w:val="clear" w:pos="2160"/>
          <w:tab w:val="num" w:pos="1418"/>
        </w:tabs>
        <w:ind w:left="1418" w:hanging="709"/>
        <w:rPr>
          <w:color w:val="000000"/>
          <w:u w:val="single"/>
        </w:rPr>
      </w:pPr>
      <w:r>
        <w:rPr>
          <w:color w:val="000000"/>
        </w:rPr>
        <w:t xml:space="preserve">The MW increase in Transmission Entry Capacity at the Connection Site of the Increasing User contained within the Exchange Rate Request. </w:t>
      </w:r>
    </w:p>
    <w:p w14:paraId="0ED48487" w14:textId="77777777" w:rsidR="00917ADC" w:rsidRDefault="00917ADC">
      <w:pPr>
        <w:pStyle w:val="Heading3"/>
        <w:tabs>
          <w:tab w:val="clear" w:pos="1584"/>
          <w:tab w:val="clear" w:pos="2160"/>
          <w:tab w:val="num" w:pos="1418"/>
        </w:tabs>
        <w:ind w:left="1418" w:hanging="709"/>
        <w:rPr>
          <w:color w:val="000000"/>
        </w:rPr>
      </w:pPr>
      <w:r>
        <w:rPr>
          <w:color w:val="000000"/>
        </w:rPr>
        <w:t>The MW decrease in Transmission Entry Capacity at the Connection Site of the Decreasing User contained within the Exchange Rate Request</w:t>
      </w:r>
    </w:p>
    <w:p w14:paraId="09ECDA6E" w14:textId="77777777" w:rsidR="00917ADC" w:rsidRDefault="00917ADC">
      <w:pPr>
        <w:pStyle w:val="Heading3"/>
        <w:tabs>
          <w:tab w:val="clear" w:pos="1584"/>
          <w:tab w:val="clear" w:pos="2160"/>
          <w:tab w:val="num" w:pos="1418"/>
        </w:tabs>
        <w:ind w:left="1418" w:hanging="709"/>
        <w:rPr>
          <w:color w:val="000000"/>
        </w:rPr>
      </w:pPr>
      <w:r>
        <w:rPr>
          <w:color w:val="000000"/>
        </w:rPr>
        <w:t xml:space="preserve">Where the Transmission System of the Transmission Owner is located at the Relevant Connection Site of the Increasing User or where the Transmission System of the Transmission Owner satisfies the criteria set out in Schedule Four for the Relevant Connection Site of the Increasing User: </w:t>
      </w:r>
    </w:p>
    <w:p w14:paraId="5E8467F4" w14:textId="77777777" w:rsidR="00917ADC" w:rsidRDefault="00917ADC">
      <w:pPr>
        <w:pStyle w:val="Heading4"/>
        <w:tabs>
          <w:tab w:val="clear" w:pos="2707"/>
          <w:tab w:val="left" w:pos="2268"/>
        </w:tabs>
        <w:ind w:left="2268" w:hanging="850"/>
        <w:rPr>
          <w:color w:val="000000"/>
          <w:u w:val="single"/>
        </w:rPr>
      </w:pPr>
      <w:r>
        <w:rPr>
          <w:color w:val="000000"/>
        </w:rPr>
        <w:t>the Connection Site for the Increasing User; otherwise,</w:t>
      </w:r>
    </w:p>
    <w:p w14:paraId="1894EC1C" w14:textId="77777777" w:rsidR="00917ADC" w:rsidRDefault="00917ADC">
      <w:pPr>
        <w:pStyle w:val="Heading4"/>
        <w:tabs>
          <w:tab w:val="clear" w:pos="2707"/>
          <w:tab w:val="left" w:pos="2268"/>
        </w:tabs>
        <w:ind w:left="2268" w:hanging="850"/>
        <w:rPr>
          <w:color w:val="000000"/>
        </w:rPr>
      </w:pPr>
      <w:r>
        <w:rPr>
          <w:color w:val="000000"/>
        </w:rPr>
        <w:t xml:space="preserve">the name of the Party within whose Transmission System the Connection Site of the Increasing User is located. </w:t>
      </w:r>
    </w:p>
    <w:p w14:paraId="2432BA4D" w14:textId="77777777" w:rsidR="00917ADC" w:rsidRDefault="00917ADC">
      <w:pPr>
        <w:pStyle w:val="Heading3"/>
        <w:tabs>
          <w:tab w:val="clear" w:pos="1584"/>
          <w:tab w:val="left" w:pos="1418"/>
        </w:tabs>
        <w:ind w:left="1418" w:hanging="709"/>
        <w:rPr>
          <w:color w:val="000000"/>
        </w:rPr>
      </w:pPr>
      <w:r>
        <w:rPr>
          <w:color w:val="000000"/>
        </w:rPr>
        <w:t>Where the Transmission System of the Transmission Owner is located at the Relevant Connection Site of the Decreasing User or where the Transmission System of the Transmission Owner satisfies the criteria set out in Schedule Four for the Relevant Connection Site of the Decreasing User:</w:t>
      </w:r>
    </w:p>
    <w:p w14:paraId="4921E46E" w14:textId="77777777" w:rsidR="00917ADC" w:rsidRDefault="00917ADC">
      <w:pPr>
        <w:pStyle w:val="Heading4"/>
        <w:tabs>
          <w:tab w:val="clear" w:pos="2707"/>
          <w:tab w:val="left" w:pos="2268"/>
        </w:tabs>
        <w:ind w:left="2268" w:hanging="850"/>
        <w:rPr>
          <w:color w:val="000000"/>
        </w:rPr>
      </w:pPr>
      <w:r>
        <w:rPr>
          <w:color w:val="000000"/>
        </w:rPr>
        <w:t xml:space="preserve">The Connection Site for the Decreasing User; otherwise, </w:t>
      </w:r>
    </w:p>
    <w:p w14:paraId="34451C3D" w14:textId="77777777" w:rsidR="00917ADC" w:rsidRDefault="00917ADC">
      <w:pPr>
        <w:pStyle w:val="Heading4"/>
        <w:tabs>
          <w:tab w:val="clear" w:pos="2707"/>
          <w:tab w:val="left" w:pos="2268"/>
        </w:tabs>
        <w:ind w:left="2268" w:hanging="850"/>
        <w:rPr>
          <w:color w:val="000000"/>
        </w:rPr>
      </w:pPr>
      <w:r>
        <w:rPr>
          <w:color w:val="000000"/>
        </w:rPr>
        <w:t>the name of the Party within whose Transmission System the Connection Site of the Decreasing User is located.</w:t>
      </w:r>
    </w:p>
    <w:p w14:paraId="5A59268D" w14:textId="2CE5D155" w:rsidR="00917ADC" w:rsidRDefault="00917ADC">
      <w:pPr>
        <w:pStyle w:val="Heading3"/>
        <w:tabs>
          <w:tab w:val="clear" w:pos="1584"/>
          <w:tab w:val="left" w:pos="1418"/>
        </w:tabs>
        <w:ind w:left="1418" w:hanging="709"/>
        <w:rPr>
          <w:color w:val="000000"/>
        </w:rPr>
      </w:pPr>
      <w:r>
        <w:rPr>
          <w:color w:val="000000"/>
        </w:rPr>
        <w:t xml:space="preserve">The date on which </w:t>
      </w:r>
      <w:r w:rsidR="009006E8">
        <w:rPr>
          <w:color w:val="000000"/>
        </w:rPr>
        <w:t>The Company</w:t>
      </w:r>
      <w:r>
        <w:rPr>
          <w:color w:val="000000"/>
        </w:rPr>
        <w:t xml:space="preserve"> wishes </w:t>
      </w:r>
      <w:r w:rsidR="009006E8">
        <w:rPr>
          <w:color w:val="000000"/>
        </w:rPr>
        <w:t>The Company</w:t>
      </w:r>
      <w:r>
        <w:rPr>
          <w:color w:val="000000"/>
        </w:rPr>
        <w:t xml:space="preserve"> TEC Exchange Rate Request to be effective.</w:t>
      </w:r>
    </w:p>
    <w:p w14:paraId="2928D99F" w14:textId="19EC01BA" w:rsidR="00917ADC" w:rsidRDefault="009006E8">
      <w:pPr>
        <w:pStyle w:val="Heading3"/>
        <w:tabs>
          <w:tab w:val="clear" w:pos="1584"/>
          <w:tab w:val="left" w:pos="1418"/>
        </w:tabs>
        <w:ind w:left="1418" w:hanging="709"/>
        <w:rPr>
          <w:color w:val="000000"/>
        </w:rPr>
      </w:pPr>
      <w:r>
        <w:rPr>
          <w:color w:val="000000"/>
        </w:rPr>
        <w:t>The Company</w:t>
      </w:r>
      <w:r w:rsidR="00917ADC">
        <w:rPr>
          <w:color w:val="000000"/>
        </w:rPr>
        <w:t xml:space="preserve"> TEC Exchange Rate Application reference number.</w:t>
      </w:r>
    </w:p>
    <w:p w14:paraId="1F317FE8" w14:textId="77777777" w:rsidR="00AD5EF8" w:rsidRDefault="00AD5EF8">
      <w:pPr>
        <w:jc w:val="left"/>
        <w:rPr>
          <w:b/>
          <w:color w:val="000000"/>
        </w:rPr>
      </w:pPr>
    </w:p>
    <w:p w14:paraId="4904A446" w14:textId="77777777" w:rsidR="00AD5EF8" w:rsidRDefault="00AD5EF8">
      <w:pPr>
        <w:jc w:val="left"/>
        <w:rPr>
          <w:b/>
          <w:color w:val="000000"/>
        </w:rPr>
        <w:sectPr w:rsidR="00AD5EF8">
          <w:footerReference w:type="default" r:id="rId10"/>
          <w:pgSz w:w="11906" w:h="16838" w:code="9"/>
          <w:pgMar w:top="1440" w:right="1559" w:bottom="1134" w:left="1701" w:header="1134" w:footer="142" w:gutter="0"/>
          <w:pgNumType w:start="1"/>
          <w:cols w:space="720"/>
        </w:sectPr>
      </w:pPr>
    </w:p>
    <w:p w14:paraId="521EE5B9" w14:textId="77777777" w:rsidR="00917ADC" w:rsidRDefault="00917ADC">
      <w:pPr>
        <w:jc w:val="left"/>
        <w:rPr>
          <w:b/>
          <w:color w:val="000000"/>
        </w:rPr>
      </w:pPr>
    </w:p>
    <w:sectPr w:rsidR="00917ADC">
      <w:headerReference w:type="default" r:id="rId11"/>
      <w:footerReference w:type="default" r:id="rId12"/>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0928" w14:textId="77777777" w:rsidR="006F2276" w:rsidRDefault="006F2276">
      <w:r>
        <w:separator/>
      </w:r>
    </w:p>
  </w:endnote>
  <w:endnote w:type="continuationSeparator" w:id="0">
    <w:p w14:paraId="2BEE8896" w14:textId="77777777" w:rsidR="006F2276" w:rsidRDefault="006F2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BD1EE" w14:textId="0C72ACEF" w:rsidR="00917ADC" w:rsidRDefault="00917ADC">
    <w:pPr>
      <w:pStyle w:val="Footer"/>
      <w:tabs>
        <w:tab w:val="center" w:pos="4395"/>
      </w:tabs>
      <w:spacing w:line="240" w:lineRule="auto"/>
      <w:ind w:right="360"/>
    </w:pPr>
    <w:r w:rsidRPr="0014050B">
      <w:rPr>
        <w:rStyle w:val="PageNumber"/>
        <w:sz w:val="16"/>
      </w:rPr>
      <w:t>Version</w:t>
    </w:r>
    <w:r w:rsidR="00EF3649" w:rsidRPr="0014050B">
      <w:rPr>
        <w:rStyle w:val="PageNumber"/>
        <w:sz w:val="16"/>
      </w:rPr>
      <w:t xml:space="preserve"> </w:t>
    </w:r>
    <w:r w:rsidR="00F72227" w:rsidRPr="0014050B">
      <w:rPr>
        <w:rStyle w:val="PageNumber"/>
        <w:sz w:val="16"/>
      </w:rPr>
      <w:t>5</w:t>
    </w:r>
    <w:r>
      <w:rPr>
        <w:rStyle w:val="PageNumber"/>
        <w:sz w:val="16"/>
      </w:rPr>
      <w:tab/>
      <w:t>Schedule 11-</w:t>
    </w:r>
    <w:r>
      <w:rPr>
        <w:rStyle w:val="PageNumber"/>
        <w:sz w:val="16"/>
      </w:rPr>
      <w:fldChar w:fldCharType="begin"/>
    </w:r>
    <w:r>
      <w:rPr>
        <w:rStyle w:val="PageNumber"/>
        <w:sz w:val="16"/>
      </w:rPr>
      <w:instrText xml:space="preserve">PAGE  </w:instrText>
    </w:r>
    <w:r>
      <w:rPr>
        <w:rStyle w:val="PageNumber"/>
        <w:sz w:val="16"/>
      </w:rPr>
      <w:fldChar w:fldCharType="separate"/>
    </w:r>
    <w:r w:rsidR="00EF3649">
      <w:rPr>
        <w:rStyle w:val="PageNumber"/>
        <w:noProof/>
        <w:sz w:val="16"/>
      </w:rPr>
      <w:t>1</w:t>
    </w:r>
    <w:r>
      <w:rPr>
        <w:rStyle w:val="PageNumber"/>
        <w:sz w:val="16"/>
      </w:rPr>
      <w:fldChar w:fldCharType="end"/>
    </w:r>
    <w:r w:rsidR="00EF3649">
      <w:rPr>
        <w:rStyle w:val="PageNumber"/>
        <w:sz w:val="16"/>
      </w:rPr>
      <w:tab/>
    </w:r>
    <w:r w:rsidR="0014050B">
      <w:t>25 April 2023</w:t>
    </w:r>
    <w:r>
      <w:tab/>
    </w:r>
    <w:r>
      <w:rPr>
        <w:rStyle w:val="PageNumbe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99209" w14:textId="77777777" w:rsidR="00AD5EF8" w:rsidRDefault="00AD5EF8">
    <w:pPr>
      <w:pStyle w:val="Footer"/>
      <w:tabs>
        <w:tab w:val="center" w:pos="4395"/>
      </w:tabs>
      <w:spacing w:line="240" w:lineRule="auto"/>
      <w:ind w:right="360"/>
    </w:pPr>
    <w:r>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9EEA7" w14:textId="77777777" w:rsidR="006F2276" w:rsidRDefault="006F2276">
      <w:r>
        <w:separator/>
      </w:r>
    </w:p>
  </w:footnote>
  <w:footnote w:type="continuationSeparator" w:id="0">
    <w:p w14:paraId="1462AE31" w14:textId="77777777" w:rsidR="006F2276" w:rsidRDefault="006F2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423F" w14:textId="77777777" w:rsidR="00AD5EF8" w:rsidRDefault="00AD5E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E61AFB7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5863A86"/>
    <w:multiLevelType w:val="multilevel"/>
    <w:tmpl w:val="4002054A"/>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4979426">
    <w:abstractNumId w:val="1"/>
  </w:num>
  <w:num w:numId="2" w16cid:durableId="4405982">
    <w:abstractNumId w:val="11"/>
  </w:num>
  <w:num w:numId="3" w16cid:durableId="786462032">
    <w:abstractNumId w:val="6"/>
  </w:num>
  <w:num w:numId="4" w16cid:durableId="896168407">
    <w:abstractNumId w:val="12"/>
  </w:num>
  <w:num w:numId="5" w16cid:durableId="1666736306">
    <w:abstractNumId w:val="5"/>
  </w:num>
  <w:num w:numId="6" w16cid:durableId="1426806214">
    <w:abstractNumId w:val="7"/>
  </w:num>
  <w:num w:numId="7" w16cid:durableId="1992828315">
    <w:abstractNumId w:val="13"/>
  </w:num>
  <w:num w:numId="8" w16cid:durableId="1026953546">
    <w:abstractNumId w:val="15"/>
  </w:num>
  <w:num w:numId="9" w16cid:durableId="213858085">
    <w:abstractNumId w:val="3"/>
  </w:num>
  <w:num w:numId="10" w16cid:durableId="347564203">
    <w:abstractNumId w:val="8"/>
  </w:num>
  <w:num w:numId="11" w16cid:durableId="1588925152">
    <w:abstractNumId w:val="14"/>
  </w:num>
  <w:num w:numId="12" w16cid:durableId="1301687619">
    <w:abstractNumId w:val="4"/>
  </w:num>
  <w:num w:numId="13" w16cid:durableId="1613710664">
    <w:abstractNumId w:val="10"/>
  </w:num>
  <w:num w:numId="14" w16cid:durableId="1603026131">
    <w:abstractNumId w:val="9"/>
  </w:num>
  <w:num w:numId="15" w16cid:durableId="1309285170">
    <w:abstractNumId w:val="2"/>
  </w:num>
  <w:num w:numId="16" w16cid:durableId="1022515436">
    <w:abstractNumId w:val="0"/>
  </w:num>
  <w:num w:numId="17" w16cid:durableId="687944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02FC"/>
    <w:rsid w:val="00026E54"/>
    <w:rsid w:val="000635E3"/>
    <w:rsid w:val="00072BD9"/>
    <w:rsid w:val="0014050B"/>
    <w:rsid w:val="00180953"/>
    <w:rsid w:val="001D34B3"/>
    <w:rsid w:val="00244AD9"/>
    <w:rsid w:val="002B36DE"/>
    <w:rsid w:val="002B4A7F"/>
    <w:rsid w:val="002F309B"/>
    <w:rsid w:val="003B65E3"/>
    <w:rsid w:val="00584544"/>
    <w:rsid w:val="006502FC"/>
    <w:rsid w:val="00651755"/>
    <w:rsid w:val="006F2276"/>
    <w:rsid w:val="00726993"/>
    <w:rsid w:val="00766044"/>
    <w:rsid w:val="007673E9"/>
    <w:rsid w:val="007D1C24"/>
    <w:rsid w:val="008F66A5"/>
    <w:rsid w:val="009006E8"/>
    <w:rsid w:val="00905B9F"/>
    <w:rsid w:val="00917ADC"/>
    <w:rsid w:val="00987DB4"/>
    <w:rsid w:val="00A63DAB"/>
    <w:rsid w:val="00AD5EF8"/>
    <w:rsid w:val="00B02A44"/>
    <w:rsid w:val="00B17D19"/>
    <w:rsid w:val="00B314CC"/>
    <w:rsid w:val="00C0510D"/>
    <w:rsid w:val="00D13A9B"/>
    <w:rsid w:val="00D36A31"/>
    <w:rsid w:val="00EF3649"/>
    <w:rsid w:val="00F6632F"/>
    <w:rsid w:val="00F722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934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072BD9"/>
    <w:rPr>
      <w:sz w:val="16"/>
      <w:szCs w:val="16"/>
    </w:rPr>
  </w:style>
  <w:style w:type="paragraph" w:styleId="CommentSubject">
    <w:name w:val="annotation subject"/>
    <w:basedOn w:val="CommentText"/>
    <w:next w:val="CommentText"/>
    <w:link w:val="CommentSubjectChar"/>
    <w:rsid w:val="00072BD9"/>
    <w:rPr>
      <w:b/>
      <w:bCs/>
      <w:position w:val="0"/>
    </w:rPr>
  </w:style>
  <w:style w:type="character" w:customStyle="1" w:styleId="CommentTextChar">
    <w:name w:val="Comment Text Char"/>
    <w:link w:val="CommentText"/>
    <w:semiHidden/>
    <w:rsid w:val="00072BD9"/>
    <w:rPr>
      <w:rFonts w:ascii="Arial" w:hAnsi="Arial"/>
      <w:position w:val="2"/>
      <w:lang w:eastAsia="en-US"/>
    </w:rPr>
  </w:style>
  <w:style w:type="character" w:customStyle="1" w:styleId="CommentSubjectChar">
    <w:name w:val="Comment Subject Char"/>
    <w:link w:val="CommentSubject"/>
    <w:rsid w:val="00072BD9"/>
    <w:rPr>
      <w:rFonts w:ascii="Arial" w:hAnsi="Arial"/>
      <w:b/>
      <w:bCs/>
      <w:position w:val="2"/>
      <w:lang w:eastAsia="en-US"/>
    </w:rPr>
  </w:style>
  <w:style w:type="paragraph" w:styleId="Revision">
    <w:name w:val="Revision"/>
    <w:hidden/>
    <w:uiPriority w:val="99"/>
    <w:semiHidden/>
    <w:rsid w:val="00F7222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19FCB-629F-4498-80DE-42A6EF216210}">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customXml/itemProps2.xml><?xml version="1.0" encoding="utf-8"?>
<ds:datastoreItem xmlns:ds="http://schemas.openxmlformats.org/officeDocument/2006/customXml" ds:itemID="{E0DC1CE7-E1D0-4AAE-8BC1-EA23A5717A27}">
  <ds:schemaRefs>
    <ds:schemaRef ds:uri="http://schemas.microsoft.com/sharepoint/v3/contenttype/forms"/>
  </ds:schemaRefs>
</ds:datastoreItem>
</file>

<file path=customXml/itemProps3.xml><?xml version="1.0" encoding="utf-8"?>
<ds:datastoreItem xmlns:ds="http://schemas.openxmlformats.org/officeDocument/2006/customXml" ds:itemID="{D1AA8C93-7325-493B-85B4-16BD008C7640}"/>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2023-03-10T09:35:00Z</dcterms:created>
  <dcterms:modified xsi:type="dcterms:W3CDTF">2024-04-30T12:58:00Z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-141306865</vt:i4>
  </property>
  <property fmtid="{D5CDD505-2E9C-101B-9397-08002B2CF9AE}" pid="3" name="_NewReviewCycle">
    <vt:lpwstr/>
  </property>
  <property fmtid="{D5CDD505-2E9C-101B-9397-08002B2CF9AE}" pid="4" name="_PreviousAdHocReviewCycleID">
    <vt:i4>-1257531785</vt:i4>
  </property>
  <property fmtid="{D5CDD505-2E9C-101B-9397-08002B2CF9AE}" pid="5" name="_ReviewingToolsShownOnce">
    <vt:lpwstr/>
  </property>
  <property fmtid="{D5CDD505-2E9C-101B-9397-08002B2CF9AE}" pid="6" name="IconOverlay">
    <vt:lpwstr/>
  </property>
  <property fmtid="{D5CDD505-2E9C-101B-9397-08002B2CF9AE}" pid="7" name="test">
    <vt:lpwstr/>
  </property>
  <property fmtid="{D5CDD505-2E9C-101B-9397-08002B2CF9AE}" pid="8" name="ContentTypeId">
    <vt:lpwstr>0x010100FCB0F6552D2533449E6986FAC6B0DD0F</vt:lpwstr>
  </property>
  <property fmtid="{D5CDD505-2E9C-101B-9397-08002B2CF9AE}" pid="9" name="MediaServiceImageTags">
    <vt:lpwstr/>
  </property>
  <property fmtid="{D5CDD505-2E9C-101B-9397-08002B2CF9AE}" pid="10" name="MSIP_Label_7b67b050-2e12-4c1b-9cc6-12fcbcc0bbf7_Enabled">
    <vt:lpwstr>True</vt:lpwstr>
  </property>
  <property fmtid="{D5CDD505-2E9C-101B-9397-08002B2CF9AE}" pid="11" name="MSIP_Label_7b67b050-2e12-4c1b-9cc6-12fcbcc0bbf7_SiteId">
    <vt:lpwstr>185562ad-39bc-4840-8e40-be6216340c52</vt:lpwstr>
  </property>
  <property fmtid="{D5CDD505-2E9C-101B-9397-08002B2CF9AE}" pid="12" name="MSIP_Label_7b67b050-2e12-4c1b-9cc6-12fcbcc0bbf7_SetDate">
    <vt:lpwstr>2024-05-02T09:32:40Z</vt:lpwstr>
  </property>
  <property fmtid="{D5CDD505-2E9C-101B-9397-08002B2CF9AE}" pid="13" name="MSIP_Label_7b67b050-2e12-4c1b-9cc6-12fcbcc0bbf7_Name">
    <vt:lpwstr>Official. \ External Permitted</vt:lpwstr>
  </property>
  <property fmtid="{D5CDD505-2E9C-101B-9397-08002B2CF9AE}" pid="14" name="MSIP_Label_7b67b050-2e12-4c1b-9cc6-12fcbcc0bbf7_ActionId">
    <vt:lpwstr>5433639b-bb0f-4034-ae7a-2ae45869684c</vt:lpwstr>
  </property>
  <property fmtid="{D5CDD505-2E9C-101B-9397-08002B2CF9AE}" pid="15" name="MSIP_Label_7b67b050-2e12-4c1b-9cc6-12fcbcc0bbf7_Removed">
    <vt:lpwstr>False</vt:lpwstr>
  </property>
  <property fmtid="{D5CDD505-2E9C-101B-9397-08002B2CF9AE}" pid="16" name="MSIP_Label_7b67b050-2e12-4c1b-9cc6-12fcbcc0bbf7_Parent">
    <vt:lpwstr>8dbff476-1836-4f70-ae84-d1ff97414a3a</vt:lpwstr>
  </property>
  <property fmtid="{D5CDD505-2E9C-101B-9397-08002B2CF9AE}" pid="17" name="MSIP_Label_7b67b050-2e12-4c1b-9cc6-12fcbcc0bbf7_Extended_MSFT_Method">
    <vt:lpwstr>Standard</vt:lpwstr>
  </property>
  <property fmtid="{D5CDD505-2E9C-101B-9397-08002B2CF9AE}" pid="18" name="MSIP_Label_8dbff476-1836-4f70-ae84-d1ff97414a3a_Enabled">
    <vt:lpwstr>True</vt:lpwstr>
  </property>
  <property fmtid="{D5CDD505-2E9C-101B-9397-08002B2CF9AE}" pid="19" name="MSIP_Label_8dbff476-1836-4f70-ae84-d1ff97414a3a_SiteId">
    <vt:lpwstr>185562ad-39bc-4840-8e40-be6216340c52</vt:lpwstr>
  </property>
  <property fmtid="{D5CDD505-2E9C-101B-9397-08002B2CF9AE}" pid="20" name="MSIP_Label_8dbff476-1836-4f70-ae84-d1ff97414a3a_SetDate">
    <vt:lpwstr>2024-05-02T09:32:40Z</vt:lpwstr>
  </property>
  <property fmtid="{D5CDD505-2E9C-101B-9397-08002B2CF9AE}" pid="21" name="MSIP_Label_8dbff476-1836-4f70-ae84-d1ff97414a3a_Name">
    <vt:lpwstr>Official.</vt:lpwstr>
  </property>
  <property fmtid="{D5CDD505-2E9C-101B-9397-08002B2CF9AE}" pid="22" name="MSIP_Label_8dbff476-1836-4f70-ae84-d1ff97414a3a_ActionId">
    <vt:lpwstr>1daba151-650f-4933-88bf-ae87d561625c</vt:lpwstr>
  </property>
  <property fmtid="{D5CDD505-2E9C-101B-9397-08002B2CF9AE}" pid="23" name="MSIP_Label_8dbff476-1836-4f70-ae84-d1ff97414a3a_Extended_MSFT_Method">
    <vt:lpwstr>Standard</vt:lpwstr>
  </property>
  <property fmtid="{D5CDD505-2E9C-101B-9397-08002B2CF9AE}" pid="24" name="Sensitivity">
    <vt:lpwstr>Official. \ External Permitted Official.</vt:lpwstr>
  </property>
</Properties>
</file>