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405C6" w14:textId="05C89576" w:rsidR="00A94952" w:rsidRPr="00442AAC" w:rsidRDefault="0092493B" w:rsidP="00E9523F">
      <w:pPr>
        <w:jc w:val="right"/>
        <w:rPr>
          <w:rFonts w:ascii="Arial" w:hAnsi="Arial" w:cs="Arial"/>
          <w:sz w:val="32"/>
          <w:szCs w:val="32"/>
        </w:rPr>
      </w:pPr>
      <w:r w:rsidRPr="0092493B">
        <w:rPr>
          <w:rFonts w:ascii="Arial" w:hAnsi="Arial" w:cs="Arial"/>
          <w:noProof/>
          <w:sz w:val="32"/>
          <w:szCs w:val="32"/>
        </w:rPr>
        <mc:AlternateContent>
          <mc:Choice Requires="wps">
            <w:drawing>
              <wp:anchor distT="45720" distB="45720" distL="114300" distR="114300" simplePos="0" relativeHeight="251658241" behindDoc="0" locked="0" layoutInCell="1" allowOverlap="1" wp14:anchorId="7B1A885C" wp14:editId="60423549">
                <wp:simplePos x="0" y="0"/>
                <wp:positionH relativeFrom="margin">
                  <wp:align>left</wp:align>
                </wp:positionH>
                <wp:positionV relativeFrom="paragraph">
                  <wp:posOffset>579</wp:posOffset>
                </wp:positionV>
                <wp:extent cx="236093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B816F4" w14:textId="68EBA7B3" w:rsidR="0092493B" w:rsidRDefault="0092493B" w:rsidP="004916C4">
                            <w:pPr>
                              <w:spacing w:after="0" w:line="240" w:lineRule="auto"/>
                            </w:pPr>
                            <w:r>
                              <w:t>Energy Intensive Users Group</w:t>
                            </w:r>
                          </w:p>
                          <w:p w14:paraId="540887EF" w14:textId="0AC4CCEE" w:rsidR="0092493B" w:rsidRDefault="00CC40A6" w:rsidP="004916C4">
                            <w:pPr>
                              <w:spacing w:after="0" w:line="240" w:lineRule="auto"/>
                            </w:pPr>
                            <w:r>
                              <w:t>Kings Buildings</w:t>
                            </w:r>
                          </w:p>
                          <w:p w14:paraId="1D6B9575" w14:textId="7CB7EAC3" w:rsidR="00CC40A6" w:rsidRDefault="00CC40A6" w:rsidP="004916C4">
                            <w:pPr>
                              <w:spacing w:after="0" w:line="240" w:lineRule="auto"/>
                            </w:pPr>
                            <w:r>
                              <w:t>Smith Square</w:t>
                            </w:r>
                          </w:p>
                          <w:p w14:paraId="093D3893" w14:textId="227A6D21" w:rsidR="00CC40A6" w:rsidRDefault="00CC40A6" w:rsidP="004916C4">
                            <w:pPr>
                              <w:spacing w:after="0" w:line="240" w:lineRule="auto"/>
                            </w:pPr>
                            <w:r>
                              <w:t>SW1P 3JJ London</w:t>
                            </w:r>
                          </w:p>
                          <w:p w14:paraId="4EBF6316" w14:textId="0019F81C" w:rsidR="00DB493A" w:rsidRDefault="008737BF" w:rsidP="004916C4">
                            <w:pPr>
                              <w:spacing w:after="0" w:line="240" w:lineRule="auto"/>
                            </w:pPr>
                            <w:r>
                              <w:t>07951</w:t>
                            </w:r>
                            <w:r w:rsidR="00DA461B">
                              <w:t xml:space="preserve"> 387 408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B1A885C" id="_x0000_t202" coordsize="21600,21600" o:spt="202" path="m,l,21600r21600,l21600,xe">
                <v:stroke joinstyle="miter"/>
                <v:path gradientshapeok="t" o:connecttype="rect"/>
              </v:shapetype>
              <v:shape id="Text Box 217" o:spid="_x0000_s1026" type="#_x0000_t202" style="position:absolute;left:0;text-align:left;margin-left:0;margin-top:.05pt;width:185.9pt;height:110.6pt;z-index:251658241;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" stroked="f">
                <v:textbox style="mso-fit-shape-to-text:t">
                  <w:txbxContent>
                    <w:p w14:paraId="7AB816F4" w14:textId="68EBA7B3" w:rsidR="0092493B" w:rsidRDefault="0092493B" w:rsidP="004916C4">
                      <w:pPr>
                        <w:spacing w:after="0" w:line="240" w:lineRule="auto"/>
                      </w:pPr>
                      <w:r>
                        <w:t>Energy Intensive Users Group</w:t>
                      </w:r>
                    </w:p>
                    <w:p w14:paraId="540887EF" w14:textId="0AC4CCEE" w:rsidR="0092493B" w:rsidRDefault="00CC40A6" w:rsidP="004916C4">
                      <w:pPr>
                        <w:spacing w:after="0" w:line="240" w:lineRule="auto"/>
                      </w:pPr>
                      <w:r>
                        <w:t>Kings Buildings</w:t>
                      </w:r>
                    </w:p>
                    <w:p w14:paraId="1D6B9575" w14:textId="7CB7EAC3" w:rsidR="00CC40A6" w:rsidRDefault="00CC40A6" w:rsidP="004916C4">
                      <w:pPr>
                        <w:spacing w:after="0" w:line="240" w:lineRule="auto"/>
                      </w:pPr>
                      <w:r>
                        <w:t>Smith Square</w:t>
                      </w:r>
                    </w:p>
                    <w:p w14:paraId="093D3893" w14:textId="227A6D21" w:rsidR="00CC40A6" w:rsidRDefault="00CC40A6" w:rsidP="004916C4">
                      <w:pPr>
                        <w:spacing w:after="0" w:line="240" w:lineRule="auto"/>
                      </w:pPr>
                      <w:r>
                        <w:t>SW1P 3JJ London</w:t>
                      </w:r>
                    </w:p>
                    <w:p w14:paraId="4EBF6316" w14:textId="0019F81C" w:rsidR="00DB493A" w:rsidRDefault="008737BF" w:rsidP="004916C4">
                      <w:pPr>
                        <w:spacing w:after="0" w:line="240" w:lineRule="auto"/>
                      </w:pPr>
                      <w:r>
                        <w:t>07951</w:t>
                      </w:r>
                      <w:r w:rsidR="00DA461B">
                        <w:t xml:space="preserve"> 387 408</w:t>
                      </w:r>
                    </w:p>
                  </w:txbxContent>
                </v:textbox>
                <w10:wrap type="square" anchorx="margin"/>
              </v:shape>
            </w:pict>
          </mc:Fallback>
        </mc:AlternateContent>
      </w:r>
      <w:r w:rsidR="009E686D" w:rsidRPr="009E686D">
        <w:rPr>
          <w:rFonts w:ascii="Arial" w:hAnsi="Arial" w:cs="Arial"/>
          <w:b/>
          <w:bCs/>
          <w:noProof/>
          <w:sz w:val="32"/>
          <w:szCs w:val="32"/>
        </w:rPr>
        <mc:AlternateContent>
          <mc:Choice Requires="wps">
            <w:drawing>
              <wp:anchor distT="45720" distB="45720" distL="114300" distR="114300" simplePos="0" relativeHeight="251658240" behindDoc="0" locked="0" layoutInCell="1" allowOverlap="1" wp14:anchorId="444D373B" wp14:editId="37FCB3D0">
                <wp:simplePos x="0" y="0"/>
                <wp:positionH relativeFrom="column">
                  <wp:posOffset>3371850</wp:posOffset>
                </wp:positionH>
                <wp:positionV relativeFrom="paragraph">
                  <wp:posOffset>9525</wp:posOffset>
                </wp:positionV>
                <wp:extent cx="2320290" cy="857250"/>
                <wp:effectExtent l="0" t="0" r="381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0290" cy="857250"/>
                        </a:xfrm>
                        <a:prstGeom prst="rect">
                          <a:avLst/>
                        </a:prstGeom>
                        <a:solidFill>
                          <a:srgbClr val="FFFFFF"/>
                        </a:solidFill>
                        <a:ln w="9525">
                          <a:noFill/>
                          <a:miter lim="800000"/>
                          <a:headEnd/>
                          <a:tailEnd/>
                        </a:ln>
                      </wps:spPr>
                      <wps:txbx>
                        <w:txbxContent>
                          <w:p w14:paraId="1A4E51AD" w14:textId="6A8D112D" w:rsidR="009E686D" w:rsidRDefault="009E686D" w:rsidP="009E686D">
                            <w:r>
                              <w:rPr>
                                <w:rFonts w:ascii="Arial" w:hAnsi="Arial" w:cs="Arial"/>
                                <w:noProof/>
                                <w:sz w:val="32"/>
                                <w:szCs w:val="32"/>
                              </w:rPr>
                              <w:drawing>
                                <wp:inline distT="0" distB="0" distL="0" distR="0" wp14:anchorId="40D8E51B" wp14:editId="490B6397">
                                  <wp:extent cx="2126311" cy="619125"/>
                                  <wp:effectExtent l="0" t="0" r="762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6311" cy="6191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4D373B" id="Text Box 5" o:spid="_x0000_s1027" type="#_x0000_t202" style="position:absolute;left:0;text-align:left;margin-left:265.5pt;margin-top:.75pt;width:182.7pt;height:6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" stroked="f">
                <v:textbox>
                  <w:txbxContent>
                    <w:p w14:paraId="1A4E51AD" w14:textId="6A8D112D" w:rsidR="009E686D" w:rsidRDefault="009E686D" w:rsidP="009E686D">
                      <w:r>
                        <w:rPr>
                          <w:rFonts w:ascii="Arial" w:hAnsi="Arial" w:cs="Arial"/>
                          <w:noProof/>
                          <w:sz w:val="32"/>
                          <w:szCs w:val="32"/>
                        </w:rPr>
                        <w:drawing>
                          <wp:inline distT="0" distB="0" distL="0" distR="0" wp14:anchorId="40D8E51B" wp14:editId="490B6397">
                            <wp:extent cx="2126311" cy="619125"/>
                            <wp:effectExtent l="0" t="0" r="762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6311" cy="619125"/>
                                    </a:xfrm>
                                    <a:prstGeom prst="rect">
                                      <a:avLst/>
                                    </a:prstGeom>
                                    <a:noFill/>
                                    <a:ln>
                                      <a:noFill/>
                                    </a:ln>
                                  </pic:spPr>
                                </pic:pic>
                              </a:graphicData>
                            </a:graphic>
                          </wp:inline>
                        </w:drawing>
                      </w:r>
                    </w:p>
                  </w:txbxContent>
                </v:textbox>
                <w10:wrap type="square"/>
              </v:shape>
            </w:pict>
          </mc:Fallback>
        </mc:AlternateContent>
      </w:r>
      <w:r w:rsidR="00E9523F">
        <w:rPr>
          <w:color w:val="000000"/>
          <w:sz w:val="20"/>
          <w:szCs w:val="20"/>
          <w:shd w:val="clear" w:color="auto" w:fill="FFFFFF"/>
        </w:rPr>
        <w:br/>
      </w:r>
    </w:p>
    <w:p w14:paraId="27945816" w14:textId="039EB223" w:rsidR="00A94952" w:rsidRDefault="00A94952" w:rsidP="009F7C0A">
      <w:pPr>
        <w:jc w:val="center"/>
        <w:rPr>
          <w:rFonts w:ascii="Arial" w:hAnsi="Arial" w:cs="Arial"/>
          <w:b/>
          <w:bCs/>
          <w:sz w:val="32"/>
          <w:szCs w:val="32"/>
        </w:rPr>
      </w:pPr>
    </w:p>
    <w:p w14:paraId="6A73B882" w14:textId="77777777" w:rsidR="00A94952" w:rsidRDefault="00A94952" w:rsidP="009F7C0A">
      <w:pPr>
        <w:jc w:val="center"/>
        <w:rPr>
          <w:rFonts w:ascii="Arial" w:hAnsi="Arial" w:cs="Arial"/>
          <w:b/>
          <w:bCs/>
          <w:sz w:val="32"/>
          <w:szCs w:val="32"/>
        </w:rPr>
      </w:pPr>
    </w:p>
    <w:p w14:paraId="1889E057" w14:textId="75A115B9" w:rsidR="00283E88" w:rsidRDefault="00283E88" w:rsidP="008178BE">
      <w:pPr>
        <w:jc w:val="center"/>
        <w:rPr>
          <w:rFonts w:ascii="Arial" w:hAnsi="Arial" w:cs="Arial"/>
          <w:b/>
          <w:bCs/>
          <w:sz w:val="32"/>
          <w:szCs w:val="32"/>
        </w:rPr>
      </w:pPr>
      <w:r w:rsidRPr="009F7C0A">
        <w:rPr>
          <w:rFonts w:ascii="Arial" w:hAnsi="Arial" w:cs="Arial"/>
          <w:b/>
          <w:bCs/>
          <w:sz w:val="32"/>
          <w:szCs w:val="32"/>
        </w:rPr>
        <w:t xml:space="preserve">EIUG </w:t>
      </w:r>
      <w:r w:rsidR="008178BE">
        <w:rPr>
          <w:rFonts w:ascii="Arial" w:hAnsi="Arial" w:cs="Arial"/>
          <w:b/>
          <w:bCs/>
          <w:sz w:val="32"/>
          <w:szCs w:val="32"/>
        </w:rPr>
        <w:t>Response to</w:t>
      </w:r>
      <w:r w:rsidR="00B9051A">
        <w:rPr>
          <w:rFonts w:ascii="Arial" w:hAnsi="Arial" w:cs="Arial"/>
          <w:b/>
          <w:bCs/>
          <w:sz w:val="32"/>
          <w:szCs w:val="32"/>
        </w:rPr>
        <w:t xml:space="preserve"> </w:t>
      </w:r>
      <w:r w:rsidR="000D75A6">
        <w:rPr>
          <w:rFonts w:ascii="Arial" w:hAnsi="Arial" w:cs="Arial"/>
          <w:b/>
          <w:bCs/>
          <w:sz w:val="32"/>
          <w:szCs w:val="32"/>
        </w:rPr>
        <w:t>Ofgem’s Consultation on RIIO-3 Sector Specific Methodology</w:t>
      </w:r>
    </w:p>
    <w:p w14:paraId="03ACC401" w14:textId="77777777" w:rsidR="00BC1B51" w:rsidRDefault="00BC1B51">
      <w:pPr>
        <w:rPr>
          <w:rFonts w:ascii="Arial" w:hAnsi="Arial" w:cs="Arial"/>
          <w:b/>
          <w:bCs/>
          <w:sz w:val="24"/>
          <w:szCs w:val="24"/>
          <w:u w:val="single"/>
        </w:rPr>
      </w:pPr>
    </w:p>
    <w:p w14:paraId="4BB86A94" w14:textId="484E6CB2" w:rsidR="00283E88" w:rsidRPr="006524A3" w:rsidRDefault="00283E88">
      <w:pPr>
        <w:rPr>
          <w:rFonts w:ascii="Arial" w:hAnsi="Arial" w:cs="Arial"/>
          <w:b/>
          <w:bCs/>
          <w:sz w:val="24"/>
          <w:szCs w:val="24"/>
          <w:u w:val="single"/>
        </w:rPr>
      </w:pPr>
      <w:r w:rsidRPr="006524A3">
        <w:rPr>
          <w:rFonts w:ascii="Arial" w:hAnsi="Arial" w:cs="Arial"/>
          <w:b/>
          <w:bCs/>
          <w:sz w:val="24"/>
          <w:szCs w:val="24"/>
          <w:u w:val="single"/>
        </w:rPr>
        <w:t>Introduction</w:t>
      </w:r>
    </w:p>
    <w:p w14:paraId="32FDC22E" w14:textId="0EC1B06F" w:rsidR="00042DCB" w:rsidRDefault="00042DCB" w:rsidP="009F7C0A">
      <w:pPr>
        <w:pStyle w:val="ListParagraph"/>
        <w:numPr>
          <w:ilvl w:val="0"/>
          <w:numId w:val="2"/>
        </w:numPr>
        <w:rPr>
          <w:rFonts w:ascii="Arial" w:hAnsi="Arial" w:cs="Arial"/>
          <w:sz w:val="24"/>
          <w:szCs w:val="24"/>
        </w:rPr>
      </w:pPr>
      <w:r w:rsidRPr="009F7C0A">
        <w:rPr>
          <w:rFonts w:ascii="Arial" w:hAnsi="Arial" w:cs="Arial"/>
          <w:sz w:val="24"/>
          <w:szCs w:val="24"/>
        </w:rPr>
        <w:t>The Energy Intensive Users Group (EIUG) is an umbrella organisation that represents the interests of energy intensive industrial (EII</w:t>
      </w:r>
      <w:r w:rsidR="00834FC2">
        <w:rPr>
          <w:rFonts w:ascii="Arial" w:hAnsi="Arial" w:cs="Arial"/>
          <w:sz w:val="24"/>
          <w:szCs w:val="24"/>
        </w:rPr>
        <w:t>s</w:t>
      </w:r>
      <w:r w:rsidRPr="009F7C0A">
        <w:rPr>
          <w:rFonts w:ascii="Arial" w:hAnsi="Arial" w:cs="Arial"/>
          <w:sz w:val="24"/>
          <w:szCs w:val="24"/>
        </w:rPr>
        <w:t xml:space="preserve">) consumers. Its </w:t>
      </w:r>
      <w:r w:rsidR="000D75A6">
        <w:rPr>
          <w:rFonts w:ascii="Arial" w:hAnsi="Arial" w:cs="Arial"/>
          <w:sz w:val="24"/>
          <w:szCs w:val="24"/>
        </w:rPr>
        <w:t xml:space="preserve">objectives are </w:t>
      </w:r>
      <w:r w:rsidRPr="009F7C0A">
        <w:rPr>
          <w:rFonts w:ascii="Arial" w:hAnsi="Arial" w:cs="Arial"/>
          <w:sz w:val="24"/>
          <w:szCs w:val="24"/>
        </w:rPr>
        <w:t>to achieve fair and competitive energy prices</w:t>
      </w:r>
      <w:r w:rsidR="000D75A6">
        <w:rPr>
          <w:rFonts w:ascii="Arial" w:hAnsi="Arial" w:cs="Arial"/>
          <w:sz w:val="24"/>
          <w:szCs w:val="24"/>
        </w:rPr>
        <w:t xml:space="preserve"> and </w:t>
      </w:r>
      <w:r w:rsidR="000D75A6" w:rsidRPr="000D75A6">
        <w:rPr>
          <w:rFonts w:ascii="Arial" w:hAnsi="Arial" w:cs="Arial"/>
          <w:sz w:val="24"/>
          <w:szCs w:val="24"/>
        </w:rPr>
        <w:t xml:space="preserve">ensure security of energy supply </w:t>
      </w:r>
      <w:r w:rsidR="000D75A6">
        <w:rPr>
          <w:rFonts w:ascii="Arial" w:hAnsi="Arial" w:cs="Arial"/>
          <w:sz w:val="24"/>
          <w:szCs w:val="24"/>
        </w:rPr>
        <w:t xml:space="preserve">for </w:t>
      </w:r>
      <w:r w:rsidR="000D75A6" w:rsidRPr="000D75A6">
        <w:rPr>
          <w:rFonts w:ascii="Arial" w:hAnsi="Arial" w:cs="Arial"/>
          <w:sz w:val="24"/>
          <w:szCs w:val="24"/>
        </w:rPr>
        <w:t>and cost-effective decarbonisation</w:t>
      </w:r>
      <w:r w:rsidR="000D75A6">
        <w:rPr>
          <w:rFonts w:ascii="Arial" w:hAnsi="Arial" w:cs="Arial"/>
          <w:sz w:val="24"/>
          <w:szCs w:val="24"/>
        </w:rPr>
        <w:t xml:space="preserve"> of</w:t>
      </w:r>
      <w:r w:rsidRPr="009F7C0A">
        <w:rPr>
          <w:rFonts w:ascii="Arial" w:hAnsi="Arial" w:cs="Arial"/>
          <w:sz w:val="24"/>
          <w:szCs w:val="24"/>
        </w:rPr>
        <w:t xml:space="preserve"> British industry</w:t>
      </w:r>
      <w:r w:rsidR="000D75A6">
        <w:rPr>
          <w:rFonts w:ascii="Arial" w:hAnsi="Arial" w:cs="Arial"/>
          <w:sz w:val="24"/>
          <w:szCs w:val="24"/>
        </w:rPr>
        <w:t xml:space="preserve"> </w:t>
      </w:r>
      <w:r w:rsidR="000D75A6" w:rsidRPr="000D75A6">
        <w:rPr>
          <w:rFonts w:ascii="Arial" w:hAnsi="Arial" w:cs="Arial"/>
          <w:sz w:val="24"/>
          <w:szCs w:val="24"/>
        </w:rPr>
        <w:t>so that they can continue to compete internationall</w:t>
      </w:r>
      <w:r w:rsidR="000D75A6">
        <w:rPr>
          <w:rFonts w:ascii="Arial" w:hAnsi="Arial" w:cs="Arial"/>
          <w:sz w:val="24"/>
          <w:szCs w:val="24"/>
        </w:rPr>
        <w:t>y</w:t>
      </w:r>
      <w:r w:rsidRPr="009F7C0A">
        <w:rPr>
          <w:rFonts w:ascii="Arial" w:hAnsi="Arial" w:cs="Arial"/>
          <w:sz w:val="24"/>
          <w:szCs w:val="24"/>
        </w:rPr>
        <w:t>. It represents manufacturers of steel, chemicals, fertilisers, paper, glass, cement, lime, ceramics, and industrial gases</w:t>
      </w:r>
      <w:r w:rsidR="000D75A6">
        <w:rPr>
          <w:rFonts w:ascii="Arial" w:hAnsi="Arial" w:cs="Arial"/>
          <w:sz w:val="24"/>
          <w:szCs w:val="24"/>
        </w:rPr>
        <w:t xml:space="preserve"> and they produce</w:t>
      </w:r>
      <w:r w:rsidRPr="009F7C0A">
        <w:rPr>
          <w:rFonts w:ascii="Arial" w:hAnsi="Arial" w:cs="Arial"/>
          <w:sz w:val="24"/>
          <w:szCs w:val="24"/>
        </w:rPr>
        <w:t xml:space="preserve"> materials which are essential inputs to UK manufacturing supply chains, including materials that support climate solutions in the energy, transport, construction, agriculture, and household sectors. They add an annual contribution of £29bn GVA to the UK economy and support 210,000 jobs directly and 800,000 jobs indirectly around the country. </w:t>
      </w:r>
    </w:p>
    <w:p w14:paraId="26C21185" w14:textId="77777777" w:rsidR="009F7C0A" w:rsidRDefault="009F7C0A" w:rsidP="009F7C0A">
      <w:pPr>
        <w:pStyle w:val="ListParagraph"/>
        <w:ind w:left="360"/>
        <w:rPr>
          <w:rFonts w:ascii="Arial" w:hAnsi="Arial" w:cs="Arial"/>
          <w:sz w:val="24"/>
          <w:szCs w:val="24"/>
        </w:rPr>
      </w:pPr>
    </w:p>
    <w:p w14:paraId="22ADE58B" w14:textId="266CFD4C" w:rsidR="00661ED9" w:rsidRDefault="00042DCB" w:rsidP="00661ED9">
      <w:pPr>
        <w:pStyle w:val="ListParagraph"/>
        <w:numPr>
          <w:ilvl w:val="0"/>
          <w:numId w:val="2"/>
        </w:numPr>
        <w:rPr>
          <w:rFonts w:ascii="Arial" w:hAnsi="Arial" w:cs="Arial"/>
          <w:sz w:val="24"/>
          <w:szCs w:val="24"/>
        </w:rPr>
      </w:pPr>
      <w:r w:rsidRPr="000D75A6">
        <w:rPr>
          <w:rFonts w:ascii="Arial" w:hAnsi="Arial" w:cs="Arial"/>
          <w:sz w:val="24"/>
          <w:szCs w:val="24"/>
        </w:rPr>
        <w:t xml:space="preserve">These </w:t>
      </w:r>
      <w:r w:rsidR="000D75A6" w:rsidRPr="000D75A6">
        <w:rPr>
          <w:rFonts w:ascii="Arial" w:hAnsi="Arial" w:cs="Arial"/>
          <w:sz w:val="24"/>
          <w:szCs w:val="24"/>
        </w:rPr>
        <w:t xml:space="preserve">foundation industries are both energy and trade intensive and continuing to invest in the UK. </w:t>
      </w:r>
      <w:proofErr w:type="gramStart"/>
      <w:r w:rsidR="000D75A6" w:rsidRPr="000D75A6">
        <w:rPr>
          <w:rFonts w:ascii="Arial" w:hAnsi="Arial" w:cs="Arial"/>
          <w:sz w:val="24"/>
          <w:szCs w:val="24"/>
        </w:rPr>
        <w:t xml:space="preserve">In </w:t>
      </w:r>
      <w:r w:rsidR="00D15827">
        <w:rPr>
          <w:rFonts w:ascii="Arial" w:hAnsi="Arial" w:cs="Arial"/>
          <w:sz w:val="24"/>
          <w:szCs w:val="24"/>
        </w:rPr>
        <w:t>order to</w:t>
      </w:r>
      <w:proofErr w:type="gramEnd"/>
      <w:r w:rsidR="00D15827">
        <w:rPr>
          <w:rFonts w:ascii="Arial" w:hAnsi="Arial" w:cs="Arial"/>
          <w:sz w:val="24"/>
          <w:szCs w:val="24"/>
        </w:rPr>
        <w:t xml:space="preserve"> be </w:t>
      </w:r>
      <w:r w:rsidR="000D75A6" w:rsidRPr="000D75A6">
        <w:rPr>
          <w:rFonts w:ascii="Arial" w:hAnsi="Arial" w:cs="Arial"/>
          <w:sz w:val="24"/>
          <w:szCs w:val="24"/>
        </w:rPr>
        <w:t xml:space="preserve">able to compete globally, </w:t>
      </w:r>
      <w:r w:rsidR="000D75A6">
        <w:rPr>
          <w:rFonts w:ascii="Arial" w:hAnsi="Arial" w:cs="Arial"/>
          <w:sz w:val="24"/>
          <w:szCs w:val="24"/>
        </w:rPr>
        <w:t>EIIs</w:t>
      </w:r>
      <w:r w:rsidR="000D75A6" w:rsidRPr="000D75A6">
        <w:rPr>
          <w:rFonts w:ascii="Arial" w:hAnsi="Arial" w:cs="Arial"/>
          <w:sz w:val="24"/>
          <w:szCs w:val="24"/>
        </w:rPr>
        <w:t xml:space="preserve"> need secure, internationally competitive energy supplies and measures to mitigate the risk of carbon leakage</w:t>
      </w:r>
      <w:r w:rsidR="000D75A6">
        <w:rPr>
          <w:rFonts w:ascii="Arial" w:hAnsi="Arial" w:cs="Arial"/>
          <w:sz w:val="24"/>
          <w:szCs w:val="24"/>
        </w:rPr>
        <w:t>.</w:t>
      </w:r>
    </w:p>
    <w:p w14:paraId="7A26400F" w14:textId="77777777" w:rsidR="000D75A6" w:rsidRPr="000D75A6" w:rsidRDefault="000D75A6" w:rsidP="000D75A6">
      <w:pPr>
        <w:pStyle w:val="ListParagraph"/>
        <w:rPr>
          <w:rFonts w:ascii="Arial" w:hAnsi="Arial" w:cs="Arial"/>
          <w:sz w:val="24"/>
          <w:szCs w:val="24"/>
        </w:rPr>
      </w:pPr>
    </w:p>
    <w:p w14:paraId="792ACDCE" w14:textId="63BDE00D" w:rsidR="000D75A6" w:rsidRDefault="000D75A6" w:rsidP="00661ED9">
      <w:pPr>
        <w:pStyle w:val="ListParagraph"/>
        <w:numPr>
          <w:ilvl w:val="0"/>
          <w:numId w:val="2"/>
        </w:numPr>
        <w:rPr>
          <w:rFonts w:ascii="Arial" w:hAnsi="Arial" w:cs="Arial"/>
          <w:sz w:val="24"/>
          <w:szCs w:val="24"/>
        </w:rPr>
      </w:pPr>
      <w:r>
        <w:rPr>
          <w:rFonts w:ascii="Arial" w:hAnsi="Arial" w:cs="Arial"/>
          <w:sz w:val="24"/>
          <w:szCs w:val="24"/>
        </w:rPr>
        <w:t xml:space="preserve">This response provides replies to those consultation questions </w:t>
      </w:r>
      <w:r w:rsidR="00AE00E4">
        <w:rPr>
          <w:rFonts w:ascii="Arial" w:hAnsi="Arial" w:cs="Arial"/>
          <w:sz w:val="24"/>
          <w:szCs w:val="24"/>
        </w:rPr>
        <w:t xml:space="preserve">that are </w:t>
      </w:r>
      <w:r>
        <w:rPr>
          <w:rFonts w:ascii="Arial" w:hAnsi="Arial" w:cs="Arial"/>
          <w:sz w:val="24"/>
          <w:szCs w:val="24"/>
        </w:rPr>
        <w:t xml:space="preserve">of most interest to EIIs. </w:t>
      </w:r>
    </w:p>
    <w:p w14:paraId="255155CE" w14:textId="77777777" w:rsidR="000D75A6" w:rsidRPr="000D75A6" w:rsidRDefault="000D75A6" w:rsidP="000D75A6">
      <w:pPr>
        <w:pStyle w:val="ListParagraph"/>
        <w:rPr>
          <w:rFonts w:ascii="Arial" w:hAnsi="Arial" w:cs="Arial"/>
          <w:sz w:val="24"/>
          <w:szCs w:val="24"/>
        </w:rPr>
      </w:pPr>
    </w:p>
    <w:p w14:paraId="5F88FCA6" w14:textId="6A16E6EA" w:rsidR="000D75A6" w:rsidRPr="005C6BE3" w:rsidRDefault="000D75A6" w:rsidP="000D75A6">
      <w:pPr>
        <w:rPr>
          <w:rFonts w:ascii="Arial" w:hAnsi="Arial" w:cs="Arial"/>
          <w:b/>
          <w:bCs/>
          <w:sz w:val="24"/>
          <w:szCs w:val="24"/>
          <w:u w:val="single"/>
        </w:rPr>
      </w:pPr>
      <w:r w:rsidRPr="005C6BE3">
        <w:rPr>
          <w:rFonts w:ascii="Arial" w:hAnsi="Arial" w:cs="Arial"/>
          <w:b/>
          <w:bCs/>
          <w:sz w:val="24"/>
          <w:szCs w:val="24"/>
          <w:u w:val="single"/>
        </w:rPr>
        <w:t>Electricity Network Investments</w:t>
      </w:r>
      <w:r w:rsidR="00743AAA" w:rsidRPr="005C6BE3">
        <w:rPr>
          <w:rFonts w:ascii="Arial" w:hAnsi="Arial" w:cs="Arial"/>
          <w:b/>
          <w:bCs/>
          <w:sz w:val="24"/>
          <w:szCs w:val="24"/>
          <w:u w:val="single"/>
        </w:rPr>
        <w:t xml:space="preserve"> - Triads</w:t>
      </w:r>
    </w:p>
    <w:p w14:paraId="083CEB25" w14:textId="41F69751" w:rsidR="00E66CF2" w:rsidRDefault="000D75A6" w:rsidP="000D75A6">
      <w:pPr>
        <w:pStyle w:val="ListParagraph"/>
        <w:numPr>
          <w:ilvl w:val="0"/>
          <w:numId w:val="2"/>
        </w:numPr>
        <w:rPr>
          <w:rFonts w:ascii="Arial" w:hAnsi="Arial" w:cs="Arial"/>
          <w:sz w:val="24"/>
          <w:szCs w:val="24"/>
        </w:rPr>
      </w:pPr>
      <w:r w:rsidRPr="00E66CF2">
        <w:rPr>
          <w:rFonts w:ascii="Arial" w:hAnsi="Arial" w:cs="Arial"/>
          <w:sz w:val="24"/>
          <w:szCs w:val="24"/>
        </w:rPr>
        <w:t xml:space="preserve">Investment in the electricity transmission and distribution networks will have to increase to connect new generation and demand and transmit and distribute electricity in light </w:t>
      </w:r>
      <w:r w:rsidR="00E66CF2" w:rsidRPr="00E66CF2">
        <w:rPr>
          <w:rFonts w:ascii="Arial" w:hAnsi="Arial" w:cs="Arial"/>
          <w:sz w:val="24"/>
          <w:szCs w:val="24"/>
        </w:rPr>
        <w:t xml:space="preserve">expected electrification of the UK economy. The investment cost will be reflected in higher network charges and therefore, all else being equal, higher electricity prices. </w:t>
      </w:r>
    </w:p>
    <w:p w14:paraId="6DB9A222" w14:textId="77777777" w:rsidR="00E66CF2" w:rsidRDefault="00E66CF2" w:rsidP="00E66CF2">
      <w:pPr>
        <w:pStyle w:val="ListParagraph"/>
        <w:ind w:left="360"/>
        <w:rPr>
          <w:rFonts w:ascii="Arial" w:hAnsi="Arial" w:cs="Arial"/>
          <w:sz w:val="24"/>
          <w:szCs w:val="24"/>
        </w:rPr>
      </w:pPr>
    </w:p>
    <w:p w14:paraId="6FB333BE" w14:textId="5D8C9C9F" w:rsidR="00E66CF2" w:rsidRPr="0059323E" w:rsidRDefault="00B35A92">
      <w:pPr>
        <w:pStyle w:val="ListParagraph"/>
        <w:numPr>
          <w:ilvl w:val="0"/>
          <w:numId w:val="2"/>
        </w:numPr>
        <w:rPr>
          <w:rFonts w:ascii="Arial" w:hAnsi="Arial" w:cs="Arial"/>
          <w:sz w:val="24"/>
          <w:szCs w:val="24"/>
        </w:rPr>
      </w:pPr>
      <w:r w:rsidRPr="0059323E">
        <w:rPr>
          <w:rFonts w:ascii="Arial" w:hAnsi="Arial" w:cs="Arial"/>
          <w:sz w:val="24"/>
          <w:szCs w:val="24"/>
        </w:rPr>
        <w:t xml:space="preserve">The EIUG recognises </w:t>
      </w:r>
      <w:r w:rsidR="0059323E" w:rsidRPr="0059323E">
        <w:rPr>
          <w:rFonts w:ascii="Arial" w:hAnsi="Arial" w:cs="Arial"/>
          <w:sz w:val="24"/>
          <w:szCs w:val="24"/>
        </w:rPr>
        <w:t xml:space="preserve">that there needs to be a step-change in electricity transmission and distribution network investments across GB to build a more flexible and secure energy system that support the transition to Net Zero at pace. In hindsight, </w:t>
      </w:r>
      <w:r w:rsidR="00E66CF2" w:rsidRPr="0059323E">
        <w:rPr>
          <w:rFonts w:ascii="Arial" w:hAnsi="Arial" w:cs="Arial"/>
          <w:sz w:val="24"/>
          <w:szCs w:val="24"/>
        </w:rPr>
        <w:t xml:space="preserve">the RIIO-2 settlement was probably too stringent. However, the EIUG perceives the risk that this pendulum might now swing in the opposite direction: investment in unnecessary and/or inefficient network capacity which end-consumers will have to pay for. </w:t>
      </w:r>
    </w:p>
    <w:p w14:paraId="3BE7AE2F" w14:textId="77777777" w:rsidR="00E66CF2" w:rsidRPr="00E66CF2" w:rsidRDefault="00E66CF2" w:rsidP="00E66CF2">
      <w:pPr>
        <w:pStyle w:val="ListParagraph"/>
        <w:rPr>
          <w:rFonts w:ascii="Arial" w:hAnsi="Arial" w:cs="Arial"/>
          <w:sz w:val="24"/>
          <w:szCs w:val="24"/>
        </w:rPr>
      </w:pPr>
    </w:p>
    <w:p w14:paraId="5C5781DE" w14:textId="23C5BF6B" w:rsidR="00FC647E" w:rsidRDefault="00E66CF2" w:rsidP="000D75A6">
      <w:pPr>
        <w:pStyle w:val="ListParagraph"/>
        <w:numPr>
          <w:ilvl w:val="0"/>
          <w:numId w:val="2"/>
        </w:numPr>
        <w:rPr>
          <w:rFonts w:ascii="Arial" w:hAnsi="Arial" w:cs="Arial"/>
          <w:sz w:val="24"/>
          <w:szCs w:val="24"/>
        </w:rPr>
      </w:pPr>
      <w:r>
        <w:rPr>
          <w:rFonts w:ascii="Arial" w:hAnsi="Arial" w:cs="Arial"/>
          <w:sz w:val="24"/>
          <w:szCs w:val="24"/>
        </w:rPr>
        <w:t xml:space="preserve">The EIUG would therefore like to refer to its joint letter with the MEUC to the ESO about </w:t>
      </w:r>
      <w:r w:rsidR="00FC647E">
        <w:rPr>
          <w:rFonts w:ascii="Arial" w:hAnsi="Arial" w:cs="Arial"/>
          <w:sz w:val="24"/>
          <w:szCs w:val="24"/>
        </w:rPr>
        <w:t xml:space="preserve">the </w:t>
      </w:r>
      <w:r w:rsidR="00FC647E" w:rsidRPr="00FC647E">
        <w:rPr>
          <w:rFonts w:ascii="Arial" w:hAnsi="Arial" w:cs="Arial"/>
          <w:sz w:val="24"/>
          <w:szCs w:val="24"/>
        </w:rPr>
        <w:t xml:space="preserve">end of triads and operational balancing for </w:t>
      </w:r>
      <w:r w:rsidR="00FC647E">
        <w:rPr>
          <w:rFonts w:ascii="Arial" w:hAnsi="Arial" w:cs="Arial"/>
          <w:sz w:val="24"/>
          <w:szCs w:val="24"/>
        </w:rPr>
        <w:t xml:space="preserve">the </w:t>
      </w:r>
      <w:r w:rsidR="00FC647E" w:rsidRPr="00FC647E">
        <w:rPr>
          <w:rFonts w:ascii="Arial" w:hAnsi="Arial" w:cs="Arial"/>
          <w:sz w:val="24"/>
          <w:szCs w:val="24"/>
        </w:rPr>
        <w:t>next winters</w:t>
      </w:r>
      <w:r w:rsidR="00FC647E">
        <w:rPr>
          <w:rFonts w:ascii="Arial" w:hAnsi="Arial" w:cs="Arial"/>
          <w:sz w:val="24"/>
          <w:szCs w:val="24"/>
        </w:rPr>
        <w:t xml:space="preserve"> (see annex). </w:t>
      </w:r>
      <w:r w:rsidR="00FC647E" w:rsidRPr="00FC647E">
        <w:rPr>
          <w:rFonts w:ascii="Arial" w:hAnsi="Arial" w:cs="Arial"/>
          <w:sz w:val="24"/>
          <w:szCs w:val="24"/>
        </w:rPr>
        <w:t>Triads</w:t>
      </w:r>
      <w:r w:rsidR="00FC647E">
        <w:rPr>
          <w:rFonts w:ascii="Arial" w:hAnsi="Arial" w:cs="Arial"/>
          <w:sz w:val="24"/>
          <w:szCs w:val="24"/>
        </w:rPr>
        <w:t xml:space="preserve"> were</w:t>
      </w:r>
      <w:r w:rsidR="00FC647E" w:rsidRPr="00FC647E">
        <w:rPr>
          <w:rFonts w:ascii="Arial" w:hAnsi="Arial" w:cs="Arial"/>
          <w:sz w:val="24"/>
          <w:szCs w:val="24"/>
        </w:rPr>
        <w:t xml:space="preserve"> the three half-hour settlement periods of highest demand on the GB electricity transmission system that occur between November and February each year. NG ESO historically used </w:t>
      </w:r>
      <w:r w:rsidR="00FC647E">
        <w:rPr>
          <w:rFonts w:ascii="Arial" w:hAnsi="Arial" w:cs="Arial"/>
          <w:sz w:val="24"/>
          <w:szCs w:val="24"/>
        </w:rPr>
        <w:t>t</w:t>
      </w:r>
      <w:r w:rsidR="00FC647E" w:rsidRPr="00FC647E">
        <w:rPr>
          <w:rFonts w:ascii="Arial" w:hAnsi="Arial" w:cs="Arial"/>
          <w:sz w:val="24"/>
          <w:szCs w:val="24"/>
        </w:rPr>
        <w:t xml:space="preserve">riads to determine </w:t>
      </w:r>
      <w:r w:rsidR="005C6BE3">
        <w:rPr>
          <w:rFonts w:ascii="Arial" w:hAnsi="Arial" w:cs="Arial"/>
          <w:sz w:val="24"/>
          <w:szCs w:val="24"/>
        </w:rPr>
        <w:t>Transmission Network Use of System (</w:t>
      </w:r>
      <w:r w:rsidR="00FC647E" w:rsidRPr="00FC647E">
        <w:rPr>
          <w:rFonts w:ascii="Arial" w:hAnsi="Arial" w:cs="Arial"/>
          <w:sz w:val="24"/>
          <w:szCs w:val="24"/>
        </w:rPr>
        <w:t>TNUoS</w:t>
      </w:r>
      <w:r w:rsidR="005C6BE3">
        <w:rPr>
          <w:rFonts w:ascii="Arial" w:hAnsi="Arial" w:cs="Arial"/>
          <w:sz w:val="24"/>
          <w:szCs w:val="24"/>
        </w:rPr>
        <w:t>)</w:t>
      </w:r>
      <w:r w:rsidR="00FC647E" w:rsidRPr="00FC647E">
        <w:rPr>
          <w:rFonts w:ascii="Arial" w:hAnsi="Arial" w:cs="Arial"/>
          <w:sz w:val="24"/>
          <w:szCs w:val="24"/>
        </w:rPr>
        <w:t xml:space="preserve"> demand charges for customers with half hourly meters, predominantly industrial and commercial energy customers.</w:t>
      </w:r>
      <w:r w:rsidR="00FC647E">
        <w:rPr>
          <w:rFonts w:ascii="Arial" w:hAnsi="Arial" w:cs="Arial"/>
          <w:sz w:val="24"/>
          <w:szCs w:val="24"/>
        </w:rPr>
        <w:t xml:space="preserve"> Its aim was to avoid unnecessary investment in oversizing capacity of the electricity transmission network to meet peak demand, thereby saving consumers electricity costs. </w:t>
      </w:r>
    </w:p>
    <w:p w14:paraId="241DFAD1" w14:textId="77777777" w:rsidR="00FC647E" w:rsidRPr="00FC647E" w:rsidRDefault="00FC647E" w:rsidP="00FC647E">
      <w:pPr>
        <w:pStyle w:val="ListParagraph"/>
        <w:rPr>
          <w:rFonts w:ascii="Arial" w:hAnsi="Arial" w:cs="Arial"/>
          <w:sz w:val="24"/>
          <w:szCs w:val="24"/>
        </w:rPr>
      </w:pPr>
    </w:p>
    <w:p w14:paraId="7E91D6BB" w14:textId="3568C0A8" w:rsidR="00E66CF2" w:rsidRDefault="00E66CF2" w:rsidP="000D75A6">
      <w:pPr>
        <w:pStyle w:val="ListParagraph"/>
        <w:numPr>
          <w:ilvl w:val="0"/>
          <w:numId w:val="2"/>
        </w:numPr>
        <w:rPr>
          <w:rFonts w:ascii="Arial" w:hAnsi="Arial" w:cs="Arial"/>
          <w:sz w:val="24"/>
          <w:szCs w:val="24"/>
        </w:rPr>
      </w:pPr>
      <w:r w:rsidRPr="00E66CF2">
        <w:rPr>
          <w:rFonts w:ascii="Arial" w:hAnsi="Arial" w:cs="Arial"/>
          <w:sz w:val="24"/>
          <w:szCs w:val="24"/>
        </w:rPr>
        <w:t xml:space="preserve">The TNUoS charging methodology </w:t>
      </w:r>
      <w:r w:rsidR="00FC647E">
        <w:rPr>
          <w:rFonts w:ascii="Arial" w:hAnsi="Arial" w:cs="Arial"/>
          <w:sz w:val="24"/>
          <w:szCs w:val="24"/>
        </w:rPr>
        <w:t xml:space="preserve">therefore </w:t>
      </w:r>
      <w:r w:rsidRPr="00E66CF2">
        <w:rPr>
          <w:rFonts w:ascii="Arial" w:hAnsi="Arial" w:cs="Arial"/>
          <w:sz w:val="24"/>
          <w:szCs w:val="24"/>
        </w:rPr>
        <w:t xml:space="preserve">deliberately included an incentive to reduce demand (DSR) at peak times for the electricity system, reducing the overall level of generation needed to </w:t>
      </w:r>
      <w:r w:rsidR="00FC647E">
        <w:rPr>
          <w:rFonts w:ascii="Arial" w:hAnsi="Arial" w:cs="Arial"/>
          <w:sz w:val="24"/>
          <w:szCs w:val="24"/>
        </w:rPr>
        <w:t>balance</w:t>
      </w:r>
      <w:r w:rsidRPr="00E66CF2">
        <w:rPr>
          <w:rFonts w:ascii="Arial" w:hAnsi="Arial" w:cs="Arial"/>
          <w:sz w:val="24"/>
          <w:szCs w:val="24"/>
        </w:rPr>
        <w:t xml:space="preserve"> the GB market, and importantly the very high cost of providing marginal capacity on transmission and distribution networks. Notwithstanding the methodology’s residual element to recover the cost of running and maintaining the electricity transmission network, the DSR element principally negated expensive investment and inefficient electricity network capacity.</w:t>
      </w:r>
    </w:p>
    <w:p w14:paraId="602E3DB5" w14:textId="77777777" w:rsidR="00FC647E" w:rsidRPr="00FC647E" w:rsidRDefault="00FC647E" w:rsidP="00FC647E">
      <w:pPr>
        <w:pStyle w:val="ListParagraph"/>
        <w:rPr>
          <w:rFonts w:ascii="Arial" w:hAnsi="Arial" w:cs="Arial"/>
          <w:sz w:val="24"/>
          <w:szCs w:val="24"/>
        </w:rPr>
      </w:pPr>
    </w:p>
    <w:p w14:paraId="20FB3508" w14:textId="1A73FEA1" w:rsidR="00FC647E" w:rsidRDefault="00FC647E" w:rsidP="000D75A6">
      <w:pPr>
        <w:pStyle w:val="ListParagraph"/>
        <w:numPr>
          <w:ilvl w:val="0"/>
          <w:numId w:val="2"/>
        </w:numPr>
        <w:rPr>
          <w:rFonts w:ascii="Arial" w:hAnsi="Arial" w:cs="Arial"/>
          <w:sz w:val="24"/>
          <w:szCs w:val="24"/>
        </w:rPr>
      </w:pPr>
      <w:r>
        <w:rPr>
          <w:rFonts w:ascii="Arial" w:hAnsi="Arial" w:cs="Arial"/>
          <w:sz w:val="24"/>
          <w:szCs w:val="24"/>
        </w:rPr>
        <w:t>With significant investment needed to increase connection to the networks and transmit and distribution electricity, the potential consumer benefit of avoiding expensive and inefficient network capacity will only become bigger.</w:t>
      </w:r>
      <w:r w:rsidR="00743AAA">
        <w:rPr>
          <w:rFonts w:ascii="Arial" w:hAnsi="Arial" w:cs="Arial"/>
          <w:sz w:val="24"/>
          <w:szCs w:val="24"/>
        </w:rPr>
        <w:t xml:space="preserve"> The EIUG therefore strongly recommends to introducing a financial incentive again that would capture this benefit. </w:t>
      </w:r>
    </w:p>
    <w:p w14:paraId="2B1385EB" w14:textId="77777777" w:rsidR="00743AAA" w:rsidRPr="00743AAA" w:rsidRDefault="00743AAA" w:rsidP="00743AAA">
      <w:pPr>
        <w:rPr>
          <w:rFonts w:ascii="Arial" w:hAnsi="Arial" w:cs="Arial"/>
          <w:sz w:val="24"/>
          <w:szCs w:val="24"/>
        </w:rPr>
      </w:pPr>
    </w:p>
    <w:p w14:paraId="57E3CC51" w14:textId="4493F67D" w:rsidR="00DF4266" w:rsidRPr="005C6BE3" w:rsidRDefault="00B35A92" w:rsidP="00B35A92">
      <w:pPr>
        <w:rPr>
          <w:rFonts w:ascii="Arial" w:hAnsi="Arial" w:cs="Arial"/>
          <w:b/>
          <w:bCs/>
          <w:sz w:val="24"/>
          <w:szCs w:val="24"/>
          <w:u w:val="single"/>
        </w:rPr>
      </w:pPr>
      <w:r w:rsidRPr="005C6BE3">
        <w:rPr>
          <w:rFonts w:ascii="Arial" w:hAnsi="Arial" w:cs="Arial"/>
          <w:b/>
          <w:bCs/>
          <w:sz w:val="24"/>
          <w:szCs w:val="24"/>
          <w:u w:val="single"/>
        </w:rPr>
        <w:t>Future Energy Scenarios (FES)</w:t>
      </w:r>
    </w:p>
    <w:p w14:paraId="48FE0F66" w14:textId="76769E74" w:rsidR="00743AAA" w:rsidRPr="005C6BE3" w:rsidRDefault="005C6BE3" w:rsidP="00B35A92">
      <w:pPr>
        <w:rPr>
          <w:rFonts w:ascii="Arial" w:hAnsi="Arial" w:cs="Arial"/>
          <w:i/>
          <w:iCs/>
          <w:sz w:val="24"/>
          <w:szCs w:val="24"/>
        </w:rPr>
      </w:pPr>
      <w:r w:rsidRPr="005C6BE3">
        <w:rPr>
          <w:rFonts w:ascii="Arial" w:hAnsi="Arial" w:cs="Arial"/>
          <w:i/>
          <w:iCs/>
          <w:sz w:val="24"/>
          <w:szCs w:val="24"/>
        </w:rPr>
        <w:t xml:space="preserve">OVQ7. </w:t>
      </w:r>
      <w:r w:rsidR="00743AAA" w:rsidRPr="005C6BE3">
        <w:rPr>
          <w:rFonts w:ascii="Arial" w:hAnsi="Arial" w:cs="Arial"/>
          <w:i/>
          <w:iCs/>
          <w:sz w:val="24"/>
          <w:szCs w:val="24"/>
        </w:rPr>
        <w:t>Do you agree with the proposal to use the FES framework for selecting the RIIO-3 scenarios</w:t>
      </w:r>
      <w:r w:rsidR="00B35A92" w:rsidRPr="005C6BE3">
        <w:rPr>
          <w:rFonts w:ascii="Arial" w:hAnsi="Arial" w:cs="Arial"/>
          <w:i/>
          <w:iCs/>
          <w:sz w:val="24"/>
          <w:szCs w:val="24"/>
        </w:rPr>
        <w:t xml:space="preserve"> and </w:t>
      </w:r>
      <w:r w:rsidRPr="005C6BE3">
        <w:rPr>
          <w:rFonts w:ascii="Arial" w:hAnsi="Arial" w:cs="Arial"/>
          <w:i/>
          <w:iCs/>
          <w:sz w:val="24"/>
          <w:szCs w:val="24"/>
        </w:rPr>
        <w:t xml:space="preserve">OVQ8 </w:t>
      </w:r>
      <w:r w:rsidR="00B35A92" w:rsidRPr="005C6BE3">
        <w:rPr>
          <w:rFonts w:ascii="Arial" w:hAnsi="Arial" w:cs="Arial"/>
          <w:i/>
          <w:iCs/>
          <w:sz w:val="24"/>
          <w:szCs w:val="24"/>
        </w:rPr>
        <w:t>to use FES Leading the Way as the planning scenario for ET in RIIO-3?</w:t>
      </w:r>
      <w:r w:rsidR="00743AAA" w:rsidRPr="005C6BE3">
        <w:rPr>
          <w:rFonts w:ascii="Arial" w:hAnsi="Arial" w:cs="Arial"/>
          <w:i/>
          <w:iCs/>
          <w:sz w:val="24"/>
          <w:szCs w:val="24"/>
        </w:rPr>
        <w:t xml:space="preserve"> </w:t>
      </w:r>
    </w:p>
    <w:p w14:paraId="2770E4F7" w14:textId="3480D5F3" w:rsidR="005C6BE3" w:rsidRDefault="00743AAA" w:rsidP="005C6BE3">
      <w:pPr>
        <w:pStyle w:val="ListParagraph"/>
        <w:numPr>
          <w:ilvl w:val="0"/>
          <w:numId w:val="2"/>
        </w:numPr>
        <w:rPr>
          <w:rFonts w:ascii="Arial" w:hAnsi="Arial" w:cs="Arial"/>
          <w:sz w:val="24"/>
          <w:szCs w:val="24"/>
        </w:rPr>
      </w:pPr>
      <w:r w:rsidRPr="005C6BE3">
        <w:rPr>
          <w:rFonts w:ascii="Arial" w:hAnsi="Arial" w:cs="Arial"/>
          <w:sz w:val="24"/>
          <w:szCs w:val="24"/>
        </w:rPr>
        <w:t>The EIUG believes that the FES framework is probably the best analysis available for selecting RIIO-3 scenarios, but pas</w:t>
      </w:r>
      <w:r w:rsidR="009118EE">
        <w:rPr>
          <w:rFonts w:ascii="Arial" w:hAnsi="Arial" w:cs="Arial"/>
          <w:sz w:val="24"/>
          <w:szCs w:val="24"/>
        </w:rPr>
        <w:t>t</w:t>
      </w:r>
      <w:r w:rsidRPr="005C6BE3">
        <w:rPr>
          <w:rFonts w:ascii="Arial" w:hAnsi="Arial" w:cs="Arial"/>
          <w:sz w:val="24"/>
          <w:szCs w:val="24"/>
        </w:rPr>
        <w:t xml:space="preserve"> FES scenarios, </w:t>
      </w:r>
      <w:proofErr w:type="gramStart"/>
      <w:r w:rsidRPr="005C6BE3">
        <w:rPr>
          <w:rFonts w:ascii="Arial" w:hAnsi="Arial" w:cs="Arial"/>
          <w:sz w:val="24"/>
          <w:szCs w:val="24"/>
        </w:rPr>
        <w:t xml:space="preserve">in particular </w:t>
      </w:r>
      <w:r w:rsidR="006E2799">
        <w:rPr>
          <w:rFonts w:ascii="Arial" w:hAnsi="Arial" w:cs="Arial"/>
          <w:sz w:val="24"/>
          <w:szCs w:val="24"/>
        </w:rPr>
        <w:t>the</w:t>
      </w:r>
      <w:proofErr w:type="gramEnd"/>
      <w:r w:rsidR="006E2799">
        <w:rPr>
          <w:rFonts w:ascii="Arial" w:hAnsi="Arial" w:cs="Arial"/>
          <w:sz w:val="24"/>
          <w:szCs w:val="24"/>
        </w:rPr>
        <w:t xml:space="preserve"> </w:t>
      </w:r>
      <w:r w:rsidRPr="005C6BE3">
        <w:rPr>
          <w:rFonts w:ascii="Arial" w:hAnsi="Arial" w:cs="Arial"/>
          <w:sz w:val="24"/>
          <w:szCs w:val="24"/>
        </w:rPr>
        <w:t xml:space="preserve">Leading the Way / Going Green scenarios have been overoptimistic. Basing price control scenarios on overoptimistic scenarios could lead to a bigger investment envelop than needed or reality is able to deliver, yet the </w:t>
      </w:r>
      <w:r w:rsidR="00B35A92" w:rsidRPr="005C6BE3">
        <w:rPr>
          <w:rFonts w:ascii="Arial" w:hAnsi="Arial" w:cs="Arial"/>
          <w:sz w:val="24"/>
          <w:szCs w:val="24"/>
        </w:rPr>
        <w:t>level of investment agreed will be reflected in network charges.</w:t>
      </w:r>
    </w:p>
    <w:p w14:paraId="1149A65E" w14:textId="65FC9F1C" w:rsidR="004C0167" w:rsidRPr="005C6BE3" w:rsidRDefault="00B35A92" w:rsidP="005C6BE3">
      <w:pPr>
        <w:pStyle w:val="ListParagraph"/>
        <w:ind w:left="360"/>
        <w:rPr>
          <w:rFonts w:ascii="Arial" w:hAnsi="Arial" w:cs="Arial"/>
          <w:sz w:val="24"/>
          <w:szCs w:val="24"/>
        </w:rPr>
      </w:pPr>
      <w:r w:rsidRPr="005C6BE3">
        <w:rPr>
          <w:rFonts w:ascii="Arial" w:hAnsi="Arial" w:cs="Arial"/>
          <w:sz w:val="24"/>
          <w:szCs w:val="24"/>
        </w:rPr>
        <w:t xml:space="preserve"> </w:t>
      </w:r>
    </w:p>
    <w:p w14:paraId="3E502174" w14:textId="6F0FB019" w:rsidR="002E3D94" w:rsidRPr="005C6BE3" w:rsidRDefault="00B35A92"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Ofgem might therefore want to consider whether to apply System Transformation scenario as additional common conservative scenario to the planning scenario for ET in RIIO-3. Alternatively, it might consider the use of price control deliverables (PCD) to do the same. </w:t>
      </w:r>
    </w:p>
    <w:p w14:paraId="4E100459" w14:textId="77777777" w:rsidR="0059323E" w:rsidRDefault="0059323E" w:rsidP="00B35A92">
      <w:pPr>
        <w:rPr>
          <w:rFonts w:ascii="Arial" w:hAnsi="Arial" w:cs="Arial"/>
          <w:sz w:val="24"/>
          <w:szCs w:val="24"/>
        </w:rPr>
      </w:pPr>
    </w:p>
    <w:p w14:paraId="6F5C57D8" w14:textId="5972ADD6" w:rsidR="0059323E" w:rsidRPr="005C6BE3" w:rsidRDefault="0059323E" w:rsidP="00B35A92">
      <w:pPr>
        <w:rPr>
          <w:rFonts w:ascii="Arial" w:hAnsi="Arial" w:cs="Arial"/>
          <w:b/>
          <w:bCs/>
          <w:sz w:val="24"/>
          <w:szCs w:val="24"/>
          <w:u w:val="single"/>
        </w:rPr>
      </w:pPr>
      <w:proofErr w:type="spellStart"/>
      <w:r w:rsidRPr="005C6BE3">
        <w:rPr>
          <w:rFonts w:ascii="Arial" w:hAnsi="Arial" w:cs="Arial"/>
          <w:b/>
          <w:bCs/>
          <w:sz w:val="24"/>
          <w:szCs w:val="24"/>
          <w:u w:val="single"/>
        </w:rPr>
        <w:t>Bespokes</w:t>
      </w:r>
      <w:proofErr w:type="spellEnd"/>
    </w:p>
    <w:p w14:paraId="0A98D741" w14:textId="77777777" w:rsidR="005C6BE3" w:rsidRDefault="00DB1459" w:rsidP="005C6BE3">
      <w:pPr>
        <w:pStyle w:val="ListParagraph"/>
        <w:numPr>
          <w:ilvl w:val="0"/>
          <w:numId w:val="2"/>
        </w:numPr>
        <w:rPr>
          <w:rFonts w:ascii="Arial" w:hAnsi="Arial" w:cs="Arial"/>
          <w:sz w:val="24"/>
          <w:szCs w:val="24"/>
        </w:rPr>
      </w:pPr>
      <w:r w:rsidRPr="005C6BE3">
        <w:rPr>
          <w:rFonts w:ascii="Arial" w:hAnsi="Arial" w:cs="Arial"/>
          <w:sz w:val="24"/>
          <w:szCs w:val="24"/>
        </w:rPr>
        <w:t>Some gas and electricity distribution network operators will have an industrial cluster in its area. An industrial cluster will have unique requirement</w:t>
      </w:r>
      <w:r w:rsidR="005C6BE3">
        <w:rPr>
          <w:rFonts w:ascii="Arial" w:hAnsi="Arial" w:cs="Arial"/>
          <w:sz w:val="24"/>
          <w:szCs w:val="24"/>
        </w:rPr>
        <w:t>s</w:t>
      </w:r>
      <w:r w:rsidRPr="005C6BE3">
        <w:rPr>
          <w:rFonts w:ascii="Arial" w:hAnsi="Arial" w:cs="Arial"/>
          <w:sz w:val="24"/>
          <w:szCs w:val="24"/>
        </w:rPr>
        <w:t xml:space="preserve"> and circumstances, based on its local </w:t>
      </w:r>
      <w:proofErr w:type="gramStart"/>
      <w:r w:rsidRPr="005C6BE3">
        <w:rPr>
          <w:rFonts w:ascii="Arial" w:hAnsi="Arial" w:cs="Arial"/>
          <w:sz w:val="24"/>
          <w:szCs w:val="24"/>
        </w:rPr>
        <w:t>geography</w:t>
      </w:r>
      <w:proofErr w:type="gramEnd"/>
      <w:r w:rsidRPr="005C6BE3">
        <w:rPr>
          <w:rFonts w:ascii="Arial" w:hAnsi="Arial" w:cs="Arial"/>
          <w:sz w:val="24"/>
          <w:szCs w:val="24"/>
        </w:rPr>
        <w:t xml:space="preserve"> and needs. The EIUG would like to see this reflected in the price control</w:t>
      </w:r>
      <w:r w:rsidR="005C6BE3">
        <w:rPr>
          <w:rFonts w:ascii="Arial" w:hAnsi="Arial" w:cs="Arial"/>
          <w:sz w:val="24"/>
          <w:szCs w:val="24"/>
        </w:rPr>
        <w:t xml:space="preserve"> settlement</w:t>
      </w:r>
      <w:r w:rsidRPr="005C6BE3">
        <w:rPr>
          <w:rFonts w:ascii="Arial" w:hAnsi="Arial" w:cs="Arial"/>
          <w:sz w:val="24"/>
          <w:szCs w:val="24"/>
        </w:rPr>
        <w:t xml:space="preserve">. </w:t>
      </w:r>
    </w:p>
    <w:p w14:paraId="5BF7DAA7" w14:textId="77777777" w:rsidR="005C6BE3" w:rsidRDefault="005C6BE3" w:rsidP="005C6BE3">
      <w:pPr>
        <w:pStyle w:val="ListParagraph"/>
        <w:ind w:left="360"/>
        <w:rPr>
          <w:rFonts w:ascii="Arial" w:hAnsi="Arial" w:cs="Arial"/>
          <w:sz w:val="24"/>
          <w:szCs w:val="24"/>
        </w:rPr>
      </w:pPr>
    </w:p>
    <w:p w14:paraId="200A77EB" w14:textId="2486A1BF" w:rsidR="0059323E" w:rsidRPr="005C6BE3" w:rsidRDefault="00DB1459"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Ideally, the industrial cluster organisation and its distribution network companies will work together to assess impacts the cluster organisation’s strategy to decarbonise might have on the distribution network, and knock-on impact on the transmission network. The EIUG encourages Ofgem to work with the relevant network companies and industrial cluster organisations to develop its business plan guidance. </w:t>
      </w:r>
    </w:p>
    <w:p w14:paraId="099CCEE2" w14:textId="77777777" w:rsidR="00DB1459" w:rsidRDefault="00DB1459" w:rsidP="00B35A92">
      <w:pPr>
        <w:rPr>
          <w:rFonts w:ascii="Arial" w:hAnsi="Arial" w:cs="Arial"/>
          <w:sz w:val="24"/>
          <w:szCs w:val="24"/>
        </w:rPr>
      </w:pPr>
    </w:p>
    <w:p w14:paraId="2AB91CC4" w14:textId="07F4173D" w:rsidR="00E67D0E" w:rsidRPr="005C6BE3" w:rsidRDefault="00E67D0E" w:rsidP="00B35A92">
      <w:pPr>
        <w:rPr>
          <w:rFonts w:ascii="Arial" w:hAnsi="Arial" w:cs="Arial"/>
          <w:b/>
          <w:bCs/>
          <w:sz w:val="24"/>
          <w:szCs w:val="24"/>
          <w:u w:val="single"/>
        </w:rPr>
      </w:pPr>
      <w:r w:rsidRPr="005C6BE3">
        <w:rPr>
          <w:rFonts w:ascii="Arial" w:hAnsi="Arial" w:cs="Arial"/>
          <w:b/>
          <w:bCs/>
          <w:sz w:val="24"/>
          <w:szCs w:val="24"/>
          <w:u w:val="single"/>
        </w:rPr>
        <w:t>Truth Telling Incentive</w:t>
      </w:r>
    </w:p>
    <w:p w14:paraId="1A587D51" w14:textId="77777777" w:rsidR="00E67D0E" w:rsidRPr="005C6BE3" w:rsidRDefault="00E67D0E" w:rsidP="00E67D0E">
      <w:pPr>
        <w:rPr>
          <w:rFonts w:ascii="Arial" w:hAnsi="Arial" w:cs="Arial"/>
          <w:i/>
          <w:iCs/>
          <w:sz w:val="24"/>
          <w:szCs w:val="24"/>
        </w:rPr>
      </w:pPr>
      <w:r w:rsidRPr="005C6BE3">
        <w:rPr>
          <w:rFonts w:ascii="Arial" w:hAnsi="Arial" w:cs="Arial"/>
          <w:i/>
          <w:iCs/>
          <w:sz w:val="24"/>
          <w:szCs w:val="24"/>
        </w:rPr>
        <w:t>What are your thoughts on the size and strength of any truth telling incentive?</w:t>
      </w:r>
    </w:p>
    <w:p w14:paraId="5462CFE1" w14:textId="616F539E" w:rsidR="00E67D0E" w:rsidRPr="005C6BE3" w:rsidRDefault="00E67D0E"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The EIUG would like to stress the importance of good corporate governance in truth telling. Companies with good corporate governance are less likely to exploit the information asymmetry between it and the regulator. </w:t>
      </w:r>
      <w:r w:rsidR="00105F92" w:rsidRPr="005C6BE3">
        <w:rPr>
          <w:rFonts w:ascii="Arial" w:hAnsi="Arial" w:cs="Arial"/>
          <w:sz w:val="24"/>
          <w:szCs w:val="24"/>
        </w:rPr>
        <w:t xml:space="preserve">The EIUG recommends that Ofgem also assesses the network companies corporate governance against the </w:t>
      </w:r>
      <w:hyperlink r:id="rId14" w:history="1">
        <w:r w:rsidR="00105F92" w:rsidRPr="005C6BE3">
          <w:rPr>
            <w:rStyle w:val="Hyperlink"/>
            <w:rFonts w:ascii="Arial" w:hAnsi="Arial" w:cs="Arial"/>
            <w:sz w:val="24"/>
            <w:szCs w:val="24"/>
          </w:rPr>
          <w:t>UK corporate governance code</w:t>
        </w:r>
      </w:hyperlink>
      <w:r w:rsidR="00105F92" w:rsidRPr="005C6BE3">
        <w:rPr>
          <w:rFonts w:ascii="Arial" w:hAnsi="Arial" w:cs="Arial"/>
          <w:sz w:val="24"/>
          <w:szCs w:val="24"/>
        </w:rPr>
        <w:t xml:space="preserve">. </w:t>
      </w:r>
    </w:p>
    <w:p w14:paraId="597E942C" w14:textId="77777777" w:rsidR="00105F92" w:rsidRDefault="00105F92" w:rsidP="00E67D0E">
      <w:pPr>
        <w:rPr>
          <w:rFonts w:ascii="Arial" w:hAnsi="Arial" w:cs="Arial"/>
          <w:sz w:val="24"/>
          <w:szCs w:val="24"/>
        </w:rPr>
      </w:pPr>
    </w:p>
    <w:p w14:paraId="1A9C13B3" w14:textId="4A1034C2" w:rsidR="00105F92" w:rsidRPr="005C6BE3" w:rsidRDefault="00105F92" w:rsidP="00E67D0E">
      <w:pPr>
        <w:rPr>
          <w:rFonts w:ascii="Arial" w:hAnsi="Arial" w:cs="Arial"/>
          <w:b/>
          <w:bCs/>
          <w:sz w:val="24"/>
          <w:szCs w:val="24"/>
          <w:u w:val="single"/>
        </w:rPr>
      </w:pPr>
      <w:r w:rsidRPr="005C6BE3">
        <w:rPr>
          <w:rFonts w:ascii="Arial" w:hAnsi="Arial" w:cs="Arial"/>
          <w:b/>
          <w:bCs/>
          <w:sz w:val="24"/>
          <w:szCs w:val="24"/>
          <w:u w:val="single"/>
        </w:rPr>
        <w:t>Future of Gas</w:t>
      </w:r>
    </w:p>
    <w:p w14:paraId="1A44F2F0" w14:textId="3EC07495" w:rsidR="00105F92" w:rsidRPr="005C6BE3" w:rsidRDefault="00105F92"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The consultation rightfully points out the number of distinct challenges that will impact on Ofgem’s approach to regulation through the RIIO-3 period and beyond for the gas sector, including: </w:t>
      </w:r>
    </w:p>
    <w:p w14:paraId="65289BF6" w14:textId="073A4559" w:rsidR="00105F92" w:rsidRPr="00105F92" w:rsidRDefault="00105F92">
      <w:pPr>
        <w:pStyle w:val="ListParagraph"/>
        <w:numPr>
          <w:ilvl w:val="0"/>
          <w:numId w:val="17"/>
        </w:numPr>
        <w:rPr>
          <w:rFonts w:ascii="Arial" w:hAnsi="Arial" w:cs="Arial"/>
          <w:sz w:val="24"/>
          <w:szCs w:val="24"/>
        </w:rPr>
      </w:pPr>
      <w:r w:rsidRPr="00105F92">
        <w:rPr>
          <w:rFonts w:ascii="Arial" w:hAnsi="Arial" w:cs="Arial"/>
          <w:sz w:val="24"/>
          <w:szCs w:val="24"/>
        </w:rPr>
        <w:t xml:space="preserve">balancing the level of investment needed to maintain a safe and reliable network with the uncertainty around the pace at which gas demand declines across different parts of </w:t>
      </w:r>
      <w:proofErr w:type="gramStart"/>
      <w:r w:rsidRPr="00105F92">
        <w:rPr>
          <w:rFonts w:ascii="Arial" w:hAnsi="Arial" w:cs="Arial"/>
          <w:sz w:val="24"/>
          <w:szCs w:val="24"/>
        </w:rPr>
        <w:t>GB;</w:t>
      </w:r>
      <w:proofErr w:type="gramEnd"/>
    </w:p>
    <w:p w14:paraId="6B709BF9" w14:textId="69C2133E" w:rsidR="00105F92" w:rsidRPr="00105F92" w:rsidRDefault="00105F92">
      <w:pPr>
        <w:pStyle w:val="ListParagraph"/>
        <w:numPr>
          <w:ilvl w:val="0"/>
          <w:numId w:val="17"/>
        </w:numPr>
        <w:rPr>
          <w:rFonts w:ascii="Arial" w:hAnsi="Arial" w:cs="Arial"/>
          <w:sz w:val="24"/>
          <w:szCs w:val="24"/>
        </w:rPr>
      </w:pPr>
      <w:r w:rsidRPr="00105F92">
        <w:rPr>
          <w:rFonts w:ascii="Arial" w:hAnsi="Arial" w:cs="Arial"/>
          <w:sz w:val="24"/>
          <w:szCs w:val="24"/>
        </w:rPr>
        <w:t>uncertainty in the extent to which existing gas network assets may be repurposed for hydrogen or Carbon Capture, Utilisation and Storage (CCUS</w:t>
      </w:r>
      <w:proofErr w:type="gramStart"/>
      <w:r w:rsidRPr="00105F92">
        <w:rPr>
          <w:rFonts w:ascii="Arial" w:hAnsi="Arial" w:cs="Arial"/>
          <w:sz w:val="24"/>
          <w:szCs w:val="24"/>
        </w:rPr>
        <w:t>);</w:t>
      </w:r>
      <w:proofErr w:type="gramEnd"/>
    </w:p>
    <w:p w14:paraId="51F7DC9D" w14:textId="1FE07DF9" w:rsidR="00105F92" w:rsidRPr="00105F92" w:rsidRDefault="00105F92">
      <w:pPr>
        <w:pStyle w:val="ListParagraph"/>
        <w:numPr>
          <w:ilvl w:val="0"/>
          <w:numId w:val="17"/>
        </w:numPr>
        <w:rPr>
          <w:rFonts w:ascii="Arial" w:hAnsi="Arial" w:cs="Arial"/>
          <w:sz w:val="24"/>
          <w:szCs w:val="24"/>
        </w:rPr>
      </w:pPr>
      <w:r w:rsidRPr="00105F92">
        <w:rPr>
          <w:rFonts w:ascii="Arial" w:hAnsi="Arial" w:cs="Arial"/>
          <w:sz w:val="24"/>
          <w:szCs w:val="24"/>
        </w:rPr>
        <w:t>deciding how costs for both historical and future investment are recovered over time from a declining customer base to ensure fairness and protect both consumers and investors against the risk of asset stranding; and</w:t>
      </w:r>
    </w:p>
    <w:p w14:paraId="4929563A" w14:textId="2F52A714" w:rsidR="00105F92" w:rsidRDefault="00105F92">
      <w:pPr>
        <w:pStyle w:val="ListParagraph"/>
        <w:numPr>
          <w:ilvl w:val="0"/>
          <w:numId w:val="17"/>
        </w:numPr>
        <w:rPr>
          <w:rFonts w:ascii="Arial" w:hAnsi="Arial" w:cs="Arial"/>
          <w:sz w:val="24"/>
          <w:szCs w:val="24"/>
        </w:rPr>
      </w:pPr>
      <w:r w:rsidRPr="00105F92">
        <w:rPr>
          <w:rFonts w:ascii="Arial" w:hAnsi="Arial" w:cs="Arial"/>
          <w:sz w:val="24"/>
          <w:szCs w:val="24"/>
        </w:rPr>
        <w:t>tackling the issue of how to pay for the potential decommissioning of assets where they are no longer required through the 2030s and 2040s.</w:t>
      </w:r>
      <w:r w:rsidRPr="00105F92">
        <w:rPr>
          <w:rFonts w:ascii="Arial" w:hAnsi="Arial" w:cs="Arial"/>
          <w:sz w:val="24"/>
          <w:szCs w:val="24"/>
        </w:rPr>
        <w:cr/>
      </w:r>
    </w:p>
    <w:p w14:paraId="0D5332DA" w14:textId="25EDBC85" w:rsidR="00105F92" w:rsidRPr="005C6BE3" w:rsidRDefault="00105F92"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The challenges are pertinent to the gas-intensive industries in the UK. Though the EIUG agrees </w:t>
      </w:r>
      <w:r w:rsidR="00AE00E4" w:rsidRPr="005C6BE3">
        <w:rPr>
          <w:rFonts w:ascii="Arial" w:hAnsi="Arial" w:cs="Arial"/>
          <w:sz w:val="24"/>
          <w:szCs w:val="24"/>
        </w:rPr>
        <w:t xml:space="preserve">with Ofgem’s anticipation that there will be no large-scale, systemic changes to the gas networks during the RIIO-3 price control period, the long asset life of manufacturing equipment makes it important to develop the flexibility with this period to manage the strategic uncertainties around the future of gas networks. </w:t>
      </w:r>
    </w:p>
    <w:p w14:paraId="0F13B69F" w14:textId="77777777" w:rsidR="00105F92" w:rsidRDefault="00105F92" w:rsidP="00105F92">
      <w:pPr>
        <w:rPr>
          <w:rFonts w:ascii="Arial" w:hAnsi="Arial" w:cs="Arial"/>
          <w:sz w:val="24"/>
          <w:szCs w:val="24"/>
        </w:rPr>
      </w:pPr>
    </w:p>
    <w:p w14:paraId="5E28E92B" w14:textId="64F88FAF" w:rsidR="00AE00E4" w:rsidRPr="005C6BE3" w:rsidRDefault="00AE00E4" w:rsidP="00AE00E4">
      <w:pPr>
        <w:rPr>
          <w:rFonts w:ascii="Arial" w:hAnsi="Arial" w:cs="Arial"/>
          <w:i/>
          <w:iCs/>
          <w:sz w:val="24"/>
          <w:szCs w:val="24"/>
        </w:rPr>
      </w:pPr>
      <w:r w:rsidRPr="005C6BE3">
        <w:rPr>
          <w:rFonts w:ascii="Arial" w:hAnsi="Arial" w:cs="Arial"/>
          <w:i/>
          <w:iCs/>
          <w:sz w:val="24"/>
          <w:szCs w:val="24"/>
        </w:rPr>
        <w:t>OVQ6. Should RIIO-3 help to manage future gas network decommissioning costs? If so, do you have views on what these costs could be and what mechanisms should be used, including for anticipatory funding?</w:t>
      </w:r>
    </w:p>
    <w:p w14:paraId="1DC64AAD" w14:textId="76A4B7C3" w:rsidR="00AE00E4" w:rsidRPr="005C6BE3" w:rsidRDefault="00AE00E4"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The EIUG believes that RIIO-3 should help to manage future gas network decommissioning cost, primarily focussed on anticipatory investment in future decommissioning liabilities. However, the cost of potential decommissioning itself is a different question. </w:t>
      </w:r>
    </w:p>
    <w:p w14:paraId="7BF07828" w14:textId="77777777" w:rsidR="00AE00E4" w:rsidRDefault="00AE00E4" w:rsidP="00AE00E4">
      <w:pPr>
        <w:rPr>
          <w:rFonts w:ascii="Arial" w:hAnsi="Arial" w:cs="Arial"/>
          <w:sz w:val="24"/>
          <w:szCs w:val="24"/>
        </w:rPr>
      </w:pPr>
    </w:p>
    <w:p w14:paraId="1FEAC17F" w14:textId="15D984AD" w:rsidR="00AE00E4" w:rsidRPr="00DC2FC9" w:rsidRDefault="00AE00E4" w:rsidP="00AE00E4">
      <w:pPr>
        <w:rPr>
          <w:rFonts w:ascii="Arial" w:hAnsi="Arial" w:cs="Arial"/>
          <w:b/>
          <w:bCs/>
          <w:sz w:val="24"/>
          <w:szCs w:val="24"/>
          <w:u w:val="single"/>
        </w:rPr>
      </w:pPr>
      <w:r w:rsidRPr="00DC2FC9">
        <w:rPr>
          <w:rFonts w:ascii="Arial" w:hAnsi="Arial" w:cs="Arial"/>
          <w:b/>
          <w:bCs/>
          <w:sz w:val="24"/>
          <w:szCs w:val="24"/>
          <w:u w:val="single"/>
        </w:rPr>
        <w:t>Hydrogen</w:t>
      </w:r>
    </w:p>
    <w:p w14:paraId="724875D7" w14:textId="78DDA71F" w:rsidR="00AE00E4" w:rsidRPr="005C6BE3" w:rsidRDefault="00DC2FC9" w:rsidP="005C6BE3">
      <w:pPr>
        <w:pStyle w:val="ListParagraph"/>
        <w:numPr>
          <w:ilvl w:val="0"/>
          <w:numId w:val="2"/>
        </w:numPr>
        <w:rPr>
          <w:rFonts w:ascii="Arial" w:hAnsi="Arial" w:cs="Arial"/>
          <w:sz w:val="24"/>
          <w:szCs w:val="24"/>
        </w:rPr>
      </w:pPr>
      <w:r w:rsidRPr="005C6BE3">
        <w:rPr>
          <w:rFonts w:ascii="Arial" w:hAnsi="Arial" w:cs="Arial"/>
          <w:sz w:val="24"/>
          <w:szCs w:val="24"/>
        </w:rPr>
        <w:t>Hydrogen will have a role in decarbonising the UK economy and it can provide zero carbon energy for certain energy intensive industries, particularly in those industrial clusters which aim to decarbonise by deploying hydrogen infrastructure</w:t>
      </w:r>
      <w:r w:rsidR="00D15827">
        <w:rPr>
          <w:rFonts w:ascii="Arial" w:hAnsi="Arial" w:cs="Arial"/>
          <w:sz w:val="24"/>
          <w:szCs w:val="24"/>
        </w:rPr>
        <w:t>,</w:t>
      </w:r>
      <w:r w:rsidR="00011DC9">
        <w:rPr>
          <w:rFonts w:ascii="Arial" w:hAnsi="Arial" w:cs="Arial"/>
          <w:sz w:val="24"/>
          <w:szCs w:val="24"/>
        </w:rPr>
        <w:t xml:space="preserve"> but it will also be needed for dispersed site</w:t>
      </w:r>
      <w:r w:rsidR="007773ED">
        <w:rPr>
          <w:rFonts w:ascii="Arial" w:hAnsi="Arial" w:cs="Arial"/>
          <w:sz w:val="24"/>
          <w:szCs w:val="24"/>
        </w:rPr>
        <w:t>s</w:t>
      </w:r>
      <w:r w:rsidRPr="005C6BE3">
        <w:rPr>
          <w:rFonts w:ascii="Arial" w:hAnsi="Arial" w:cs="Arial"/>
          <w:sz w:val="24"/>
          <w:szCs w:val="24"/>
        </w:rPr>
        <w:t xml:space="preserve">. </w:t>
      </w:r>
    </w:p>
    <w:p w14:paraId="0F5E4C5E" w14:textId="77777777" w:rsidR="00105F92" w:rsidRDefault="00105F92" w:rsidP="00105F92">
      <w:pPr>
        <w:rPr>
          <w:rFonts w:ascii="Arial" w:hAnsi="Arial" w:cs="Arial"/>
          <w:sz w:val="24"/>
          <w:szCs w:val="24"/>
        </w:rPr>
      </w:pPr>
    </w:p>
    <w:p w14:paraId="5F673A50" w14:textId="75EEBECF" w:rsidR="00DC2FC9" w:rsidRPr="00DC2FC9" w:rsidRDefault="00DC2FC9" w:rsidP="00DC2FC9">
      <w:pPr>
        <w:rPr>
          <w:rFonts w:ascii="Arial" w:hAnsi="Arial" w:cs="Arial"/>
          <w:i/>
          <w:iCs/>
          <w:sz w:val="24"/>
          <w:szCs w:val="24"/>
        </w:rPr>
      </w:pPr>
      <w:r w:rsidRPr="00DC2FC9">
        <w:rPr>
          <w:rFonts w:ascii="Arial" w:hAnsi="Arial" w:cs="Arial"/>
          <w:i/>
          <w:iCs/>
          <w:sz w:val="24"/>
          <w:szCs w:val="24"/>
        </w:rPr>
        <w:t>OVQ1. Do you agree with our proposal for how RIIO-3 should interact with the Hydrogen Transport Business Model?</w:t>
      </w:r>
    </w:p>
    <w:p w14:paraId="1C4FA5AC" w14:textId="1D1663F7" w:rsidR="00DC2FC9" w:rsidRPr="005C6BE3" w:rsidRDefault="00DC2FC9"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The EIUG agrees the proposals for how RIIO-3 should interact with the HTBM and encourages Ofgem to work closely with DESNZ. </w:t>
      </w:r>
    </w:p>
    <w:p w14:paraId="22E82DFE" w14:textId="77777777" w:rsidR="00DC2FC9" w:rsidRDefault="00DC2FC9" w:rsidP="00DC2FC9">
      <w:pPr>
        <w:rPr>
          <w:rFonts w:ascii="Arial" w:hAnsi="Arial" w:cs="Arial"/>
          <w:sz w:val="24"/>
          <w:szCs w:val="24"/>
        </w:rPr>
      </w:pPr>
    </w:p>
    <w:p w14:paraId="6C8EE6B6" w14:textId="4EB9139D" w:rsidR="00DC2FC9" w:rsidRPr="005C6BE3" w:rsidRDefault="00DC2FC9" w:rsidP="00DC2FC9">
      <w:pPr>
        <w:rPr>
          <w:rFonts w:ascii="Arial" w:hAnsi="Arial" w:cs="Arial"/>
          <w:i/>
          <w:iCs/>
          <w:sz w:val="24"/>
          <w:szCs w:val="24"/>
        </w:rPr>
      </w:pPr>
      <w:r w:rsidRPr="005C6BE3">
        <w:rPr>
          <w:rFonts w:ascii="Arial" w:hAnsi="Arial" w:cs="Arial"/>
          <w:i/>
          <w:iCs/>
          <w:sz w:val="24"/>
          <w:szCs w:val="24"/>
        </w:rPr>
        <w:t xml:space="preserve">OVQ3. Do you agree with the proposal that network costs relating to hydrogen blending at both distribution and transmission level should be included in RIIO-3 net zero related UMs? </w:t>
      </w:r>
    </w:p>
    <w:p w14:paraId="7ED398D5" w14:textId="71C2B9B0" w:rsidR="00DC2FC9" w:rsidRPr="005C6BE3" w:rsidRDefault="00DC2FC9" w:rsidP="005C6BE3">
      <w:pPr>
        <w:pStyle w:val="ListParagraph"/>
        <w:numPr>
          <w:ilvl w:val="0"/>
          <w:numId w:val="2"/>
        </w:numPr>
        <w:rPr>
          <w:rFonts w:ascii="Arial" w:hAnsi="Arial" w:cs="Arial"/>
          <w:sz w:val="24"/>
          <w:szCs w:val="24"/>
        </w:rPr>
      </w:pPr>
      <w:r w:rsidRPr="005C6BE3">
        <w:rPr>
          <w:rFonts w:ascii="Arial" w:hAnsi="Arial" w:cs="Arial"/>
          <w:sz w:val="24"/>
          <w:szCs w:val="24"/>
        </w:rPr>
        <w:t xml:space="preserve">The EIUG agrees with the proposal that network cost relating to hydrogen blending should be included in RIIO-3 net zero related UMs, </w:t>
      </w:r>
      <w:proofErr w:type="gramStart"/>
      <w:r w:rsidRPr="005C6BE3">
        <w:rPr>
          <w:rFonts w:ascii="Arial" w:hAnsi="Arial" w:cs="Arial"/>
          <w:sz w:val="24"/>
          <w:szCs w:val="24"/>
        </w:rPr>
        <w:t>as long as</w:t>
      </w:r>
      <w:proofErr w:type="gramEnd"/>
      <w:r w:rsidRPr="005C6BE3">
        <w:rPr>
          <w:rFonts w:ascii="Arial" w:hAnsi="Arial" w:cs="Arial"/>
          <w:sz w:val="24"/>
          <w:szCs w:val="24"/>
        </w:rPr>
        <w:t xml:space="preserve"> the information from the telemetry and monitoring equipment is communicated to end-consumers, such as gas-intensive industries, so that can take measure</w:t>
      </w:r>
      <w:r w:rsidR="005C6BE3" w:rsidRPr="005C6BE3">
        <w:rPr>
          <w:rFonts w:ascii="Arial" w:hAnsi="Arial" w:cs="Arial"/>
          <w:sz w:val="24"/>
          <w:szCs w:val="24"/>
        </w:rPr>
        <w:t>s</w:t>
      </w:r>
      <w:r w:rsidRPr="005C6BE3">
        <w:rPr>
          <w:rFonts w:ascii="Arial" w:hAnsi="Arial" w:cs="Arial"/>
          <w:sz w:val="24"/>
          <w:szCs w:val="24"/>
        </w:rPr>
        <w:t xml:space="preserve"> to control the quality of </w:t>
      </w:r>
      <w:r w:rsidR="005C6BE3" w:rsidRPr="005C6BE3">
        <w:rPr>
          <w:rFonts w:ascii="Arial" w:hAnsi="Arial" w:cs="Arial"/>
          <w:sz w:val="24"/>
          <w:szCs w:val="24"/>
        </w:rPr>
        <w:t xml:space="preserve">gas for their manufacturing purposes, when necessary. </w:t>
      </w:r>
      <w:r w:rsidRPr="005C6BE3">
        <w:rPr>
          <w:rFonts w:ascii="Arial" w:hAnsi="Arial" w:cs="Arial"/>
          <w:sz w:val="24"/>
          <w:szCs w:val="24"/>
        </w:rPr>
        <w:t xml:space="preserve"> </w:t>
      </w:r>
    </w:p>
    <w:p w14:paraId="0EBBB05B" w14:textId="77777777" w:rsidR="005C6BE3" w:rsidRDefault="005C6BE3" w:rsidP="00DC2FC9">
      <w:pPr>
        <w:rPr>
          <w:rFonts w:ascii="Arial" w:hAnsi="Arial" w:cs="Arial"/>
          <w:sz w:val="24"/>
          <w:szCs w:val="24"/>
        </w:rPr>
      </w:pPr>
    </w:p>
    <w:p w14:paraId="7C6C77C2" w14:textId="49540522" w:rsidR="005C6BE3" w:rsidRDefault="005C6BE3" w:rsidP="00DC2FC9">
      <w:pPr>
        <w:rPr>
          <w:rFonts w:ascii="Arial" w:hAnsi="Arial" w:cs="Arial"/>
          <w:sz w:val="24"/>
          <w:szCs w:val="24"/>
        </w:rPr>
      </w:pPr>
      <w:r>
        <w:rPr>
          <w:rFonts w:ascii="Arial" w:hAnsi="Arial" w:cs="Arial"/>
          <w:sz w:val="24"/>
          <w:szCs w:val="24"/>
        </w:rPr>
        <w:t>Arjan Geveke</w:t>
      </w:r>
    </w:p>
    <w:p w14:paraId="70929BF2" w14:textId="597759FB" w:rsidR="005C6BE3" w:rsidRDefault="005C6BE3" w:rsidP="00DC2FC9">
      <w:pPr>
        <w:rPr>
          <w:rFonts w:ascii="Arial" w:hAnsi="Arial" w:cs="Arial"/>
          <w:sz w:val="24"/>
          <w:szCs w:val="24"/>
        </w:rPr>
      </w:pPr>
      <w:r>
        <w:rPr>
          <w:rFonts w:ascii="Arial" w:hAnsi="Arial" w:cs="Arial"/>
          <w:sz w:val="24"/>
          <w:szCs w:val="24"/>
        </w:rPr>
        <w:t>Director – EIUG</w:t>
      </w:r>
    </w:p>
    <w:p w14:paraId="6337170C" w14:textId="77777777" w:rsidR="005C6BE3" w:rsidRDefault="005C6BE3" w:rsidP="00DC2FC9">
      <w:pPr>
        <w:rPr>
          <w:rFonts w:ascii="Arial" w:hAnsi="Arial" w:cs="Arial"/>
          <w:sz w:val="24"/>
          <w:szCs w:val="24"/>
        </w:rPr>
      </w:pPr>
    </w:p>
    <w:p w14:paraId="3C59C5F1" w14:textId="77777777" w:rsidR="00371707" w:rsidRDefault="00371707" w:rsidP="00DC2FC9">
      <w:pPr>
        <w:rPr>
          <w:rFonts w:ascii="Arial" w:hAnsi="Arial" w:cs="Arial"/>
          <w:sz w:val="24"/>
          <w:szCs w:val="24"/>
        </w:rPr>
      </w:pPr>
    </w:p>
    <w:p w14:paraId="61B35612" w14:textId="77777777" w:rsidR="00371707" w:rsidRDefault="00371707" w:rsidP="00DC2FC9">
      <w:pPr>
        <w:rPr>
          <w:rFonts w:ascii="Arial" w:hAnsi="Arial" w:cs="Arial"/>
          <w:sz w:val="24"/>
          <w:szCs w:val="24"/>
        </w:rPr>
      </w:pPr>
    </w:p>
    <w:p w14:paraId="0755ADB3" w14:textId="2663FF7D" w:rsidR="00371707" w:rsidRDefault="005C6BE3" w:rsidP="00371707">
      <w:pPr>
        <w:rPr>
          <w:rFonts w:ascii="Arial" w:hAnsi="Arial" w:cs="Arial"/>
          <w:sz w:val="24"/>
          <w:szCs w:val="24"/>
        </w:rPr>
      </w:pPr>
      <w:r>
        <w:rPr>
          <w:rFonts w:ascii="Arial" w:hAnsi="Arial" w:cs="Arial"/>
          <w:sz w:val="24"/>
          <w:szCs w:val="24"/>
        </w:rPr>
        <w:t>Annex</w:t>
      </w:r>
    </w:p>
    <w:p w14:paraId="7CF560A0" w14:textId="77777777" w:rsidR="00371707" w:rsidRDefault="00371707" w:rsidP="00371707">
      <w:pPr>
        <w:rPr>
          <w:rFonts w:ascii="Arial" w:hAnsi="Arial" w:cs="Arial"/>
          <w:sz w:val="24"/>
          <w:szCs w:val="24"/>
        </w:rPr>
      </w:pPr>
      <w:r>
        <w:rPr>
          <w:noProof/>
        </w:rPr>
        <w:drawing>
          <wp:inline distT="0" distB="0" distL="0" distR="0" wp14:anchorId="52E41584" wp14:editId="131A48B7">
            <wp:extent cx="1812943" cy="629920"/>
            <wp:effectExtent l="0" t="0" r="0" b="0"/>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5963" cy="634444"/>
                    </a:xfrm>
                    <a:prstGeom prst="rect">
                      <a:avLst/>
                    </a:prstGeom>
                    <a:noFill/>
                    <a:ln>
                      <a:noFill/>
                    </a:ln>
                  </pic:spPr>
                </pic:pic>
              </a:graphicData>
            </a:graphic>
          </wp:inline>
        </w:drawing>
      </w:r>
      <w:r>
        <w:rPr>
          <w:noProof/>
          <w:lang w:eastAsia="en-GB"/>
        </w:rPr>
        <w:tab/>
      </w:r>
      <w:r>
        <w:rPr>
          <w:noProof/>
          <w:lang w:eastAsia="en-GB"/>
        </w:rPr>
        <w:tab/>
      </w:r>
      <w:r>
        <w:rPr>
          <w:noProof/>
          <w:lang w:eastAsia="en-GB"/>
        </w:rPr>
        <w:tab/>
      </w:r>
      <w:r>
        <w:rPr>
          <w:noProof/>
          <w:lang w:eastAsia="en-GB"/>
        </w:rPr>
        <w:tab/>
      </w:r>
      <w:r>
        <w:rPr>
          <w:noProof/>
          <w:lang w:eastAsia="en-GB"/>
        </w:rPr>
        <w:tab/>
        <w:t xml:space="preserve">    </w:t>
      </w:r>
      <w:r w:rsidRPr="00801F1E">
        <w:rPr>
          <w:noProof/>
          <w:lang w:eastAsia="en-GB"/>
        </w:rPr>
        <w:drawing>
          <wp:inline distT="0" distB="0" distL="0" distR="0" wp14:anchorId="72644D33" wp14:editId="0CF28AA0">
            <wp:extent cx="1459846" cy="835994"/>
            <wp:effectExtent l="0" t="0" r="7620" b="2540"/>
            <wp:docPr id="459283251" name="Picture 459283251" descr="C:\Users\hp\AppData\Local\Microsoft\Windows\INetCache\Content.Outlook\N3R9OTCD\MEUC letterhead logo 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AppData\Local\Microsoft\Windows\INetCache\Content.Outlook\N3R9OTCD\MEUC letterhead logo v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8543" cy="863881"/>
                    </a:xfrm>
                    <a:prstGeom prst="rect">
                      <a:avLst/>
                    </a:prstGeom>
                    <a:noFill/>
                    <a:ln>
                      <a:noFill/>
                    </a:ln>
                  </pic:spPr>
                </pic:pic>
              </a:graphicData>
            </a:graphic>
          </wp:inline>
        </w:drawing>
      </w:r>
    </w:p>
    <w:p w14:paraId="6C88C798" w14:textId="77777777" w:rsidR="00371707" w:rsidRDefault="00371707" w:rsidP="00371707">
      <w:pPr>
        <w:rPr>
          <w:rFonts w:ascii="Arial" w:hAnsi="Arial" w:cs="Arial"/>
          <w:sz w:val="24"/>
          <w:szCs w:val="24"/>
        </w:rPr>
      </w:pPr>
    </w:p>
    <w:p w14:paraId="565DFA98" w14:textId="77777777" w:rsidR="00371707" w:rsidRDefault="00371707" w:rsidP="00371707">
      <w:pPr>
        <w:spacing w:after="0"/>
        <w:rPr>
          <w:rFonts w:ascii="Arial" w:hAnsi="Arial" w:cs="Arial"/>
          <w:sz w:val="24"/>
          <w:szCs w:val="24"/>
        </w:rPr>
      </w:pPr>
      <w:r>
        <w:rPr>
          <w:rFonts w:ascii="Arial" w:hAnsi="Arial" w:cs="Arial"/>
          <w:sz w:val="24"/>
          <w:szCs w:val="24"/>
        </w:rPr>
        <w:t>Craig Dyke</w:t>
      </w:r>
    </w:p>
    <w:p w14:paraId="6E63741B" w14:textId="77777777" w:rsidR="00371707" w:rsidRDefault="00371707" w:rsidP="00371707">
      <w:pPr>
        <w:spacing w:after="0"/>
        <w:rPr>
          <w:rFonts w:ascii="Arial" w:hAnsi="Arial" w:cs="Arial"/>
          <w:sz w:val="24"/>
          <w:szCs w:val="24"/>
        </w:rPr>
      </w:pPr>
      <w:r w:rsidRPr="008C5841">
        <w:rPr>
          <w:rFonts w:ascii="Arial" w:hAnsi="Arial" w:cs="Arial"/>
          <w:sz w:val="24"/>
          <w:szCs w:val="24"/>
        </w:rPr>
        <w:t>Head of National Control</w:t>
      </w:r>
    </w:p>
    <w:p w14:paraId="786A164F" w14:textId="77777777" w:rsidR="00371707" w:rsidRDefault="00371707" w:rsidP="00371707">
      <w:pPr>
        <w:spacing w:after="0"/>
        <w:rPr>
          <w:rFonts w:ascii="Arial" w:hAnsi="Arial" w:cs="Arial"/>
          <w:sz w:val="24"/>
          <w:szCs w:val="24"/>
        </w:rPr>
      </w:pPr>
      <w:r>
        <w:rPr>
          <w:rFonts w:ascii="Arial" w:hAnsi="Arial" w:cs="Arial"/>
          <w:sz w:val="24"/>
          <w:szCs w:val="24"/>
        </w:rPr>
        <w:t>National Grid ESO</w:t>
      </w:r>
    </w:p>
    <w:p w14:paraId="18E6C120" w14:textId="77777777" w:rsidR="00371707" w:rsidRPr="00575BFB" w:rsidRDefault="00371707" w:rsidP="00371707">
      <w:pPr>
        <w:spacing w:after="0"/>
        <w:rPr>
          <w:rFonts w:ascii="Arial" w:hAnsi="Arial" w:cs="Arial"/>
          <w:sz w:val="24"/>
          <w:szCs w:val="24"/>
        </w:rPr>
      </w:pPr>
      <w:r w:rsidRPr="00575BFB">
        <w:rPr>
          <w:rFonts w:ascii="Arial" w:hAnsi="Arial" w:cs="Arial"/>
          <w:sz w:val="24"/>
          <w:szCs w:val="24"/>
        </w:rPr>
        <w:t>1 - 3 Strand</w:t>
      </w:r>
    </w:p>
    <w:p w14:paraId="678B95CE" w14:textId="77777777" w:rsidR="00371707" w:rsidRDefault="00371707" w:rsidP="00371707">
      <w:pPr>
        <w:spacing w:after="0"/>
        <w:rPr>
          <w:rFonts w:ascii="Arial" w:hAnsi="Arial" w:cs="Arial"/>
          <w:sz w:val="24"/>
          <w:szCs w:val="24"/>
        </w:rPr>
      </w:pPr>
      <w:r w:rsidRPr="00575BFB">
        <w:rPr>
          <w:rFonts w:ascii="Arial" w:hAnsi="Arial" w:cs="Arial"/>
          <w:sz w:val="24"/>
          <w:szCs w:val="24"/>
        </w:rPr>
        <w:t>WC2N 5EH London</w:t>
      </w:r>
    </w:p>
    <w:p w14:paraId="70FEEDFA" w14:textId="77777777" w:rsidR="00371707" w:rsidRDefault="00371707" w:rsidP="00371707">
      <w:pPr>
        <w:spacing w:after="0"/>
        <w:rPr>
          <w:rFonts w:ascii="Arial" w:hAnsi="Arial" w:cs="Arial"/>
          <w:sz w:val="24"/>
          <w:szCs w:val="24"/>
        </w:rPr>
      </w:pPr>
    </w:p>
    <w:p w14:paraId="7EFC9078" w14:textId="77777777" w:rsidR="00371707" w:rsidRDefault="00371707" w:rsidP="00371707">
      <w:pPr>
        <w:spacing w:after="0"/>
        <w:rPr>
          <w:rFonts w:ascii="Arial" w:hAnsi="Arial" w:cs="Arial"/>
          <w:sz w:val="24"/>
          <w:szCs w:val="24"/>
        </w:rPr>
      </w:pPr>
      <w:r>
        <w:rPr>
          <w:rFonts w:ascii="Arial" w:hAnsi="Arial" w:cs="Arial"/>
          <w:sz w:val="24"/>
          <w:szCs w:val="24"/>
        </w:rPr>
        <w:t>Cc: Hannah Small</w:t>
      </w:r>
    </w:p>
    <w:p w14:paraId="3A3F4727" w14:textId="77777777" w:rsidR="00371707" w:rsidRDefault="00371707" w:rsidP="00371707">
      <w:pPr>
        <w:spacing w:after="0"/>
        <w:rPr>
          <w:rFonts w:ascii="Arial" w:hAnsi="Arial" w:cs="Arial"/>
          <w:sz w:val="24"/>
          <w:szCs w:val="24"/>
        </w:rPr>
      </w:pPr>
    </w:p>
    <w:p w14:paraId="28996AE0" w14:textId="77777777" w:rsidR="00371707" w:rsidRDefault="00371707" w:rsidP="00371707">
      <w:pPr>
        <w:spacing w:after="0"/>
        <w:rPr>
          <w:rFonts w:ascii="Arial" w:hAnsi="Arial" w:cs="Arial"/>
          <w:sz w:val="24"/>
          <w:szCs w:val="24"/>
        </w:rPr>
      </w:pPr>
      <w:r>
        <w:rPr>
          <w:rFonts w:ascii="Arial" w:hAnsi="Arial" w:cs="Arial"/>
          <w:sz w:val="24"/>
          <w:szCs w:val="24"/>
        </w:rPr>
        <w:t>Subject: end of triads and operational balancing for next winters</w:t>
      </w:r>
    </w:p>
    <w:p w14:paraId="20A5E6B3" w14:textId="77777777" w:rsidR="00371707" w:rsidRDefault="00371707" w:rsidP="00371707">
      <w:pPr>
        <w:rPr>
          <w:rFonts w:ascii="Arial" w:hAnsi="Arial" w:cs="Arial"/>
          <w:sz w:val="24"/>
          <w:szCs w:val="24"/>
        </w:rPr>
      </w:pPr>
    </w:p>
    <w:p w14:paraId="179013E8" w14:textId="77777777" w:rsidR="00371707" w:rsidRDefault="00371707" w:rsidP="00371707">
      <w:pPr>
        <w:jc w:val="right"/>
        <w:rPr>
          <w:rFonts w:ascii="Arial" w:hAnsi="Arial" w:cs="Arial"/>
          <w:sz w:val="24"/>
          <w:szCs w:val="24"/>
        </w:rPr>
      </w:pPr>
      <w:r>
        <w:rPr>
          <w:rFonts w:ascii="Arial" w:hAnsi="Arial" w:cs="Arial"/>
          <w:sz w:val="24"/>
          <w:szCs w:val="24"/>
        </w:rPr>
        <w:t>London, 16 March 2023</w:t>
      </w:r>
    </w:p>
    <w:p w14:paraId="0D586B93" w14:textId="77777777" w:rsidR="00371707" w:rsidRDefault="00371707" w:rsidP="00371707">
      <w:pPr>
        <w:rPr>
          <w:rFonts w:ascii="Arial" w:hAnsi="Arial" w:cs="Arial"/>
          <w:sz w:val="24"/>
          <w:szCs w:val="24"/>
        </w:rPr>
      </w:pPr>
      <w:r>
        <w:rPr>
          <w:rFonts w:ascii="Arial" w:hAnsi="Arial" w:cs="Arial"/>
          <w:sz w:val="24"/>
          <w:szCs w:val="24"/>
        </w:rPr>
        <w:t xml:space="preserve">Dear Craig, </w:t>
      </w:r>
    </w:p>
    <w:p w14:paraId="14239409" w14:textId="77777777" w:rsidR="00371707" w:rsidRDefault="00371707" w:rsidP="00371707">
      <w:pPr>
        <w:rPr>
          <w:rFonts w:ascii="Arial" w:hAnsi="Arial" w:cs="Arial"/>
          <w:color w:val="4D5156"/>
          <w:sz w:val="21"/>
          <w:szCs w:val="21"/>
        </w:rPr>
      </w:pPr>
    </w:p>
    <w:p w14:paraId="33F2E880" w14:textId="77777777" w:rsidR="00371707" w:rsidRDefault="00371707" w:rsidP="00371707">
      <w:pPr>
        <w:rPr>
          <w:rFonts w:ascii="Arial" w:hAnsi="Arial" w:cs="Arial"/>
          <w:sz w:val="24"/>
          <w:szCs w:val="24"/>
        </w:rPr>
      </w:pPr>
      <w:r>
        <w:rPr>
          <w:rFonts w:ascii="Arial" w:hAnsi="Arial" w:cs="Arial"/>
          <w:sz w:val="24"/>
          <w:szCs w:val="24"/>
        </w:rPr>
        <w:t xml:space="preserve">We are writing to you on behalf of members of the Energy Intensive Users Group (EIUG) and Major Energy Users Council (MEUC) to highlight the reduction in the value of triads and the motivation of I&amp;C customers to reduce their electricity demand at times of high system demand. </w:t>
      </w:r>
      <w:r w:rsidRPr="001E5ACD">
        <w:rPr>
          <w:rFonts w:ascii="Arial" w:hAnsi="Arial" w:cs="Arial"/>
          <w:sz w:val="24"/>
          <w:szCs w:val="24"/>
        </w:rPr>
        <w:t xml:space="preserve">This loss </w:t>
      </w:r>
      <w:r>
        <w:rPr>
          <w:rFonts w:ascii="Arial" w:hAnsi="Arial" w:cs="Arial"/>
          <w:sz w:val="24"/>
          <w:szCs w:val="24"/>
        </w:rPr>
        <w:t xml:space="preserve">in capacity </w:t>
      </w:r>
      <w:r w:rsidRPr="001E5ACD">
        <w:rPr>
          <w:rFonts w:ascii="Arial" w:hAnsi="Arial" w:cs="Arial"/>
          <w:sz w:val="24"/>
          <w:szCs w:val="24"/>
        </w:rPr>
        <w:t>might increase operational risks to NG ESO, especially as forecast</w:t>
      </w:r>
      <w:r>
        <w:rPr>
          <w:rFonts w:ascii="Arial" w:hAnsi="Arial" w:cs="Arial"/>
          <w:sz w:val="24"/>
          <w:szCs w:val="24"/>
        </w:rPr>
        <w:t>s</w:t>
      </w:r>
      <w:r w:rsidRPr="001E5ACD">
        <w:rPr>
          <w:rFonts w:ascii="Arial" w:hAnsi="Arial" w:cs="Arial"/>
          <w:sz w:val="24"/>
          <w:szCs w:val="24"/>
        </w:rPr>
        <w:t xml:space="preserve"> for next winter predict that the risk of security of electricity supply will be at the same level of this winter.</w:t>
      </w:r>
      <w:r>
        <w:rPr>
          <w:rFonts w:ascii="Arial" w:hAnsi="Arial" w:cs="Arial"/>
          <w:sz w:val="24"/>
          <w:szCs w:val="24"/>
        </w:rPr>
        <w:t xml:space="preserve"> </w:t>
      </w:r>
    </w:p>
    <w:p w14:paraId="08CE3811" w14:textId="77777777" w:rsidR="00371707" w:rsidRDefault="00371707" w:rsidP="00371707">
      <w:pPr>
        <w:rPr>
          <w:rFonts w:ascii="Arial" w:hAnsi="Arial" w:cs="Arial"/>
          <w:sz w:val="24"/>
          <w:szCs w:val="24"/>
        </w:rPr>
      </w:pPr>
    </w:p>
    <w:p w14:paraId="6A49952D" w14:textId="77777777" w:rsidR="00371707" w:rsidRPr="00E26601" w:rsidRDefault="00371707" w:rsidP="00371707">
      <w:pPr>
        <w:rPr>
          <w:rFonts w:ascii="Arial" w:hAnsi="Arial" w:cs="Arial"/>
          <w:sz w:val="24"/>
          <w:szCs w:val="24"/>
        </w:rPr>
      </w:pPr>
      <w:r w:rsidRPr="5AE886E2">
        <w:rPr>
          <w:rFonts w:ascii="Arial" w:hAnsi="Arial" w:cs="Arial"/>
          <w:sz w:val="24"/>
          <w:szCs w:val="24"/>
        </w:rPr>
        <w:t>We would like to invite NG ESO to discuss with the EIUG and MEUC how best to capture the volume of triads that might be lost and reforming any of its DSR instruments so I&amp;C customers can continue to support NG ESO in its ability to manage system operability and better contain costs for all GB consumers ahead of next winter.</w:t>
      </w:r>
    </w:p>
    <w:p w14:paraId="23ECD79C" w14:textId="77777777" w:rsidR="00371707" w:rsidRPr="00E26601" w:rsidRDefault="00371707" w:rsidP="00371707">
      <w:pPr>
        <w:rPr>
          <w:rFonts w:ascii="Arial" w:hAnsi="Arial" w:cs="Arial"/>
          <w:sz w:val="24"/>
          <w:szCs w:val="24"/>
        </w:rPr>
      </w:pPr>
    </w:p>
    <w:p w14:paraId="5018439A" w14:textId="77777777" w:rsidR="00371707" w:rsidRPr="001E5ACD" w:rsidRDefault="00371707" w:rsidP="00371707">
      <w:pPr>
        <w:rPr>
          <w:rFonts w:ascii="Arial" w:hAnsi="Arial" w:cs="Arial"/>
          <w:i/>
          <w:iCs/>
          <w:sz w:val="24"/>
          <w:szCs w:val="24"/>
        </w:rPr>
      </w:pPr>
      <w:r w:rsidRPr="001E5ACD">
        <w:rPr>
          <w:rFonts w:ascii="Arial" w:hAnsi="Arial" w:cs="Arial"/>
          <w:i/>
          <w:iCs/>
          <w:sz w:val="24"/>
          <w:szCs w:val="24"/>
        </w:rPr>
        <w:t>Triads</w:t>
      </w:r>
    </w:p>
    <w:p w14:paraId="4DE6532C" w14:textId="77777777" w:rsidR="00371707" w:rsidRPr="00E26601" w:rsidRDefault="00371707" w:rsidP="00371707">
      <w:pPr>
        <w:rPr>
          <w:rFonts w:ascii="Arial" w:hAnsi="Arial" w:cs="Arial"/>
          <w:sz w:val="24"/>
          <w:szCs w:val="24"/>
        </w:rPr>
      </w:pPr>
      <w:r w:rsidRPr="5AE886E2">
        <w:rPr>
          <w:rFonts w:ascii="Arial" w:hAnsi="Arial" w:cs="Arial"/>
          <w:sz w:val="24"/>
          <w:szCs w:val="24"/>
        </w:rPr>
        <w:t xml:space="preserve">This winter will have seen the last of Triads – the three half-hour settlement periods of highest demand on the GB electricity transmission system that occur between November and February (inclusive) each year. NG ESO historically used Triads to determine </w:t>
      </w:r>
      <w:proofErr w:type="spellStart"/>
      <w:r w:rsidRPr="5AE886E2">
        <w:rPr>
          <w:rFonts w:ascii="Arial" w:hAnsi="Arial" w:cs="Arial"/>
          <w:sz w:val="24"/>
          <w:szCs w:val="24"/>
        </w:rPr>
        <w:t>TNUoS</w:t>
      </w:r>
      <w:proofErr w:type="spellEnd"/>
      <w:r w:rsidRPr="5AE886E2">
        <w:rPr>
          <w:rFonts w:ascii="Arial" w:hAnsi="Arial" w:cs="Arial"/>
          <w:sz w:val="24"/>
          <w:szCs w:val="24"/>
        </w:rPr>
        <w:t xml:space="preserve"> demand charges for customers with half hourly meters, predominantly industrial and commercial (I&amp;C) energy customers. As the charge was proportional to a businesses' energy within the Triad periods (and linked to location), it provides a strong incentive to I&amp;C customers to minimise consumption over these periods to lower </w:t>
      </w:r>
      <w:proofErr w:type="spellStart"/>
      <w:r w:rsidRPr="5AE886E2">
        <w:rPr>
          <w:rFonts w:ascii="Arial" w:hAnsi="Arial" w:cs="Arial"/>
          <w:sz w:val="24"/>
          <w:szCs w:val="24"/>
        </w:rPr>
        <w:t>TNUoS</w:t>
      </w:r>
      <w:proofErr w:type="spellEnd"/>
      <w:r w:rsidRPr="5AE886E2">
        <w:rPr>
          <w:rFonts w:ascii="Arial" w:hAnsi="Arial" w:cs="Arial"/>
          <w:sz w:val="24"/>
          <w:szCs w:val="24"/>
        </w:rPr>
        <w:t xml:space="preserve"> charges and thereby its energy costs. This was achieved by a combination of demand reduction, load switching to alternative embedded generation, including running and testing on site emergency back-up generators in periods that coincided with peak demands. </w:t>
      </w:r>
    </w:p>
    <w:p w14:paraId="18118BDD" w14:textId="77777777" w:rsidR="00371707" w:rsidRPr="00E26601" w:rsidRDefault="00371707" w:rsidP="00371707">
      <w:pPr>
        <w:rPr>
          <w:rFonts w:ascii="Arial" w:hAnsi="Arial" w:cs="Arial"/>
          <w:sz w:val="24"/>
          <w:szCs w:val="24"/>
        </w:rPr>
      </w:pPr>
    </w:p>
    <w:p w14:paraId="742F5EB2" w14:textId="77777777" w:rsidR="00371707" w:rsidRPr="00E26601" w:rsidRDefault="00371707" w:rsidP="00371707">
      <w:pPr>
        <w:rPr>
          <w:rFonts w:ascii="Arial" w:hAnsi="Arial" w:cs="Arial"/>
          <w:sz w:val="24"/>
          <w:szCs w:val="24"/>
        </w:rPr>
      </w:pPr>
      <w:r w:rsidRPr="5AE886E2">
        <w:rPr>
          <w:rFonts w:ascii="Arial" w:hAnsi="Arial" w:cs="Arial"/>
          <w:sz w:val="24"/>
          <w:szCs w:val="24"/>
        </w:rPr>
        <w:t xml:space="preserve">The </w:t>
      </w:r>
      <w:proofErr w:type="spellStart"/>
      <w:r w:rsidRPr="5AE886E2">
        <w:rPr>
          <w:rFonts w:ascii="Arial" w:hAnsi="Arial" w:cs="Arial"/>
          <w:sz w:val="24"/>
          <w:szCs w:val="24"/>
        </w:rPr>
        <w:t>TNUoS</w:t>
      </w:r>
      <w:proofErr w:type="spellEnd"/>
      <w:r w:rsidRPr="5AE886E2">
        <w:rPr>
          <w:rFonts w:ascii="Arial" w:hAnsi="Arial" w:cs="Arial"/>
          <w:sz w:val="24"/>
          <w:szCs w:val="24"/>
        </w:rPr>
        <w:t xml:space="preserve"> charging methodology deliberately included an incentive to reduce demand (DSR) at peak times for the electricity system, reducing the overall level of generation needed to support the GB market, and importantly the very high cost of providing marginal capacity on transmission and distribution networks. Notwithstanding the methodology’s residual element to recover the cost of running and maintaining the electricity transmission network, the DSR element principally negated expensive investment and inefficient electricity network capacity. </w:t>
      </w:r>
    </w:p>
    <w:p w14:paraId="5850C275" w14:textId="77777777" w:rsidR="00371707" w:rsidRPr="00E26601" w:rsidRDefault="00371707" w:rsidP="00371707">
      <w:pPr>
        <w:rPr>
          <w:rFonts w:ascii="Arial" w:hAnsi="Arial" w:cs="Arial"/>
          <w:sz w:val="24"/>
          <w:szCs w:val="24"/>
        </w:rPr>
      </w:pPr>
    </w:p>
    <w:p w14:paraId="2D40DCA5" w14:textId="77777777" w:rsidR="00371707" w:rsidRPr="00E26601" w:rsidRDefault="00371707" w:rsidP="00371707">
      <w:pPr>
        <w:rPr>
          <w:rFonts w:ascii="Arial" w:hAnsi="Arial" w:cs="Arial"/>
          <w:sz w:val="24"/>
          <w:szCs w:val="24"/>
        </w:rPr>
      </w:pPr>
      <w:r w:rsidRPr="00E26601">
        <w:rPr>
          <w:rFonts w:ascii="Arial" w:hAnsi="Arial" w:cs="Arial"/>
          <w:sz w:val="24"/>
          <w:szCs w:val="24"/>
        </w:rPr>
        <w:t xml:space="preserve">Although </w:t>
      </w:r>
      <w:r>
        <w:rPr>
          <w:rFonts w:ascii="Arial" w:hAnsi="Arial" w:cs="Arial"/>
          <w:sz w:val="24"/>
          <w:szCs w:val="24"/>
        </w:rPr>
        <w:t xml:space="preserve">there were good reasons to review and reform Triads and </w:t>
      </w:r>
      <w:r w:rsidRPr="00E26601">
        <w:rPr>
          <w:rFonts w:ascii="Arial" w:hAnsi="Arial" w:cs="Arial"/>
          <w:sz w:val="24"/>
          <w:szCs w:val="24"/>
        </w:rPr>
        <w:t>Ofgem recognised th</w:t>
      </w:r>
      <w:r>
        <w:rPr>
          <w:rFonts w:ascii="Arial" w:hAnsi="Arial" w:cs="Arial"/>
          <w:sz w:val="24"/>
          <w:szCs w:val="24"/>
        </w:rPr>
        <w:t>e</w:t>
      </w:r>
      <w:r w:rsidRPr="00E26601">
        <w:rPr>
          <w:rFonts w:ascii="Arial" w:hAnsi="Arial" w:cs="Arial"/>
          <w:sz w:val="24"/>
          <w:szCs w:val="24"/>
        </w:rPr>
        <w:t xml:space="preserve"> benefit</w:t>
      </w:r>
      <w:r>
        <w:rPr>
          <w:rFonts w:ascii="Arial" w:hAnsi="Arial" w:cs="Arial"/>
          <w:sz w:val="24"/>
          <w:szCs w:val="24"/>
        </w:rPr>
        <w:t xml:space="preserve"> of avoiding such expensive network upgrades</w:t>
      </w:r>
      <w:r w:rsidRPr="00E26601">
        <w:rPr>
          <w:rFonts w:ascii="Arial" w:hAnsi="Arial" w:cs="Arial"/>
          <w:sz w:val="24"/>
          <w:szCs w:val="24"/>
        </w:rPr>
        <w:t xml:space="preserve">, it focused on the cost recovery element of </w:t>
      </w:r>
      <w:proofErr w:type="spellStart"/>
      <w:r w:rsidRPr="00E26601">
        <w:rPr>
          <w:rFonts w:ascii="Arial" w:hAnsi="Arial" w:cs="Arial"/>
          <w:sz w:val="24"/>
          <w:szCs w:val="24"/>
        </w:rPr>
        <w:t>TNUoS</w:t>
      </w:r>
      <w:proofErr w:type="spellEnd"/>
      <w:r w:rsidRPr="00E26601">
        <w:rPr>
          <w:rFonts w:ascii="Arial" w:hAnsi="Arial" w:cs="Arial"/>
          <w:sz w:val="24"/>
          <w:szCs w:val="24"/>
        </w:rPr>
        <w:t xml:space="preserve"> in its targeted charging review </w:t>
      </w:r>
      <w:r>
        <w:rPr>
          <w:rFonts w:ascii="Arial" w:hAnsi="Arial" w:cs="Arial"/>
          <w:sz w:val="24"/>
          <w:szCs w:val="24"/>
        </w:rPr>
        <w:t xml:space="preserve">(TCR) </w:t>
      </w:r>
      <w:r w:rsidRPr="00E26601">
        <w:rPr>
          <w:rFonts w:ascii="Arial" w:hAnsi="Arial" w:cs="Arial"/>
          <w:sz w:val="24"/>
          <w:szCs w:val="24"/>
        </w:rPr>
        <w:t xml:space="preserve">and </w:t>
      </w:r>
      <w:r>
        <w:rPr>
          <w:rFonts w:ascii="Arial" w:hAnsi="Arial" w:cs="Arial"/>
          <w:sz w:val="24"/>
          <w:szCs w:val="24"/>
        </w:rPr>
        <w:t>moved</w:t>
      </w:r>
      <w:r w:rsidRPr="00E26601">
        <w:rPr>
          <w:rFonts w:ascii="Arial" w:hAnsi="Arial" w:cs="Arial"/>
          <w:sz w:val="24"/>
          <w:szCs w:val="24"/>
        </w:rPr>
        <w:t xml:space="preserve"> the DSR element to its access and forward-looking charges programme</w:t>
      </w:r>
      <w:r>
        <w:rPr>
          <w:rFonts w:ascii="Arial" w:hAnsi="Arial" w:cs="Arial"/>
          <w:sz w:val="24"/>
          <w:szCs w:val="24"/>
        </w:rPr>
        <w:t xml:space="preserve">. Ofgem subsequently </w:t>
      </w:r>
      <w:r w:rsidRPr="00E26601">
        <w:rPr>
          <w:rFonts w:ascii="Arial" w:hAnsi="Arial" w:cs="Arial"/>
          <w:sz w:val="24"/>
          <w:szCs w:val="24"/>
        </w:rPr>
        <w:t>decoupled access reform from future charging</w:t>
      </w:r>
      <w:r>
        <w:rPr>
          <w:rFonts w:ascii="Arial" w:hAnsi="Arial" w:cs="Arial"/>
          <w:sz w:val="24"/>
          <w:szCs w:val="24"/>
        </w:rPr>
        <w:t xml:space="preserve">. </w:t>
      </w:r>
      <w:r w:rsidRPr="00E26601">
        <w:rPr>
          <w:rFonts w:ascii="Arial" w:hAnsi="Arial" w:cs="Arial"/>
          <w:sz w:val="24"/>
          <w:szCs w:val="24"/>
        </w:rPr>
        <w:t>This means that the main DSR incentive for I&amp;C customers no longer exists and the benefit of avoiding expensive capacity upgrades is not being incentivised</w:t>
      </w:r>
      <w:r w:rsidRPr="00C50082">
        <w:rPr>
          <w:rFonts w:ascii="Arial" w:hAnsi="Arial" w:cs="Arial"/>
          <w:sz w:val="24"/>
          <w:szCs w:val="24"/>
        </w:rPr>
        <w:t xml:space="preserve"> </w:t>
      </w:r>
      <w:r>
        <w:rPr>
          <w:rFonts w:ascii="Arial" w:hAnsi="Arial" w:cs="Arial"/>
          <w:sz w:val="24"/>
          <w:szCs w:val="24"/>
        </w:rPr>
        <w:t>in</w:t>
      </w:r>
      <w:r w:rsidRPr="00E26601">
        <w:rPr>
          <w:rFonts w:ascii="Arial" w:hAnsi="Arial" w:cs="Arial"/>
          <w:sz w:val="24"/>
          <w:szCs w:val="24"/>
        </w:rPr>
        <w:t xml:space="preserve"> upcoming and subsequent winters. </w:t>
      </w:r>
    </w:p>
    <w:p w14:paraId="2C5D6D20" w14:textId="77777777" w:rsidR="00371707" w:rsidRDefault="00371707" w:rsidP="00371707">
      <w:pPr>
        <w:rPr>
          <w:rFonts w:ascii="Arial" w:hAnsi="Arial" w:cs="Arial"/>
          <w:sz w:val="24"/>
          <w:szCs w:val="24"/>
        </w:rPr>
      </w:pPr>
    </w:p>
    <w:p w14:paraId="17302D88" w14:textId="77777777" w:rsidR="00371707" w:rsidRPr="007D5C44" w:rsidRDefault="00371707" w:rsidP="00371707">
      <w:pPr>
        <w:rPr>
          <w:rFonts w:ascii="Arial" w:hAnsi="Arial" w:cs="Arial"/>
          <w:i/>
          <w:iCs/>
          <w:sz w:val="24"/>
          <w:szCs w:val="24"/>
        </w:rPr>
      </w:pPr>
      <w:r w:rsidRPr="007D5C44">
        <w:rPr>
          <w:rFonts w:ascii="Arial" w:hAnsi="Arial" w:cs="Arial"/>
          <w:i/>
          <w:iCs/>
          <w:sz w:val="24"/>
          <w:szCs w:val="24"/>
        </w:rPr>
        <w:t>Demand Reduction</w:t>
      </w:r>
    </w:p>
    <w:p w14:paraId="2E4F8A22" w14:textId="77777777" w:rsidR="00371707" w:rsidRPr="00E26601" w:rsidRDefault="00371707" w:rsidP="00371707">
      <w:pPr>
        <w:rPr>
          <w:rFonts w:ascii="Arial" w:hAnsi="Arial" w:cs="Arial"/>
          <w:sz w:val="24"/>
          <w:szCs w:val="24"/>
        </w:rPr>
      </w:pPr>
      <w:r w:rsidRPr="00E26601">
        <w:rPr>
          <w:rFonts w:ascii="Arial" w:hAnsi="Arial" w:cs="Arial"/>
          <w:sz w:val="24"/>
          <w:szCs w:val="24"/>
        </w:rPr>
        <w:t xml:space="preserve">The table below shows the NG ESO’s maximal estimated reduction in capacity in response to triad in the past winters. </w:t>
      </w:r>
    </w:p>
    <w:tbl>
      <w:tblPr>
        <w:tblStyle w:val="TableGrid"/>
        <w:tblW w:w="0" w:type="auto"/>
        <w:jc w:val="center"/>
        <w:tblLook w:val="04A0" w:firstRow="1" w:lastRow="0" w:firstColumn="1" w:lastColumn="0" w:noHBand="0" w:noVBand="1"/>
      </w:tblPr>
      <w:tblGrid>
        <w:gridCol w:w="1696"/>
        <w:gridCol w:w="3261"/>
      </w:tblGrid>
      <w:tr w:rsidR="00371707" w:rsidRPr="00E26601" w14:paraId="503B0D75" w14:textId="77777777">
        <w:trPr>
          <w:jc w:val="center"/>
        </w:trPr>
        <w:tc>
          <w:tcPr>
            <w:tcW w:w="1696" w:type="dxa"/>
            <w:shd w:val="clear" w:color="auto" w:fill="000000" w:themeFill="text1"/>
          </w:tcPr>
          <w:p w14:paraId="3C72F805" w14:textId="77777777" w:rsidR="00371707" w:rsidRPr="00460319" w:rsidRDefault="00371707">
            <w:pPr>
              <w:jc w:val="center"/>
              <w:rPr>
                <w:rFonts w:ascii="Arial" w:hAnsi="Arial" w:cs="Arial"/>
                <w:b/>
                <w:bCs/>
                <w:sz w:val="24"/>
                <w:szCs w:val="24"/>
              </w:rPr>
            </w:pPr>
            <w:r w:rsidRPr="00460319">
              <w:rPr>
                <w:rFonts w:ascii="Arial" w:hAnsi="Arial" w:cs="Arial"/>
                <w:b/>
                <w:bCs/>
                <w:sz w:val="24"/>
                <w:szCs w:val="24"/>
              </w:rPr>
              <w:t>Winter</w:t>
            </w:r>
          </w:p>
        </w:tc>
        <w:tc>
          <w:tcPr>
            <w:tcW w:w="3261" w:type="dxa"/>
            <w:shd w:val="clear" w:color="auto" w:fill="000000" w:themeFill="text1"/>
          </w:tcPr>
          <w:p w14:paraId="21A19E1A" w14:textId="77777777" w:rsidR="00371707" w:rsidRPr="00460319" w:rsidRDefault="00371707">
            <w:pPr>
              <w:jc w:val="center"/>
              <w:rPr>
                <w:rFonts w:ascii="Arial" w:hAnsi="Arial" w:cs="Arial"/>
                <w:b/>
                <w:bCs/>
                <w:sz w:val="24"/>
                <w:szCs w:val="24"/>
              </w:rPr>
            </w:pPr>
            <w:r w:rsidRPr="00460319">
              <w:rPr>
                <w:rFonts w:ascii="Arial" w:hAnsi="Arial" w:cs="Arial"/>
                <w:b/>
                <w:bCs/>
                <w:sz w:val="24"/>
                <w:szCs w:val="24"/>
              </w:rPr>
              <w:t>Max Est. Capacity (GW)</w:t>
            </w:r>
          </w:p>
        </w:tc>
      </w:tr>
      <w:tr w:rsidR="00371707" w:rsidRPr="00E26601" w14:paraId="2AD55D8C" w14:textId="77777777">
        <w:trPr>
          <w:jc w:val="center"/>
        </w:trPr>
        <w:tc>
          <w:tcPr>
            <w:tcW w:w="1696" w:type="dxa"/>
          </w:tcPr>
          <w:p w14:paraId="04801C52" w14:textId="77777777" w:rsidR="00371707" w:rsidRPr="00E26601" w:rsidRDefault="00371707">
            <w:pPr>
              <w:jc w:val="center"/>
              <w:rPr>
                <w:rFonts w:ascii="Arial" w:hAnsi="Arial" w:cs="Arial"/>
                <w:sz w:val="24"/>
                <w:szCs w:val="24"/>
              </w:rPr>
            </w:pPr>
            <w:r w:rsidRPr="00E26601">
              <w:rPr>
                <w:rFonts w:ascii="Arial" w:hAnsi="Arial" w:cs="Arial"/>
                <w:sz w:val="24"/>
                <w:szCs w:val="24"/>
              </w:rPr>
              <w:t>2021/2022</w:t>
            </w:r>
          </w:p>
        </w:tc>
        <w:tc>
          <w:tcPr>
            <w:tcW w:w="3261" w:type="dxa"/>
          </w:tcPr>
          <w:p w14:paraId="41CB2EF6" w14:textId="77777777" w:rsidR="00371707" w:rsidRPr="00E26601" w:rsidRDefault="00371707">
            <w:pPr>
              <w:jc w:val="center"/>
              <w:rPr>
                <w:rFonts w:ascii="Arial" w:hAnsi="Arial" w:cs="Arial"/>
                <w:sz w:val="24"/>
                <w:szCs w:val="24"/>
              </w:rPr>
            </w:pPr>
            <w:r w:rsidRPr="00E26601">
              <w:rPr>
                <w:rFonts w:ascii="Arial" w:hAnsi="Arial" w:cs="Arial"/>
                <w:sz w:val="24"/>
                <w:szCs w:val="24"/>
              </w:rPr>
              <w:t>1.3</w:t>
            </w:r>
          </w:p>
        </w:tc>
      </w:tr>
      <w:tr w:rsidR="00371707" w:rsidRPr="00E26601" w14:paraId="370B4B42" w14:textId="77777777">
        <w:trPr>
          <w:jc w:val="center"/>
        </w:trPr>
        <w:tc>
          <w:tcPr>
            <w:tcW w:w="1696" w:type="dxa"/>
          </w:tcPr>
          <w:p w14:paraId="567296F4" w14:textId="77777777" w:rsidR="00371707" w:rsidRPr="00E26601" w:rsidRDefault="00371707">
            <w:pPr>
              <w:jc w:val="center"/>
              <w:rPr>
                <w:rFonts w:ascii="Arial" w:hAnsi="Arial" w:cs="Arial"/>
                <w:sz w:val="24"/>
                <w:szCs w:val="24"/>
              </w:rPr>
            </w:pPr>
            <w:r w:rsidRPr="00E26601">
              <w:rPr>
                <w:rFonts w:ascii="Arial" w:hAnsi="Arial" w:cs="Arial"/>
                <w:sz w:val="24"/>
                <w:szCs w:val="24"/>
              </w:rPr>
              <w:t>2020/2021</w:t>
            </w:r>
          </w:p>
        </w:tc>
        <w:tc>
          <w:tcPr>
            <w:tcW w:w="3261" w:type="dxa"/>
          </w:tcPr>
          <w:p w14:paraId="0515F958" w14:textId="77777777" w:rsidR="00371707" w:rsidRPr="00E26601" w:rsidRDefault="00371707">
            <w:pPr>
              <w:jc w:val="center"/>
              <w:rPr>
                <w:rFonts w:ascii="Arial" w:hAnsi="Arial" w:cs="Arial"/>
                <w:sz w:val="24"/>
                <w:szCs w:val="24"/>
              </w:rPr>
            </w:pPr>
            <w:r w:rsidRPr="00E26601">
              <w:rPr>
                <w:rFonts w:ascii="Arial" w:hAnsi="Arial" w:cs="Arial"/>
                <w:sz w:val="24"/>
                <w:szCs w:val="24"/>
              </w:rPr>
              <w:t>1.7</w:t>
            </w:r>
          </w:p>
        </w:tc>
      </w:tr>
      <w:tr w:rsidR="00371707" w:rsidRPr="00E26601" w14:paraId="3FFDE224" w14:textId="77777777">
        <w:trPr>
          <w:jc w:val="center"/>
        </w:trPr>
        <w:tc>
          <w:tcPr>
            <w:tcW w:w="1696" w:type="dxa"/>
          </w:tcPr>
          <w:p w14:paraId="4752F5D9" w14:textId="77777777" w:rsidR="00371707" w:rsidRPr="00E26601" w:rsidRDefault="00371707">
            <w:pPr>
              <w:jc w:val="center"/>
              <w:rPr>
                <w:rFonts w:ascii="Arial" w:hAnsi="Arial" w:cs="Arial"/>
                <w:sz w:val="24"/>
                <w:szCs w:val="24"/>
              </w:rPr>
            </w:pPr>
            <w:r w:rsidRPr="00E26601">
              <w:rPr>
                <w:rFonts w:ascii="Arial" w:hAnsi="Arial" w:cs="Arial"/>
                <w:sz w:val="24"/>
                <w:szCs w:val="24"/>
              </w:rPr>
              <w:t>2019/2020</w:t>
            </w:r>
          </w:p>
        </w:tc>
        <w:tc>
          <w:tcPr>
            <w:tcW w:w="3261" w:type="dxa"/>
          </w:tcPr>
          <w:p w14:paraId="54AE5BA0" w14:textId="77777777" w:rsidR="00371707" w:rsidRPr="00E26601" w:rsidRDefault="00371707">
            <w:pPr>
              <w:jc w:val="center"/>
              <w:rPr>
                <w:rFonts w:ascii="Arial" w:hAnsi="Arial" w:cs="Arial"/>
                <w:sz w:val="24"/>
                <w:szCs w:val="24"/>
              </w:rPr>
            </w:pPr>
            <w:r w:rsidRPr="00E26601">
              <w:rPr>
                <w:rFonts w:ascii="Arial" w:hAnsi="Arial" w:cs="Arial"/>
                <w:sz w:val="24"/>
                <w:szCs w:val="24"/>
              </w:rPr>
              <w:t>2.3</w:t>
            </w:r>
          </w:p>
        </w:tc>
      </w:tr>
      <w:tr w:rsidR="00371707" w:rsidRPr="00E26601" w14:paraId="70C13031" w14:textId="77777777">
        <w:trPr>
          <w:jc w:val="center"/>
        </w:trPr>
        <w:tc>
          <w:tcPr>
            <w:tcW w:w="1696" w:type="dxa"/>
          </w:tcPr>
          <w:p w14:paraId="09D950D4" w14:textId="77777777" w:rsidR="00371707" w:rsidRPr="00E26601" w:rsidRDefault="00371707">
            <w:pPr>
              <w:jc w:val="center"/>
              <w:rPr>
                <w:rFonts w:ascii="Arial" w:hAnsi="Arial" w:cs="Arial"/>
                <w:sz w:val="24"/>
                <w:szCs w:val="24"/>
              </w:rPr>
            </w:pPr>
            <w:r w:rsidRPr="00E26601">
              <w:rPr>
                <w:rFonts w:ascii="Arial" w:hAnsi="Arial" w:cs="Arial"/>
                <w:sz w:val="24"/>
                <w:szCs w:val="24"/>
              </w:rPr>
              <w:t>2018/2019</w:t>
            </w:r>
          </w:p>
        </w:tc>
        <w:tc>
          <w:tcPr>
            <w:tcW w:w="3261" w:type="dxa"/>
          </w:tcPr>
          <w:p w14:paraId="70FE8F02" w14:textId="77777777" w:rsidR="00371707" w:rsidRPr="00E26601" w:rsidRDefault="00371707">
            <w:pPr>
              <w:jc w:val="center"/>
              <w:rPr>
                <w:rFonts w:ascii="Arial" w:hAnsi="Arial" w:cs="Arial"/>
                <w:sz w:val="24"/>
                <w:szCs w:val="24"/>
              </w:rPr>
            </w:pPr>
            <w:r w:rsidRPr="00E26601">
              <w:rPr>
                <w:rFonts w:ascii="Arial" w:hAnsi="Arial" w:cs="Arial"/>
                <w:sz w:val="24"/>
                <w:szCs w:val="24"/>
              </w:rPr>
              <w:t>2.4</w:t>
            </w:r>
          </w:p>
        </w:tc>
      </w:tr>
      <w:tr w:rsidR="00371707" w:rsidRPr="00E26601" w14:paraId="16BEEA6F" w14:textId="77777777">
        <w:trPr>
          <w:jc w:val="center"/>
        </w:trPr>
        <w:tc>
          <w:tcPr>
            <w:tcW w:w="1696" w:type="dxa"/>
          </w:tcPr>
          <w:p w14:paraId="3E62BA5E" w14:textId="77777777" w:rsidR="00371707" w:rsidRPr="00E26601" w:rsidRDefault="00371707">
            <w:pPr>
              <w:jc w:val="center"/>
              <w:rPr>
                <w:rFonts w:ascii="Arial" w:hAnsi="Arial" w:cs="Arial"/>
                <w:sz w:val="24"/>
                <w:szCs w:val="24"/>
              </w:rPr>
            </w:pPr>
            <w:r w:rsidRPr="00E26601">
              <w:rPr>
                <w:rFonts w:ascii="Arial" w:hAnsi="Arial" w:cs="Arial"/>
                <w:sz w:val="24"/>
                <w:szCs w:val="24"/>
              </w:rPr>
              <w:t>2017/2018</w:t>
            </w:r>
          </w:p>
        </w:tc>
        <w:tc>
          <w:tcPr>
            <w:tcW w:w="3261" w:type="dxa"/>
          </w:tcPr>
          <w:p w14:paraId="6C9477A5" w14:textId="77777777" w:rsidR="00371707" w:rsidRPr="00E26601" w:rsidRDefault="00371707">
            <w:pPr>
              <w:jc w:val="center"/>
              <w:rPr>
                <w:rFonts w:ascii="Arial" w:hAnsi="Arial" w:cs="Arial"/>
                <w:sz w:val="24"/>
                <w:szCs w:val="24"/>
              </w:rPr>
            </w:pPr>
            <w:r w:rsidRPr="00E26601">
              <w:rPr>
                <w:rFonts w:ascii="Arial" w:hAnsi="Arial" w:cs="Arial"/>
                <w:sz w:val="24"/>
                <w:szCs w:val="24"/>
              </w:rPr>
              <w:t>2.0</w:t>
            </w:r>
          </w:p>
        </w:tc>
      </w:tr>
      <w:tr w:rsidR="00371707" w:rsidRPr="00E26601" w14:paraId="694B2053" w14:textId="77777777">
        <w:trPr>
          <w:jc w:val="center"/>
        </w:trPr>
        <w:tc>
          <w:tcPr>
            <w:tcW w:w="1696" w:type="dxa"/>
          </w:tcPr>
          <w:p w14:paraId="3534509C" w14:textId="77777777" w:rsidR="00371707" w:rsidRPr="00E26601" w:rsidRDefault="00371707">
            <w:pPr>
              <w:jc w:val="center"/>
              <w:rPr>
                <w:rFonts w:ascii="Arial" w:hAnsi="Arial" w:cs="Arial"/>
                <w:sz w:val="24"/>
                <w:szCs w:val="24"/>
              </w:rPr>
            </w:pPr>
            <w:r w:rsidRPr="00E26601">
              <w:rPr>
                <w:rFonts w:ascii="Arial" w:hAnsi="Arial" w:cs="Arial"/>
                <w:sz w:val="24"/>
                <w:szCs w:val="24"/>
              </w:rPr>
              <w:t>2016/2017</w:t>
            </w:r>
          </w:p>
        </w:tc>
        <w:tc>
          <w:tcPr>
            <w:tcW w:w="3261" w:type="dxa"/>
          </w:tcPr>
          <w:p w14:paraId="33053190" w14:textId="77777777" w:rsidR="00371707" w:rsidRPr="00E26601" w:rsidRDefault="00371707">
            <w:pPr>
              <w:jc w:val="center"/>
              <w:rPr>
                <w:rFonts w:ascii="Arial" w:hAnsi="Arial" w:cs="Arial"/>
                <w:sz w:val="24"/>
                <w:szCs w:val="24"/>
              </w:rPr>
            </w:pPr>
            <w:r w:rsidRPr="00E26601">
              <w:rPr>
                <w:rFonts w:ascii="Arial" w:hAnsi="Arial" w:cs="Arial"/>
                <w:sz w:val="24"/>
                <w:szCs w:val="24"/>
              </w:rPr>
              <w:t>2.0</w:t>
            </w:r>
          </w:p>
        </w:tc>
      </w:tr>
      <w:tr w:rsidR="00371707" w:rsidRPr="00E26601" w14:paraId="2348B2C7" w14:textId="77777777">
        <w:trPr>
          <w:jc w:val="center"/>
        </w:trPr>
        <w:tc>
          <w:tcPr>
            <w:tcW w:w="1696" w:type="dxa"/>
          </w:tcPr>
          <w:p w14:paraId="02240724" w14:textId="77777777" w:rsidR="00371707" w:rsidRPr="00E26601" w:rsidRDefault="00371707">
            <w:pPr>
              <w:jc w:val="center"/>
              <w:rPr>
                <w:rFonts w:ascii="Arial" w:hAnsi="Arial" w:cs="Arial"/>
                <w:sz w:val="24"/>
                <w:szCs w:val="24"/>
              </w:rPr>
            </w:pPr>
            <w:r w:rsidRPr="00E26601">
              <w:rPr>
                <w:rFonts w:ascii="Arial" w:hAnsi="Arial" w:cs="Arial"/>
                <w:sz w:val="24"/>
                <w:szCs w:val="24"/>
              </w:rPr>
              <w:t>2015/2016</w:t>
            </w:r>
          </w:p>
        </w:tc>
        <w:tc>
          <w:tcPr>
            <w:tcW w:w="3261" w:type="dxa"/>
          </w:tcPr>
          <w:p w14:paraId="3B32B4A3" w14:textId="77777777" w:rsidR="00371707" w:rsidRPr="00E26601" w:rsidRDefault="00371707">
            <w:pPr>
              <w:jc w:val="center"/>
              <w:rPr>
                <w:rFonts w:ascii="Arial" w:hAnsi="Arial" w:cs="Arial"/>
                <w:sz w:val="24"/>
                <w:szCs w:val="24"/>
              </w:rPr>
            </w:pPr>
            <w:r w:rsidRPr="00E26601">
              <w:rPr>
                <w:rFonts w:ascii="Arial" w:hAnsi="Arial" w:cs="Arial"/>
                <w:sz w:val="24"/>
                <w:szCs w:val="24"/>
              </w:rPr>
              <w:t>2.0</w:t>
            </w:r>
          </w:p>
        </w:tc>
      </w:tr>
      <w:tr w:rsidR="00371707" w:rsidRPr="00E26601" w14:paraId="02EAC432" w14:textId="77777777">
        <w:trPr>
          <w:jc w:val="center"/>
        </w:trPr>
        <w:tc>
          <w:tcPr>
            <w:tcW w:w="1696" w:type="dxa"/>
          </w:tcPr>
          <w:p w14:paraId="36FF3371" w14:textId="77777777" w:rsidR="00371707" w:rsidRPr="00E26601" w:rsidRDefault="00371707">
            <w:pPr>
              <w:jc w:val="center"/>
              <w:rPr>
                <w:rFonts w:ascii="Arial" w:hAnsi="Arial" w:cs="Arial"/>
                <w:sz w:val="24"/>
                <w:szCs w:val="24"/>
              </w:rPr>
            </w:pPr>
            <w:r w:rsidRPr="00E26601">
              <w:rPr>
                <w:rFonts w:ascii="Arial" w:hAnsi="Arial" w:cs="Arial"/>
                <w:sz w:val="24"/>
                <w:szCs w:val="24"/>
              </w:rPr>
              <w:t>2014/2015</w:t>
            </w:r>
          </w:p>
        </w:tc>
        <w:tc>
          <w:tcPr>
            <w:tcW w:w="3261" w:type="dxa"/>
          </w:tcPr>
          <w:p w14:paraId="776543E6" w14:textId="77777777" w:rsidR="00371707" w:rsidRPr="00E26601" w:rsidRDefault="00371707">
            <w:pPr>
              <w:jc w:val="center"/>
              <w:rPr>
                <w:rFonts w:ascii="Arial" w:hAnsi="Arial" w:cs="Arial"/>
                <w:sz w:val="24"/>
                <w:szCs w:val="24"/>
              </w:rPr>
            </w:pPr>
            <w:r w:rsidRPr="00E26601">
              <w:rPr>
                <w:rFonts w:ascii="Arial" w:hAnsi="Arial" w:cs="Arial"/>
                <w:sz w:val="24"/>
                <w:szCs w:val="24"/>
              </w:rPr>
              <w:t>1.2</w:t>
            </w:r>
          </w:p>
        </w:tc>
      </w:tr>
      <w:tr w:rsidR="00371707" w:rsidRPr="00E26601" w14:paraId="63B59392" w14:textId="77777777">
        <w:trPr>
          <w:jc w:val="center"/>
        </w:trPr>
        <w:tc>
          <w:tcPr>
            <w:tcW w:w="1696" w:type="dxa"/>
          </w:tcPr>
          <w:p w14:paraId="03756C8A" w14:textId="77777777" w:rsidR="00371707" w:rsidRPr="00E26601" w:rsidRDefault="00371707">
            <w:pPr>
              <w:jc w:val="center"/>
              <w:rPr>
                <w:rFonts w:ascii="Arial" w:hAnsi="Arial" w:cs="Arial"/>
                <w:sz w:val="24"/>
                <w:szCs w:val="24"/>
              </w:rPr>
            </w:pPr>
            <w:r w:rsidRPr="00E26601">
              <w:rPr>
                <w:rFonts w:ascii="Arial" w:hAnsi="Arial" w:cs="Arial"/>
                <w:sz w:val="24"/>
                <w:szCs w:val="24"/>
              </w:rPr>
              <w:t>2013/2014</w:t>
            </w:r>
          </w:p>
        </w:tc>
        <w:tc>
          <w:tcPr>
            <w:tcW w:w="3261" w:type="dxa"/>
          </w:tcPr>
          <w:p w14:paraId="4AD18A5B" w14:textId="77777777" w:rsidR="00371707" w:rsidRPr="00E26601" w:rsidRDefault="00371707">
            <w:pPr>
              <w:jc w:val="center"/>
              <w:rPr>
                <w:rFonts w:ascii="Arial" w:hAnsi="Arial" w:cs="Arial"/>
                <w:sz w:val="24"/>
                <w:szCs w:val="24"/>
              </w:rPr>
            </w:pPr>
            <w:r w:rsidRPr="00E26601">
              <w:rPr>
                <w:rFonts w:ascii="Arial" w:hAnsi="Arial" w:cs="Arial"/>
                <w:sz w:val="24"/>
                <w:szCs w:val="24"/>
              </w:rPr>
              <w:t>1.8</w:t>
            </w:r>
          </w:p>
        </w:tc>
      </w:tr>
      <w:tr w:rsidR="00371707" w:rsidRPr="00E26601" w14:paraId="00A7C5BF" w14:textId="77777777">
        <w:trPr>
          <w:jc w:val="center"/>
        </w:trPr>
        <w:tc>
          <w:tcPr>
            <w:tcW w:w="1696" w:type="dxa"/>
          </w:tcPr>
          <w:p w14:paraId="47EB46BE" w14:textId="77777777" w:rsidR="00371707" w:rsidRPr="00E26601" w:rsidRDefault="00371707">
            <w:pPr>
              <w:jc w:val="center"/>
              <w:rPr>
                <w:rFonts w:ascii="Arial" w:hAnsi="Arial" w:cs="Arial"/>
                <w:sz w:val="24"/>
                <w:szCs w:val="24"/>
              </w:rPr>
            </w:pPr>
            <w:r w:rsidRPr="00E26601">
              <w:rPr>
                <w:rFonts w:ascii="Arial" w:hAnsi="Arial" w:cs="Arial"/>
                <w:sz w:val="24"/>
                <w:szCs w:val="24"/>
              </w:rPr>
              <w:t>2012/2013</w:t>
            </w:r>
          </w:p>
        </w:tc>
        <w:tc>
          <w:tcPr>
            <w:tcW w:w="3261" w:type="dxa"/>
          </w:tcPr>
          <w:p w14:paraId="2805C6C9" w14:textId="77777777" w:rsidR="00371707" w:rsidRPr="00E26601" w:rsidRDefault="00371707">
            <w:pPr>
              <w:jc w:val="center"/>
              <w:rPr>
                <w:rFonts w:ascii="Arial" w:hAnsi="Arial" w:cs="Arial"/>
                <w:sz w:val="24"/>
                <w:szCs w:val="24"/>
              </w:rPr>
            </w:pPr>
            <w:r w:rsidRPr="00E26601">
              <w:rPr>
                <w:rFonts w:ascii="Arial" w:hAnsi="Arial" w:cs="Arial"/>
                <w:sz w:val="24"/>
                <w:szCs w:val="24"/>
              </w:rPr>
              <w:t>1.2</w:t>
            </w:r>
          </w:p>
        </w:tc>
      </w:tr>
      <w:tr w:rsidR="00371707" w:rsidRPr="00E26601" w14:paraId="6B622FBC" w14:textId="77777777">
        <w:trPr>
          <w:jc w:val="center"/>
        </w:trPr>
        <w:tc>
          <w:tcPr>
            <w:tcW w:w="1696" w:type="dxa"/>
          </w:tcPr>
          <w:p w14:paraId="3F59D0C2" w14:textId="77777777" w:rsidR="00371707" w:rsidRPr="00E26601" w:rsidRDefault="00371707">
            <w:pPr>
              <w:jc w:val="center"/>
              <w:rPr>
                <w:rFonts w:ascii="Arial" w:hAnsi="Arial" w:cs="Arial"/>
                <w:sz w:val="24"/>
                <w:szCs w:val="24"/>
              </w:rPr>
            </w:pPr>
            <w:r w:rsidRPr="00E26601">
              <w:rPr>
                <w:rFonts w:ascii="Arial" w:hAnsi="Arial" w:cs="Arial"/>
                <w:sz w:val="24"/>
                <w:szCs w:val="24"/>
              </w:rPr>
              <w:t>2011/2012</w:t>
            </w:r>
          </w:p>
        </w:tc>
        <w:tc>
          <w:tcPr>
            <w:tcW w:w="3261" w:type="dxa"/>
          </w:tcPr>
          <w:p w14:paraId="73AA67EF" w14:textId="77777777" w:rsidR="00371707" w:rsidRPr="00E26601" w:rsidRDefault="00371707">
            <w:pPr>
              <w:jc w:val="center"/>
              <w:rPr>
                <w:rFonts w:ascii="Arial" w:hAnsi="Arial" w:cs="Arial"/>
                <w:sz w:val="24"/>
                <w:szCs w:val="24"/>
              </w:rPr>
            </w:pPr>
            <w:r w:rsidRPr="00E26601">
              <w:rPr>
                <w:rFonts w:ascii="Arial" w:hAnsi="Arial" w:cs="Arial"/>
                <w:sz w:val="24"/>
                <w:szCs w:val="24"/>
              </w:rPr>
              <w:t>1.0</w:t>
            </w:r>
          </w:p>
        </w:tc>
      </w:tr>
      <w:tr w:rsidR="00371707" w:rsidRPr="00E26601" w14:paraId="4D28C83E" w14:textId="77777777">
        <w:trPr>
          <w:jc w:val="center"/>
        </w:trPr>
        <w:tc>
          <w:tcPr>
            <w:tcW w:w="1696" w:type="dxa"/>
          </w:tcPr>
          <w:p w14:paraId="30CE3F80" w14:textId="77777777" w:rsidR="00371707" w:rsidRPr="00E26601" w:rsidRDefault="00371707">
            <w:pPr>
              <w:jc w:val="center"/>
              <w:rPr>
                <w:rFonts w:ascii="Arial" w:hAnsi="Arial" w:cs="Arial"/>
                <w:sz w:val="24"/>
                <w:szCs w:val="24"/>
              </w:rPr>
            </w:pPr>
            <w:r w:rsidRPr="00E26601">
              <w:rPr>
                <w:rFonts w:ascii="Arial" w:hAnsi="Arial" w:cs="Arial"/>
                <w:sz w:val="24"/>
                <w:szCs w:val="24"/>
              </w:rPr>
              <w:t>2010/2011</w:t>
            </w:r>
          </w:p>
        </w:tc>
        <w:tc>
          <w:tcPr>
            <w:tcW w:w="3261" w:type="dxa"/>
          </w:tcPr>
          <w:p w14:paraId="7366E33E" w14:textId="77777777" w:rsidR="00371707" w:rsidRPr="00E26601" w:rsidRDefault="00371707">
            <w:pPr>
              <w:jc w:val="center"/>
              <w:rPr>
                <w:rFonts w:ascii="Arial" w:hAnsi="Arial" w:cs="Arial"/>
                <w:sz w:val="24"/>
                <w:szCs w:val="24"/>
              </w:rPr>
            </w:pPr>
            <w:r w:rsidRPr="00E26601">
              <w:rPr>
                <w:rFonts w:ascii="Arial" w:hAnsi="Arial" w:cs="Arial"/>
                <w:sz w:val="24"/>
                <w:szCs w:val="24"/>
              </w:rPr>
              <w:t>1.2</w:t>
            </w:r>
          </w:p>
        </w:tc>
      </w:tr>
      <w:tr w:rsidR="00371707" w:rsidRPr="00E26601" w14:paraId="0F1C69A9" w14:textId="77777777">
        <w:trPr>
          <w:jc w:val="center"/>
        </w:trPr>
        <w:tc>
          <w:tcPr>
            <w:tcW w:w="1696" w:type="dxa"/>
          </w:tcPr>
          <w:p w14:paraId="3096E324" w14:textId="77777777" w:rsidR="00371707" w:rsidRPr="00E26601" w:rsidRDefault="00371707">
            <w:pPr>
              <w:jc w:val="center"/>
              <w:rPr>
                <w:rFonts w:ascii="Arial" w:hAnsi="Arial" w:cs="Arial"/>
                <w:sz w:val="24"/>
                <w:szCs w:val="24"/>
              </w:rPr>
            </w:pPr>
            <w:r w:rsidRPr="00E26601">
              <w:rPr>
                <w:rFonts w:ascii="Arial" w:hAnsi="Arial" w:cs="Arial"/>
                <w:sz w:val="24"/>
                <w:szCs w:val="24"/>
              </w:rPr>
              <w:t>2009/2010</w:t>
            </w:r>
          </w:p>
        </w:tc>
        <w:tc>
          <w:tcPr>
            <w:tcW w:w="3261" w:type="dxa"/>
          </w:tcPr>
          <w:p w14:paraId="2794B625" w14:textId="77777777" w:rsidR="00371707" w:rsidRPr="00E26601" w:rsidRDefault="00371707">
            <w:pPr>
              <w:jc w:val="center"/>
              <w:rPr>
                <w:rFonts w:ascii="Arial" w:hAnsi="Arial" w:cs="Arial"/>
                <w:sz w:val="24"/>
                <w:szCs w:val="24"/>
              </w:rPr>
            </w:pPr>
            <w:r w:rsidRPr="00E26601">
              <w:rPr>
                <w:rFonts w:ascii="Arial" w:hAnsi="Arial" w:cs="Arial"/>
                <w:sz w:val="24"/>
                <w:szCs w:val="24"/>
              </w:rPr>
              <w:t>1.0</w:t>
            </w:r>
          </w:p>
        </w:tc>
      </w:tr>
    </w:tbl>
    <w:p w14:paraId="500E1F0F" w14:textId="77777777" w:rsidR="00371707" w:rsidRPr="00B20841" w:rsidRDefault="00371707" w:rsidP="00371707">
      <w:pPr>
        <w:rPr>
          <w:rFonts w:ascii="Arial" w:hAnsi="Arial" w:cs="Arial"/>
          <w:i/>
          <w:iCs/>
          <w:sz w:val="18"/>
          <w:szCs w:val="18"/>
        </w:rPr>
      </w:pPr>
      <w:r w:rsidRPr="00B20841">
        <w:rPr>
          <w:rFonts w:ascii="Arial" w:hAnsi="Arial" w:cs="Arial"/>
          <w:i/>
          <w:iCs/>
          <w:sz w:val="18"/>
          <w:szCs w:val="18"/>
        </w:rPr>
        <w:t>Source: NG ESO’s Winter Review and Consultation reports and National Grid ESO Power Response Demand Side Flexibility Report 2019.</w:t>
      </w:r>
    </w:p>
    <w:p w14:paraId="48CA51CC" w14:textId="77777777" w:rsidR="00371707" w:rsidRPr="00E26601" w:rsidRDefault="00371707" w:rsidP="00371707">
      <w:pPr>
        <w:rPr>
          <w:rFonts w:ascii="Arial" w:hAnsi="Arial" w:cs="Arial"/>
          <w:sz w:val="24"/>
          <w:szCs w:val="24"/>
        </w:rPr>
      </w:pPr>
    </w:p>
    <w:p w14:paraId="14B0E6AA" w14:textId="77777777" w:rsidR="00371707" w:rsidRDefault="00371707" w:rsidP="00371707">
      <w:pPr>
        <w:rPr>
          <w:rFonts w:ascii="Arial" w:hAnsi="Arial" w:cs="Arial"/>
          <w:sz w:val="24"/>
          <w:szCs w:val="24"/>
        </w:rPr>
      </w:pPr>
      <w:r>
        <w:rPr>
          <w:rFonts w:ascii="Arial" w:hAnsi="Arial" w:cs="Arial"/>
          <w:sz w:val="24"/>
          <w:szCs w:val="24"/>
        </w:rPr>
        <w:t xml:space="preserve">Though the uptake of volume between 2015 and 2020 is likely due to gas-reciprocating engines, more ‘traditional’ DSR has been above 1GW. This capacity is not insignificant. One of the reasons for this volume was that the value of avoiding </w:t>
      </w:r>
      <w:proofErr w:type="spellStart"/>
      <w:r>
        <w:rPr>
          <w:rFonts w:ascii="Arial" w:hAnsi="Arial" w:cs="Arial"/>
          <w:sz w:val="24"/>
          <w:szCs w:val="24"/>
        </w:rPr>
        <w:t>TNUoS</w:t>
      </w:r>
      <w:proofErr w:type="spellEnd"/>
      <w:r>
        <w:rPr>
          <w:rFonts w:ascii="Arial" w:hAnsi="Arial" w:cs="Arial"/>
          <w:sz w:val="24"/>
          <w:szCs w:val="24"/>
        </w:rPr>
        <w:t xml:space="preserve"> charges was </w:t>
      </w:r>
      <w:proofErr w:type="gramStart"/>
      <w:r>
        <w:rPr>
          <w:rFonts w:ascii="Arial" w:hAnsi="Arial" w:cs="Arial"/>
          <w:sz w:val="24"/>
          <w:szCs w:val="24"/>
        </w:rPr>
        <w:t>understood</w:t>
      </w:r>
      <w:proofErr w:type="gramEnd"/>
      <w:r>
        <w:rPr>
          <w:rFonts w:ascii="Arial" w:hAnsi="Arial" w:cs="Arial"/>
          <w:sz w:val="24"/>
          <w:szCs w:val="24"/>
        </w:rPr>
        <w:t xml:space="preserve"> and triad management was administratively relatively easy compared to other DSR instruments. </w:t>
      </w:r>
    </w:p>
    <w:p w14:paraId="618DBC48" w14:textId="77777777" w:rsidR="00371707" w:rsidRDefault="00371707" w:rsidP="00371707">
      <w:pPr>
        <w:rPr>
          <w:rFonts w:ascii="Arial" w:hAnsi="Arial" w:cs="Arial"/>
          <w:sz w:val="24"/>
          <w:szCs w:val="24"/>
        </w:rPr>
      </w:pPr>
    </w:p>
    <w:p w14:paraId="157CFCA9" w14:textId="77777777" w:rsidR="00371707" w:rsidRDefault="00371707" w:rsidP="00371707">
      <w:pPr>
        <w:rPr>
          <w:rFonts w:ascii="Arial" w:hAnsi="Arial" w:cs="Arial"/>
          <w:sz w:val="24"/>
          <w:szCs w:val="24"/>
        </w:rPr>
      </w:pPr>
      <w:r w:rsidRPr="5AE886E2">
        <w:rPr>
          <w:rFonts w:ascii="Arial" w:hAnsi="Arial" w:cs="Arial"/>
          <w:sz w:val="24"/>
          <w:szCs w:val="24"/>
        </w:rPr>
        <w:t xml:space="preserve">The feedback that the EIUG and MEUC are getting from members who actively participated in Triads is that, although there is still some value left in Triads, the value is unlikely to be high enough the cover the cost of reconfiguring assets in response to triad warnings. Neither do we </w:t>
      </w:r>
      <w:proofErr w:type="gramStart"/>
      <w:r w:rsidRPr="5AE886E2">
        <w:rPr>
          <w:rFonts w:ascii="Arial" w:hAnsi="Arial" w:cs="Arial"/>
          <w:sz w:val="24"/>
          <w:szCs w:val="24"/>
        </w:rPr>
        <w:t>foresee  that</w:t>
      </w:r>
      <w:proofErr w:type="gramEnd"/>
      <w:r w:rsidRPr="5AE886E2">
        <w:rPr>
          <w:rFonts w:ascii="Arial" w:hAnsi="Arial" w:cs="Arial"/>
          <w:sz w:val="24"/>
          <w:szCs w:val="24"/>
        </w:rPr>
        <w:t xml:space="preserve"> those I&amp;C customers will move to NG ESO’s new demand flexibility service (DFS) or any of its other DSR instruments. The 1GW or more of demand reductions is therefore likely to be lost for next and future winters, until Ofgem implements a forward-looking charging incentive. The loss might increase operational risks to NG ESO and ultimately greater costs for consumers, especially as forecasts for next winter predict that the risk of security of electricity supply will be at the same level of this winter. </w:t>
      </w:r>
    </w:p>
    <w:p w14:paraId="76F5A573" w14:textId="77777777" w:rsidR="00371707" w:rsidRDefault="00371707" w:rsidP="00371707">
      <w:pPr>
        <w:rPr>
          <w:rFonts w:ascii="Arial" w:hAnsi="Arial" w:cs="Arial"/>
          <w:sz w:val="24"/>
          <w:szCs w:val="24"/>
        </w:rPr>
      </w:pPr>
    </w:p>
    <w:p w14:paraId="48D9269C" w14:textId="77777777" w:rsidR="00371707" w:rsidRDefault="00371707" w:rsidP="00371707">
      <w:pPr>
        <w:rPr>
          <w:rFonts w:ascii="Arial" w:hAnsi="Arial" w:cs="Arial"/>
          <w:sz w:val="24"/>
          <w:szCs w:val="24"/>
        </w:rPr>
      </w:pPr>
      <w:r>
        <w:rPr>
          <w:rFonts w:ascii="Arial" w:hAnsi="Arial" w:cs="Arial"/>
          <w:sz w:val="24"/>
          <w:szCs w:val="24"/>
        </w:rPr>
        <w:t xml:space="preserve">As mentioned above, we would like to invite NG ESO to discuss with the EIUG and MEUC how best to capture the volume of triads that might be lost and reforming any of its DSR instruments so I&amp;C customers can help NG ESO in its ability to manage system operability ahead of next winter. </w:t>
      </w:r>
    </w:p>
    <w:p w14:paraId="4DAB15FF" w14:textId="77777777" w:rsidR="00371707" w:rsidRDefault="00371707" w:rsidP="00371707">
      <w:pPr>
        <w:rPr>
          <w:rFonts w:ascii="Arial" w:hAnsi="Arial" w:cs="Arial"/>
          <w:sz w:val="24"/>
          <w:szCs w:val="24"/>
        </w:rPr>
      </w:pPr>
    </w:p>
    <w:p w14:paraId="3777C3FC" w14:textId="77777777" w:rsidR="00371707" w:rsidRDefault="00371707" w:rsidP="00371707">
      <w:pPr>
        <w:rPr>
          <w:rFonts w:ascii="Arial" w:hAnsi="Arial" w:cs="Arial"/>
          <w:sz w:val="24"/>
          <w:szCs w:val="24"/>
        </w:rPr>
      </w:pPr>
      <w:r>
        <w:rPr>
          <w:rFonts w:ascii="Arial" w:hAnsi="Arial" w:cs="Arial"/>
          <w:sz w:val="24"/>
          <w:szCs w:val="24"/>
        </w:rPr>
        <w:t>Kind regards,</w:t>
      </w:r>
    </w:p>
    <w:p w14:paraId="08A6670D" w14:textId="77777777" w:rsidR="00371707" w:rsidRDefault="00371707" w:rsidP="00371707">
      <w:pPr>
        <w:rPr>
          <w:rFonts w:ascii="Arial" w:hAnsi="Arial" w:cs="Arial"/>
          <w:sz w:val="24"/>
          <w:szCs w:val="24"/>
        </w:rPr>
      </w:pPr>
      <w:r w:rsidRPr="00BA18FC">
        <w:rPr>
          <w:rFonts w:ascii="Arial" w:hAnsi="Arial" w:cs="Arial"/>
          <w:noProof/>
          <w:sz w:val="24"/>
          <w:szCs w:val="24"/>
        </w:rPr>
        <mc:AlternateContent>
          <mc:Choice Requires="wps">
            <w:drawing>
              <wp:anchor distT="45720" distB="45720" distL="114300" distR="114300" simplePos="0" relativeHeight="251658242" behindDoc="0" locked="0" layoutInCell="1" allowOverlap="1" wp14:anchorId="4FBCE195" wp14:editId="1C26F995">
                <wp:simplePos x="0" y="0"/>
                <wp:positionH relativeFrom="column">
                  <wp:posOffset>3047337</wp:posOffset>
                </wp:positionH>
                <wp:positionV relativeFrom="paragraph">
                  <wp:posOffset>7454</wp:posOffset>
                </wp:positionV>
                <wp:extent cx="2360930" cy="755015"/>
                <wp:effectExtent l="0" t="0" r="0" b="6985"/>
                <wp:wrapSquare wrapText="bothSides"/>
                <wp:docPr id="424210535" name="Text Box 424210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55015"/>
                        </a:xfrm>
                        <a:prstGeom prst="rect">
                          <a:avLst/>
                        </a:prstGeom>
                        <a:solidFill>
                          <a:srgbClr val="FFFFFF"/>
                        </a:solidFill>
                        <a:ln w="9525">
                          <a:noFill/>
                          <a:miter lim="800000"/>
                          <a:headEnd/>
                          <a:tailEnd/>
                        </a:ln>
                      </wps:spPr>
                      <wps:txbx>
                        <w:txbxContent>
                          <w:p w14:paraId="06B42987" w14:textId="77777777" w:rsidR="00371707" w:rsidRDefault="00371707" w:rsidP="00371707">
                            <w:r w:rsidRPr="002D7F88">
                              <w:rPr>
                                <w:rFonts w:ascii="Arial" w:hAnsi="Arial" w:cs="Arial"/>
                                <w:noProof/>
                                <w:lang w:eastAsia="en-GB"/>
                              </w:rPr>
                              <w:drawing>
                                <wp:inline distT="0" distB="0" distL="0" distR="0" wp14:anchorId="35BA0BC6" wp14:editId="3D628358">
                                  <wp:extent cx="2087880" cy="695960"/>
                                  <wp:effectExtent l="0" t="0" r="7620" b="8890"/>
                                  <wp:docPr id="4" name="Picture 4" descr="eddie proffit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ddie proffitt2"/>
                                          <pic:cNvPicPr>
                                            <a:picLocks noChangeAspect="1" noChangeArrowheads="1"/>
                                          </pic:cNvPicPr>
                                        </pic:nvPicPr>
                                        <pic:blipFill>
                                          <a:blip r:embed="rId17">
                                            <a:extLst>
                                              <a:ext uri="{28A0092B-C50C-407E-A947-70E740481C1C}">
                                                <a14:useLocalDpi xmlns:a14="http://schemas.microsoft.com/office/drawing/2010/main" val="0"/>
                                              </a:ext>
                                            </a:extLst>
                                          </a:blip>
                                          <a:srcRect t="15886" r="64844" b="68489"/>
                                          <a:stretch>
                                            <a:fillRect/>
                                          </a:stretch>
                                        </pic:blipFill>
                                        <pic:spPr bwMode="auto">
                                          <a:xfrm>
                                            <a:off x="0" y="0"/>
                                            <a:ext cx="2087880" cy="69596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FBCE195" id="Text Box 424210535" o:spid="_x0000_s1028" type="#_x0000_t202" style="position:absolute;margin-left:239.95pt;margin-top:.6pt;width:185.9pt;height:59.45pt;z-index:25165824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" stroked="f">
                <v:textbox>
                  <w:txbxContent>
                    <w:p w14:paraId="06B42987" w14:textId="77777777" w:rsidR="00371707" w:rsidRDefault="00371707" w:rsidP="00371707">
                      <w:r w:rsidRPr="002D7F88">
                        <w:rPr>
                          <w:rFonts w:ascii="Arial" w:hAnsi="Arial" w:cs="Arial"/>
                          <w:noProof/>
                          <w:lang w:eastAsia="en-GB"/>
                        </w:rPr>
                        <w:drawing>
                          <wp:inline distT="0" distB="0" distL="0" distR="0" wp14:anchorId="35BA0BC6" wp14:editId="3D628358">
                            <wp:extent cx="2087880" cy="695960"/>
                            <wp:effectExtent l="0" t="0" r="7620" b="8890"/>
                            <wp:docPr id="4" name="Picture 4" descr="eddie proffit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ddie proffitt2"/>
                                    <pic:cNvPicPr>
                                      <a:picLocks noChangeAspect="1" noChangeArrowheads="1"/>
                                    </pic:cNvPicPr>
                                  </pic:nvPicPr>
                                  <pic:blipFill>
                                    <a:blip r:embed="rId17">
                                      <a:extLst>
                                        <a:ext uri="{28A0092B-C50C-407E-A947-70E740481C1C}">
                                          <a14:useLocalDpi xmlns:a14="http://schemas.microsoft.com/office/drawing/2010/main" val="0"/>
                                        </a:ext>
                                      </a:extLst>
                                    </a:blip>
                                    <a:srcRect t="15886" r="64844" b="68489"/>
                                    <a:stretch>
                                      <a:fillRect/>
                                    </a:stretch>
                                  </pic:blipFill>
                                  <pic:spPr bwMode="auto">
                                    <a:xfrm>
                                      <a:off x="0" y="0"/>
                                      <a:ext cx="2087880" cy="695960"/>
                                    </a:xfrm>
                                    <a:prstGeom prst="rect">
                                      <a:avLst/>
                                    </a:prstGeom>
                                    <a:noFill/>
                                    <a:ln>
                                      <a:noFill/>
                                    </a:ln>
                                  </pic:spPr>
                                </pic:pic>
                              </a:graphicData>
                            </a:graphic>
                          </wp:inline>
                        </w:drawing>
                      </w:r>
                    </w:p>
                  </w:txbxContent>
                </v:textbox>
                <w10:wrap type="square"/>
              </v:shape>
            </w:pict>
          </mc:Fallback>
        </mc:AlternateContent>
      </w:r>
      <w:r>
        <w:rPr>
          <w:noProof/>
        </w:rPr>
        <w:drawing>
          <wp:inline distT="0" distB="0" distL="0" distR="0" wp14:anchorId="1E41848D" wp14:editId="5286CA45">
            <wp:extent cx="1264285" cy="1113155"/>
            <wp:effectExtent l="0" t="0" r="0" b="0"/>
            <wp:docPr id="2" name="Picture 2" descr="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hiteboar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64285" cy="1113155"/>
                    </a:xfrm>
                    <a:prstGeom prst="rect">
                      <a:avLst/>
                    </a:prstGeom>
                    <a:noFill/>
                    <a:ln>
                      <a:noFill/>
                    </a:ln>
                  </pic:spPr>
                </pic:pic>
              </a:graphicData>
            </a:graphic>
          </wp:inline>
        </w:drawing>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72CC22A7" w14:textId="77777777" w:rsidR="00371707" w:rsidRDefault="00371707" w:rsidP="00371707">
      <w:pPr>
        <w:rPr>
          <w:rFonts w:ascii="Arial" w:hAnsi="Arial" w:cs="Arial"/>
          <w:sz w:val="24"/>
          <w:szCs w:val="24"/>
        </w:rPr>
      </w:pPr>
      <w:r>
        <w:rPr>
          <w:rFonts w:ascii="Arial" w:hAnsi="Arial" w:cs="Arial"/>
          <w:sz w:val="24"/>
          <w:szCs w:val="24"/>
        </w:rPr>
        <w:t>Arjan Geveke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Eddie Proffitt</w:t>
      </w:r>
    </w:p>
    <w:p w14:paraId="50BAD0CF" w14:textId="12BCF868" w:rsidR="005C6BE3" w:rsidRDefault="00371707" w:rsidP="00DC2FC9">
      <w:pPr>
        <w:rPr>
          <w:rFonts w:ascii="Arial" w:hAnsi="Arial" w:cs="Arial"/>
          <w:sz w:val="24"/>
          <w:szCs w:val="24"/>
        </w:rPr>
      </w:pPr>
      <w:r>
        <w:rPr>
          <w:rFonts w:ascii="Arial" w:hAnsi="Arial" w:cs="Arial"/>
          <w:sz w:val="24"/>
          <w:szCs w:val="24"/>
        </w:rPr>
        <w:t>Director – EIUG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Technical Director - MEUC</w:t>
      </w:r>
    </w:p>
    <w:p w14:paraId="385ADD0D" w14:textId="77777777" w:rsidR="005C6BE3" w:rsidRDefault="005C6BE3" w:rsidP="00DC2FC9">
      <w:pPr>
        <w:rPr>
          <w:rFonts w:ascii="Arial" w:hAnsi="Arial" w:cs="Arial"/>
          <w:sz w:val="24"/>
          <w:szCs w:val="24"/>
        </w:rPr>
      </w:pPr>
    </w:p>
    <w:p w14:paraId="5AAC9713" w14:textId="77777777" w:rsidR="005C6BE3" w:rsidRDefault="005C6BE3" w:rsidP="00DC2FC9">
      <w:pPr>
        <w:rPr>
          <w:rFonts w:ascii="Arial" w:hAnsi="Arial" w:cs="Arial"/>
          <w:sz w:val="24"/>
          <w:szCs w:val="24"/>
        </w:rPr>
      </w:pPr>
    </w:p>
    <w:p w14:paraId="3BF5B811" w14:textId="77777777" w:rsidR="005C6BE3" w:rsidRDefault="005C6BE3" w:rsidP="00DC2FC9">
      <w:pPr>
        <w:rPr>
          <w:rFonts w:ascii="Arial" w:hAnsi="Arial" w:cs="Arial"/>
          <w:sz w:val="24"/>
          <w:szCs w:val="24"/>
        </w:rPr>
      </w:pPr>
    </w:p>
    <w:p w14:paraId="7F12FFAA" w14:textId="77777777" w:rsidR="005C6BE3" w:rsidRDefault="005C6BE3" w:rsidP="00DC2FC9">
      <w:pPr>
        <w:rPr>
          <w:rFonts w:ascii="Arial" w:hAnsi="Arial" w:cs="Arial"/>
          <w:sz w:val="24"/>
          <w:szCs w:val="24"/>
        </w:rPr>
      </w:pPr>
    </w:p>
    <w:p w14:paraId="595B35D4" w14:textId="77777777" w:rsidR="00DC2FC9" w:rsidRPr="00105F92" w:rsidRDefault="00DC2FC9" w:rsidP="00DC2FC9">
      <w:pPr>
        <w:rPr>
          <w:rFonts w:ascii="Arial" w:hAnsi="Arial" w:cs="Arial"/>
          <w:sz w:val="24"/>
          <w:szCs w:val="24"/>
        </w:rPr>
      </w:pPr>
    </w:p>
    <w:p w14:paraId="7B54A708" w14:textId="77777777" w:rsidR="00105F92" w:rsidRDefault="00105F92" w:rsidP="00E67D0E">
      <w:pPr>
        <w:rPr>
          <w:rFonts w:ascii="Arial" w:hAnsi="Arial" w:cs="Arial"/>
          <w:sz w:val="24"/>
          <w:szCs w:val="24"/>
        </w:rPr>
      </w:pPr>
    </w:p>
    <w:p w14:paraId="65E454A7" w14:textId="77777777" w:rsidR="00DB1459" w:rsidRPr="003E7AC7" w:rsidRDefault="00DB1459" w:rsidP="00B35A92">
      <w:pPr>
        <w:rPr>
          <w:rFonts w:ascii="Arial" w:hAnsi="Arial" w:cs="Arial"/>
          <w:sz w:val="24"/>
          <w:szCs w:val="24"/>
        </w:rPr>
      </w:pPr>
    </w:p>
    <w:sectPr w:rsidR="00DB1459" w:rsidRPr="003E7AC7">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23012" w14:textId="77777777" w:rsidR="00607C37" w:rsidRDefault="00607C37" w:rsidP="0078318C">
      <w:pPr>
        <w:spacing w:after="0" w:line="240" w:lineRule="auto"/>
      </w:pPr>
      <w:r>
        <w:separator/>
      </w:r>
    </w:p>
  </w:endnote>
  <w:endnote w:type="continuationSeparator" w:id="0">
    <w:p w14:paraId="26F6859F" w14:textId="77777777" w:rsidR="00607C37" w:rsidRDefault="00607C37" w:rsidP="0078318C">
      <w:pPr>
        <w:spacing w:after="0" w:line="240" w:lineRule="auto"/>
      </w:pPr>
      <w:r>
        <w:continuationSeparator/>
      </w:r>
    </w:p>
  </w:endnote>
  <w:endnote w:type="continuationNotice" w:id="1">
    <w:p w14:paraId="38C22FB3" w14:textId="77777777" w:rsidR="00607C37" w:rsidRDefault="00607C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516FC" w14:textId="77777777" w:rsidR="00DE4D43" w:rsidRDefault="00DE4D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6797195"/>
      <w:docPartObj>
        <w:docPartGallery w:val="Page Numbers (Bottom of Page)"/>
        <w:docPartUnique/>
      </w:docPartObj>
    </w:sdtPr>
    <w:sdtEndPr>
      <w:rPr>
        <w:noProof/>
      </w:rPr>
    </w:sdtEndPr>
    <w:sdtContent>
      <w:p w14:paraId="031F9103" w14:textId="53F55979" w:rsidR="002E3D94" w:rsidRDefault="002E3D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87FD11" w14:textId="77777777" w:rsidR="0078318C" w:rsidRDefault="007831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90003" w14:textId="77777777" w:rsidR="00DE4D43" w:rsidRDefault="00DE4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CE0DC" w14:textId="77777777" w:rsidR="00607C37" w:rsidRDefault="00607C37" w:rsidP="0078318C">
      <w:pPr>
        <w:spacing w:after="0" w:line="240" w:lineRule="auto"/>
      </w:pPr>
      <w:r>
        <w:separator/>
      </w:r>
    </w:p>
  </w:footnote>
  <w:footnote w:type="continuationSeparator" w:id="0">
    <w:p w14:paraId="0F7490F0" w14:textId="77777777" w:rsidR="00607C37" w:rsidRDefault="00607C37" w:rsidP="0078318C">
      <w:pPr>
        <w:spacing w:after="0" w:line="240" w:lineRule="auto"/>
      </w:pPr>
      <w:r>
        <w:continuationSeparator/>
      </w:r>
    </w:p>
  </w:footnote>
  <w:footnote w:type="continuationNotice" w:id="1">
    <w:p w14:paraId="54137261" w14:textId="77777777" w:rsidR="00607C37" w:rsidRDefault="00607C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DF8D9" w14:textId="77777777" w:rsidR="00DE4D43" w:rsidRDefault="00DE4D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2ACFD" w14:textId="77777777" w:rsidR="00DE4D43" w:rsidRDefault="00DE4D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951FC" w14:textId="77777777" w:rsidR="00DE4D43" w:rsidRDefault="00DE4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350CA"/>
    <w:multiLevelType w:val="hybridMultilevel"/>
    <w:tmpl w:val="DD6613DA"/>
    <w:lvl w:ilvl="0" w:tplc="ED8A6EE0">
      <w:start w:val="1"/>
      <w:numFmt w:val="decimal"/>
      <w:lvlText w:val="%1."/>
      <w:lvlJc w:val="left"/>
      <w:pPr>
        <w:ind w:left="360" w:hanging="360"/>
      </w:pPr>
      <w:rPr>
        <w:rFonts w:hint="default"/>
        <w:b w:val="0"/>
        <w:b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4E1EF7"/>
    <w:multiLevelType w:val="hybridMultilevel"/>
    <w:tmpl w:val="5F662B14"/>
    <w:lvl w:ilvl="0" w:tplc="08090001">
      <w:start w:val="1"/>
      <w:numFmt w:val="bullet"/>
      <w:lvlText w:val=""/>
      <w:lvlJc w:val="left"/>
      <w:pPr>
        <w:ind w:left="720" w:hanging="360"/>
      </w:pPr>
      <w:rPr>
        <w:rFonts w:ascii="Symbol" w:hAnsi="Symbo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283FFA"/>
    <w:multiLevelType w:val="hybridMultilevel"/>
    <w:tmpl w:val="E5AEDEF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6A02DF"/>
    <w:multiLevelType w:val="hybridMultilevel"/>
    <w:tmpl w:val="ABB82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EEB2BA0"/>
    <w:multiLevelType w:val="hybridMultilevel"/>
    <w:tmpl w:val="364C7548"/>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FC66A00"/>
    <w:multiLevelType w:val="hybridMultilevel"/>
    <w:tmpl w:val="6EF8A91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29127D6"/>
    <w:multiLevelType w:val="hybridMultilevel"/>
    <w:tmpl w:val="AE4A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E95728"/>
    <w:multiLevelType w:val="hybridMultilevel"/>
    <w:tmpl w:val="012E7E5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7E92791"/>
    <w:multiLevelType w:val="hybridMultilevel"/>
    <w:tmpl w:val="8CC8672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A2B0834"/>
    <w:multiLevelType w:val="hybridMultilevel"/>
    <w:tmpl w:val="D0C21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DD65E0F"/>
    <w:multiLevelType w:val="hybridMultilevel"/>
    <w:tmpl w:val="6C7A0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ED3C0B"/>
    <w:multiLevelType w:val="hybridMultilevel"/>
    <w:tmpl w:val="912AA030"/>
    <w:lvl w:ilvl="0" w:tplc="08090001">
      <w:start w:val="1"/>
      <w:numFmt w:val="bullet"/>
      <w:lvlText w:val=""/>
      <w:lvlJc w:val="left"/>
      <w:pPr>
        <w:ind w:left="720" w:hanging="360"/>
      </w:pPr>
      <w:rPr>
        <w:rFonts w:ascii="Symbol" w:hAnsi="Symbo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22A50CC"/>
    <w:multiLevelType w:val="hybridMultilevel"/>
    <w:tmpl w:val="C3CE3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216224"/>
    <w:multiLevelType w:val="hybridMultilevel"/>
    <w:tmpl w:val="FA1A56AC"/>
    <w:lvl w:ilvl="0" w:tplc="2522CCC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561499"/>
    <w:multiLevelType w:val="hybridMultilevel"/>
    <w:tmpl w:val="1DC67AFE"/>
    <w:lvl w:ilvl="0" w:tplc="08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B024A9B"/>
    <w:multiLevelType w:val="hybridMultilevel"/>
    <w:tmpl w:val="D1204330"/>
    <w:lvl w:ilvl="0" w:tplc="6B3C523A">
      <w:start w:val="39"/>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F1054C4"/>
    <w:multiLevelType w:val="hybridMultilevel"/>
    <w:tmpl w:val="0DF499D8"/>
    <w:lvl w:ilvl="0" w:tplc="08090001">
      <w:start w:val="1"/>
      <w:numFmt w:val="bullet"/>
      <w:lvlText w:val=""/>
      <w:lvlJc w:val="left"/>
      <w:pPr>
        <w:ind w:left="720" w:hanging="360"/>
      </w:pPr>
      <w:rPr>
        <w:rFonts w:ascii="Symbol" w:hAnsi="Symbo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0152943">
    <w:abstractNumId w:val="13"/>
  </w:num>
  <w:num w:numId="2" w16cid:durableId="169687588">
    <w:abstractNumId w:val="0"/>
  </w:num>
  <w:num w:numId="3" w16cid:durableId="2020808906">
    <w:abstractNumId w:val="6"/>
  </w:num>
  <w:num w:numId="4" w16cid:durableId="1061100586">
    <w:abstractNumId w:val="15"/>
  </w:num>
  <w:num w:numId="5" w16cid:durableId="1827476606">
    <w:abstractNumId w:val="12"/>
  </w:num>
  <w:num w:numId="6" w16cid:durableId="1840074890">
    <w:abstractNumId w:val="14"/>
  </w:num>
  <w:num w:numId="7" w16cid:durableId="424619315">
    <w:abstractNumId w:val="8"/>
  </w:num>
  <w:num w:numId="8" w16cid:durableId="1260790564">
    <w:abstractNumId w:val="5"/>
  </w:num>
  <w:num w:numId="9" w16cid:durableId="168832868">
    <w:abstractNumId w:val="9"/>
  </w:num>
  <w:num w:numId="10" w16cid:durableId="33120837">
    <w:abstractNumId w:val="10"/>
  </w:num>
  <w:num w:numId="11" w16cid:durableId="1713142459">
    <w:abstractNumId w:val="4"/>
  </w:num>
  <w:num w:numId="12" w16cid:durableId="641427378">
    <w:abstractNumId w:val="2"/>
  </w:num>
  <w:num w:numId="13" w16cid:durableId="1043405229">
    <w:abstractNumId w:val="11"/>
  </w:num>
  <w:num w:numId="14" w16cid:durableId="353652962">
    <w:abstractNumId w:val="1"/>
  </w:num>
  <w:num w:numId="15" w16cid:durableId="720246174">
    <w:abstractNumId w:val="16"/>
  </w:num>
  <w:num w:numId="16" w16cid:durableId="2010594595">
    <w:abstractNumId w:val="3"/>
  </w:num>
  <w:num w:numId="17" w16cid:durableId="1074283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E88"/>
    <w:rsid w:val="00000C05"/>
    <w:rsid w:val="00001FFA"/>
    <w:rsid w:val="0000232F"/>
    <w:rsid w:val="00003C0A"/>
    <w:rsid w:val="00005619"/>
    <w:rsid w:val="00005A76"/>
    <w:rsid w:val="000078BB"/>
    <w:rsid w:val="000078DD"/>
    <w:rsid w:val="00007FB5"/>
    <w:rsid w:val="000101DF"/>
    <w:rsid w:val="00010FCA"/>
    <w:rsid w:val="00011917"/>
    <w:rsid w:val="0001191D"/>
    <w:rsid w:val="00011DC9"/>
    <w:rsid w:val="0001268B"/>
    <w:rsid w:val="00013A09"/>
    <w:rsid w:val="000146EF"/>
    <w:rsid w:val="000148FD"/>
    <w:rsid w:val="00017802"/>
    <w:rsid w:val="00020185"/>
    <w:rsid w:val="000214B9"/>
    <w:rsid w:val="00021888"/>
    <w:rsid w:val="000226B2"/>
    <w:rsid w:val="00023F34"/>
    <w:rsid w:val="000242A3"/>
    <w:rsid w:val="00024F09"/>
    <w:rsid w:val="00027EFA"/>
    <w:rsid w:val="00032AF5"/>
    <w:rsid w:val="000339BC"/>
    <w:rsid w:val="00033C0D"/>
    <w:rsid w:val="000342CF"/>
    <w:rsid w:val="00034C23"/>
    <w:rsid w:val="00035B2A"/>
    <w:rsid w:val="00040CC7"/>
    <w:rsid w:val="00042DCB"/>
    <w:rsid w:val="00043BC4"/>
    <w:rsid w:val="00044199"/>
    <w:rsid w:val="00046654"/>
    <w:rsid w:val="0004739D"/>
    <w:rsid w:val="00050DED"/>
    <w:rsid w:val="000519E8"/>
    <w:rsid w:val="000534EE"/>
    <w:rsid w:val="000546A2"/>
    <w:rsid w:val="00054B13"/>
    <w:rsid w:val="000554B5"/>
    <w:rsid w:val="00055CDA"/>
    <w:rsid w:val="00056446"/>
    <w:rsid w:val="0006003C"/>
    <w:rsid w:val="00060992"/>
    <w:rsid w:val="000610C6"/>
    <w:rsid w:val="00061223"/>
    <w:rsid w:val="000618F2"/>
    <w:rsid w:val="00062033"/>
    <w:rsid w:val="00063B31"/>
    <w:rsid w:val="00063C07"/>
    <w:rsid w:val="000654AC"/>
    <w:rsid w:val="00066C98"/>
    <w:rsid w:val="00070C67"/>
    <w:rsid w:val="00071340"/>
    <w:rsid w:val="0007327A"/>
    <w:rsid w:val="00075CA4"/>
    <w:rsid w:val="00076C55"/>
    <w:rsid w:val="000774E0"/>
    <w:rsid w:val="0008016A"/>
    <w:rsid w:val="00080D6F"/>
    <w:rsid w:val="0008263D"/>
    <w:rsid w:val="00082872"/>
    <w:rsid w:val="00082BA9"/>
    <w:rsid w:val="000837A3"/>
    <w:rsid w:val="000838C7"/>
    <w:rsid w:val="00086826"/>
    <w:rsid w:val="000904B1"/>
    <w:rsid w:val="0009118C"/>
    <w:rsid w:val="00091DE4"/>
    <w:rsid w:val="000933DA"/>
    <w:rsid w:val="000934AD"/>
    <w:rsid w:val="00093ADC"/>
    <w:rsid w:val="00094E24"/>
    <w:rsid w:val="000956D8"/>
    <w:rsid w:val="000970C5"/>
    <w:rsid w:val="000A4541"/>
    <w:rsid w:val="000A5A5D"/>
    <w:rsid w:val="000A66BD"/>
    <w:rsid w:val="000A6AF1"/>
    <w:rsid w:val="000A7A93"/>
    <w:rsid w:val="000B0671"/>
    <w:rsid w:val="000B0F79"/>
    <w:rsid w:val="000B1FDF"/>
    <w:rsid w:val="000B680D"/>
    <w:rsid w:val="000B685C"/>
    <w:rsid w:val="000B73A4"/>
    <w:rsid w:val="000C0554"/>
    <w:rsid w:val="000C12C3"/>
    <w:rsid w:val="000C2B9D"/>
    <w:rsid w:val="000C5E08"/>
    <w:rsid w:val="000C652A"/>
    <w:rsid w:val="000C72B0"/>
    <w:rsid w:val="000C7326"/>
    <w:rsid w:val="000C7B39"/>
    <w:rsid w:val="000D1F3B"/>
    <w:rsid w:val="000D290D"/>
    <w:rsid w:val="000D4CCE"/>
    <w:rsid w:val="000D5BC2"/>
    <w:rsid w:val="000D75A6"/>
    <w:rsid w:val="000D7F17"/>
    <w:rsid w:val="000E1AE3"/>
    <w:rsid w:val="000E24A3"/>
    <w:rsid w:val="000E2E78"/>
    <w:rsid w:val="000E3B4B"/>
    <w:rsid w:val="000E3D25"/>
    <w:rsid w:val="000E5146"/>
    <w:rsid w:val="000E5DE9"/>
    <w:rsid w:val="000E7486"/>
    <w:rsid w:val="000F1CFE"/>
    <w:rsid w:val="000F1DBB"/>
    <w:rsid w:val="000F3177"/>
    <w:rsid w:val="000F31FC"/>
    <w:rsid w:val="000F323E"/>
    <w:rsid w:val="000F473F"/>
    <w:rsid w:val="000F70DE"/>
    <w:rsid w:val="000F7226"/>
    <w:rsid w:val="00100639"/>
    <w:rsid w:val="00100E10"/>
    <w:rsid w:val="00102543"/>
    <w:rsid w:val="00104D14"/>
    <w:rsid w:val="001050D1"/>
    <w:rsid w:val="00105F92"/>
    <w:rsid w:val="00106084"/>
    <w:rsid w:val="00106699"/>
    <w:rsid w:val="00106BB5"/>
    <w:rsid w:val="00107532"/>
    <w:rsid w:val="001076AC"/>
    <w:rsid w:val="00112B4A"/>
    <w:rsid w:val="00113ED3"/>
    <w:rsid w:val="00115285"/>
    <w:rsid w:val="00116229"/>
    <w:rsid w:val="0011735B"/>
    <w:rsid w:val="00117FD1"/>
    <w:rsid w:val="00120A7E"/>
    <w:rsid w:val="00121081"/>
    <w:rsid w:val="00124A22"/>
    <w:rsid w:val="001266BE"/>
    <w:rsid w:val="0013221E"/>
    <w:rsid w:val="00134499"/>
    <w:rsid w:val="00135FE8"/>
    <w:rsid w:val="00140440"/>
    <w:rsid w:val="001405B4"/>
    <w:rsid w:val="00141FDD"/>
    <w:rsid w:val="00143A15"/>
    <w:rsid w:val="00143B82"/>
    <w:rsid w:val="00143D2D"/>
    <w:rsid w:val="001462A5"/>
    <w:rsid w:val="001462E9"/>
    <w:rsid w:val="00146F86"/>
    <w:rsid w:val="001475A9"/>
    <w:rsid w:val="00147C60"/>
    <w:rsid w:val="00147C84"/>
    <w:rsid w:val="001501DF"/>
    <w:rsid w:val="001532AF"/>
    <w:rsid w:val="001546E1"/>
    <w:rsid w:val="00156748"/>
    <w:rsid w:val="00160EED"/>
    <w:rsid w:val="001614B9"/>
    <w:rsid w:val="001619FD"/>
    <w:rsid w:val="00162B1A"/>
    <w:rsid w:val="00162E2A"/>
    <w:rsid w:val="00164C56"/>
    <w:rsid w:val="00165407"/>
    <w:rsid w:val="00165511"/>
    <w:rsid w:val="00165D9C"/>
    <w:rsid w:val="00170E2B"/>
    <w:rsid w:val="0017283E"/>
    <w:rsid w:val="00173B72"/>
    <w:rsid w:val="00173F03"/>
    <w:rsid w:val="00174DE7"/>
    <w:rsid w:val="00176AD4"/>
    <w:rsid w:val="001772D6"/>
    <w:rsid w:val="001832BA"/>
    <w:rsid w:val="00184FB9"/>
    <w:rsid w:val="00185942"/>
    <w:rsid w:val="00185C70"/>
    <w:rsid w:val="0018680B"/>
    <w:rsid w:val="001903C6"/>
    <w:rsid w:val="00192BA0"/>
    <w:rsid w:val="00197649"/>
    <w:rsid w:val="00197B8E"/>
    <w:rsid w:val="001A15EA"/>
    <w:rsid w:val="001A363C"/>
    <w:rsid w:val="001A4164"/>
    <w:rsid w:val="001A46BF"/>
    <w:rsid w:val="001A56F8"/>
    <w:rsid w:val="001A590F"/>
    <w:rsid w:val="001A686D"/>
    <w:rsid w:val="001A7D7E"/>
    <w:rsid w:val="001B040B"/>
    <w:rsid w:val="001B07FA"/>
    <w:rsid w:val="001B2098"/>
    <w:rsid w:val="001B588E"/>
    <w:rsid w:val="001B6DFD"/>
    <w:rsid w:val="001B74BF"/>
    <w:rsid w:val="001B76DE"/>
    <w:rsid w:val="001C0484"/>
    <w:rsid w:val="001C11AB"/>
    <w:rsid w:val="001C1560"/>
    <w:rsid w:val="001C21AB"/>
    <w:rsid w:val="001C27FB"/>
    <w:rsid w:val="001C3C79"/>
    <w:rsid w:val="001C3E75"/>
    <w:rsid w:val="001C42B3"/>
    <w:rsid w:val="001C4552"/>
    <w:rsid w:val="001C4DA4"/>
    <w:rsid w:val="001C5B23"/>
    <w:rsid w:val="001C5CC9"/>
    <w:rsid w:val="001D071E"/>
    <w:rsid w:val="001D3473"/>
    <w:rsid w:val="001D42E0"/>
    <w:rsid w:val="001D5903"/>
    <w:rsid w:val="001D654C"/>
    <w:rsid w:val="001D7245"/>
    <w:rsid w:val="001D769F"/>
    <w:rsid w:val="001E016C"/>
    <w:rsid w:val="001E2047"/>
    <w:rsid w:val="001E2482"/>
    <w:rsid w:val="001E3131"/>
    <w:rsid w:val="001E5D49"/>
    <w:rsid w:val="001F1562"/>
    <w:rsid w:val="001F2EA8"/>
    <w:rsid w:val="001F5186"/>
    <w:rsid w:val="001F61B3"/>
    <w:rsid w:val="001F6F48"/>
    <w:rsid w:val="002001F4"/>
    <w:rsid w:val="002004DD"/>
    <w:rsid w:val="0020083C"/>
    <w:rsid w:val="00201B7B"/>
    <w:rsid w:val="00202640"/>
    <w:rsid w:val="0020490A"/>
    <w:rsid w:val="00204BFE"/>
    <w:rsid w:val="00205A22"/>
    <w:rsid w:val="00205DCD"/>
    <w:rsid w:val="00206DB8"/>
    <w:rsid w:val="00207A30"/>
    <w:rsid w:val="00210657"/>
    <w:rsid w:val="00211A97"/>
    <w:rsid w:val="00211B79"/>
    <w:rsid w:val="0021329F"/>
    <w:rsid w:val="00220895"/>
    <w:rsid w:val="0022161E"/>
    <w:rsid w:val="00221794"/>
    <w:rsid w:val="00221B28"/>
    <w:rsid w:val="00221F71"/>
    <w:rsid w:val="00222039"/>
    <w:rsid w:val="002276FD"/>
    <w:rsid w:val="00227F18"/>
    <w:rsid w:val="0023211E"/>
    <w:rsid w:val="00232386"/>
    <w:rsid w:val="00233017"/>
    <w:rsid w:val="002345CC"/>
    <w:rsid w:val="00236191"/>
    <w:rsid w:val="0023657F"/>
    <w:rsid w:val="0023712E"/>
    <w:rsid w:val="00237791"/>
    <w:rsid w:val="002410A2"/>
    <w:rsid w:val="00241B53"/>
    <w:rsid w:val="002429BB"/>
    <w:rsid w:val="00244EAC"/>
    <w:rsid w:val="002458F9"/>
    <w:rsid w:val="002500F8"/>
    <w:rsid w:val="0025040E"/>
    <w:rsid w:val="0025103B"/>
    <w:rsid w:val="00253143"/>
    <w:rsid w:val="0025422A"/>
    <w:rsid w:val="002552C9"/>
    <w:rsid w:val="0025775C"/>
    <w:rsid w:val="00261F58"/>
    <w:rsid w:val="00264C16"/>
    <w:rsid w:val="00267015"/>
    <w:rsid w:val="00270406"/>
    <w:rsid w:val="002705CF"/>
    <w:rsid w:val="002706AB"/>
    <w:rsid w:val="00272188"/>
    <w:rsid w:val="00275647"/>
    <w:rsid w:val="0027768C"/>
    <w:rsid w:val="00280C1B"/>
    <w:rsid w:val="002811D3"/>
    <w:rsid w:val="00283208"/>
    <w:rsid w:val="00283E88"/>
    <w:rsid w:val="00284027"/>
    <w:rsid w:val="00284F05"/>
    <w:rsid w:val="00285B40"/>
    <w:rsid w:val="00285EF2"/>
    <w:rsid w:val="002873C0"/>
    <w:rsid w:val="002928A5"/>
    <w:rsid w:val="00292ECB"/>
    <w:rsid w:val="00293977"/>
    <w:rsid w:val="00294F26"/>
    <w:rsid w:val="0029514F"/>
    <w:rsid w:val="00296669"/>
    <w:rsid w:val="00296D35"/>
    <w:rsid w:val="00297D77"/>
    <w:rsid w:val="002A0CFB"/>
    <w:rsid w:val="002A28B5"/>
    <w:rsid w:val="002A2DCC"/>
    <w:rsid w:val="002A3128"/>
    <w:rsid w:val="002A4F92"/>
    <w:rsid w:val="002A6822"/>
    <w:rsid w:val="002A6B25"/>
    <w:rsid w:val="002A6CAB"/>
    <w:rsid w:val="002A7DEF"/>
    <w:rsid w:val="002B0EEC"/>
    <w:rsid w:val="002B1334"/>
    <w:rsid w:val="002B19E5"/>
    <w:rsid w:val="002B3F52"/>
    <w:rsid w:val="002B5D2D"/>
    <w:rsid w:val="002C0B8F"/>
    <w:rsid w:val="002C120F"/>
    <w:rsid w:val="002C14EA"/>
    <w:rsid w:val="002C1EE5"/>
    <w:rsid w:val="002C235A"/>
    <w:rsid w:val="002C2E4E"/>
    <w:rsid w:val="002C52DE"/>
    <w:rsid w:val="002C5AD9"/>
    <w:rsid w:val="002C723D"/>
    <w:rsid w:val="002C7C30"/>
    <w:rsid w:val="002D038B"/>
    <w:rsid w:val="002D2721"/>
    <w:rsid w:val="002D2C37"/>
    <w:rsid w:val="002D5611"/>
    <w:rsid w:val="002D5EB2"/>
    <w:rsid w:val="002D6003"/>
    <w:rsid w:val="002D6AB6"/>
    <w:rsid w:val="002E02CA"/>
    <w:rsid w:val="002E12FC"/>
    <w:rsid w:val="002E2888"/>
    <w:rsid w:val="002E2903"/>
    <w:rsid w:val="002E3883"/>
    <w:rsid w:val="002E3D94"/>
    <w:rsid w:val="002E3FB3"/>
    <w:rsid w:val="002E4779"/>
    <w:rsid w:val="002E57A3"/>
    <w:rsid w:val="002E5831"/>
    <w:rsid w:val="002E664F"/>
    <w:rsid w:val="002E6E34"/>
    <w:rsid w:val="002F0DE4"/>
    <w:rsid w:val="002F156A"/>
    <w:rsid w:val="002F17B6"/>
    <w:rsid w:val="002F3901"/>
    <w:rsid w:val="002F43B2"/>
    <w:rsid w:val="002F4EC2"/>
    <w:rsid w:val="002F7069"/>
    <w:rsid w:val="00300260"/>
    <w:rsid w:val="00300267"/>
    <w:rsid w:val="00300668"/>
    <w:rsid w:val="00301077"/>
    <w:rsid w:val="003015B9"/>
    <w:rsid w:val="00302B70"/>
    <w:rsid w:val="003030C5"/>
    <w:rsid w:val="00303575"/>
    <w:rsid w:val="003040D1"/>
    <w:rsid w:val="0030451F"/>
    <w:rsid w:val="00304AFB"/>
    <w:rsid w:val="0030551E"/>
    <w:rsid w:val="00306012"/>
    <w:rsid w:val="003066BA"/>
    <w:rsid w:val="00306AFA"/>
    <w:rsid w:val="00307203"/>
    <w:rsid w:val="00311950"/>
    <w:rsid w:val="00314B4F"/>
    <w:rsid w:val="0031535D"/>
    <w:rsid w:val="00316DE5"/>
    <w:rsid w:val="00317246"/>
    <w:rsid w:val="00321746"/>
    <w:rsid w:val="00322732"/>
    <w:rsid w:val="00322D4B"/>
    <w:rsid w:val="00323D1B"/>
    <w:rsid w:val="00324755"/>
    <w:rsid w:val="00324B02"/>
    <w:rsid w:val="00325896"/>
    <w:rsid w:val="00326DEC"/>
    <w:rsid w:val="003277EB"/>
    <w:rsid w:val="00327EDF"/>
    <w:rsid w:val="00330F11"/>
    <w:rsid w:val="003316E2"/>
    <w:rsid w:val="00331B5F"/>
    <w:rsid w:val="003321C1"/>
    <w:rsid w:val="00332450"/>
    <w:rsid w:val="00333321"/>
    <w:rsid w:val="003334FB"/>
    <w:rsid w:val="00333729"/>
    <w:rsid w:val="00334B79"/>
    <w:rsid w:val="00335145"/>
    <w:rsid w:val="003374F6"/>
    <w:rsid w:val="00341336"/>
    <w:rsid w:val="0034163A"/>
    <w:rsid w:val="0034190A"/>
    <w:rsid w:val="00343831"/>
    <w:rsid w:val="00344376"/>
    <w:rsid w:val="00345A86"/>
    <w:rsid w:val="00346579"/>
    <w:rsid w:val="00350CC5"/>
    <w:rsid w:val="0035241B"/>
    <w:rsid w:val="00353085"/>
    <w:rsid w:val="0035368C"/>
    <w:rsid w:val="00354FB3"/>
    <w:rsid w:val="00361201"/>
    <w:rsid w:val="003613C2"/>
    <w:rsid w:val="00361B92"/>
    <w:rsid w:val="0036326A"/>
    <w:rsid w:val="003643F7"/>
    <w:rsid w:val="003659BB"/>
    <w:rsid w:val="00367036"/>
    <w:rsid w:val="00367CD4"/>
    <w:rsid w:val="00370B85"/>
    <w:rsid w:val="00371707"/>
    <w:rsid w:val="00372EFB"/>
    <w:rsid w:val="00373818"/>
    <w:rsid w:val="00374797"/>
    <w:rsid w:val="003747F6"/>
    <w:rsid w:val="00374902"/>
    <w:rsid w:val="00377833"/>
    <w:rsid w:val="00377B4D"/>
    <w:rsid w:val="00380337"/>
    <w:rsid w:val="00381F31"/>
    <w:rsid w:val="00386192"/>
    <w:rsid w:val="00387B93"/>
    <w:rsid w:val="00390BC6"/>
    <w:rsid w:val="003938EB"/>
    <w:rsid w:val="00393945"/>
    <w:rsid w:val="00393AAF"/>
    <w:rsid w:val="00393BC3"/>
    <w:rsid w:val="003942E6"/>
    <w:rsid w:val="00395144"/>
    <w:rsid w:val="003970D8"/>
    <w:rsid w:val="00397179"/>
    <w:rsid w:val="00397D73"/>
    <w:rsid w:val="003A245D"/>
    <w:rsid w:val="003A3C60"/>
    <w:rsid w:val="003A4490"/>
    <w:rsid w:val="003A4C4D"/>
    <w:rsid w:val="003A58D5"/>
    <w:rsid w:val="003A5E7B"/>
    <w:rsid w:val="003B0D14"/>
    <w:rsid w:val="003B2532"/>
    <w:rsid w:val="003B303E"/>
    <w:rsid w:val="003B324C"/>
    <w:rsid w:val="003B7670"/>
    <w:rsid w:val="003B77B9"/>
    <w:rsid w:val="003B7EA7"/>
    <w:rsid w:val="003B7F09"/>
    <w:rsid w:val="003C0203"/>
    <w:rsid w:val="003C0517"/>
    <w:rsid w:val="003C1702"/>
    <w:rsid w:val="003C1B7C"/>
    <w:rsid w:val="003C729D"/>
    <w:rsid w:val="003C752A"/>
    <w:rsid w:val="003D2E09"/>
    <w:rsid w:val="003D3DD8"/>
    <w:rsid w:val="003D44E8"/>
    <w:rsid w:val="003D4A3E"/>
    <w:rsid w:val="003D4A44"/>
    <w:rsid w:val="003D4DD0"/>
    <w:rsid w:val="003D6E7F"/>
    <w:rsid w:val="003E084F"/>
    <w:rsid w:val="003E1059"/>
    <w:rsid w:val="003E107F"/>
    <w:rsid w:val="003E16AB"/>
    <w:rsid w:val="003E24E6"/>
    <w:rsid w:val="003E5616"/>
    <w:rsid w:val="003E7757"/>
    <w:rsid w:val="003E7AC7"/>
    <w:rsid w:val="003E7CC9"/>
    <w:rsid w:val="003F125E"/>
    <w:rsid w:val="003F3ECE"/>
    <w:rsid w:val="003F5DCA"/>
    <w:rsid w:val="003F6C97"/>
    <w:rsid w:val="003F780A"/>
    <w:rsid w:val="00401799"/>
    <w:rsid w:val="00401B7E"/>
    <w:rsid w:val="00402595"/>
    <w:rsid w:val="00403094"/>
    <w:rsid w:val="004033EC"/>
    <w:rsid w:val="00405E60"/>
    <w:rsid w:val="00411B37"/>
    <w:rsid w:val="00411C26"/>
    <w:rsid w:val="00413A13"/>
    <w:rsid w:val="00414671"/>
    <w:rsid w:val="004177EF"/>
    <w:rsid w:val="0042073B"/>
    <w:rsid w:val="00421095"/>
    <w:rsid w:val="004228F4"/>
    <w:rsid w:val="00422E38"/>
    <w:rsid w:val="004231D0"/>
    <w:rsid w:val="00423C20"/>
    <w:rsid w:val="00424C48"/>
    <w:rsid w:val="00426B1B"/>
    <w:rsid w:val="00430E96"/>
    <w:rsid w:val="0043234F"/>
    <w:rsid w:val="004325EF"/>
    <w:rsid w:val="00432676"/>
    <w:rsid w:val="004328FB"/>
    <w:rsid w:val="004329F8"/>
    <w:rsid w:val="00432D15"/>
    <w:rsid w:val="00432E26"/>
    <w:rsid w:val="00433759"/>
    <w:rsid w:val="00435473"/>
    <w:rsid w:val="00435D26"/>
    <w:rsid w:val="00437559"/>
    <w:rsid w:val="00440B83"/>
    <w:rsid w:val="00442179"/>
    <w:rsid w:val="004425C7"/>
    <w:rsid w:val="00442AAC"/>
    <w:rsid w:val="00444FA6"/>
    <w:rsid w:val="00444FEF"/>
    <w:rsid w:val="004452D2"/>
    <w:rsid w:val="00446B5E"/>
    <w:rsid w:val="0045076A"/>
    <w:rsid w:val="004522A0"/>
    <w:rsid w:val="00453B7C"/>
    <w:rsid w:val="00453B7D"/>
    <w:rsid w:val="004568F7"/>
    <w:rsid w:val="00457594"/>
    <w:rsid w:val="00457C60"/>
    <w:rsid w:val="0046165C"/>
    <w:rsid w:val="00462112"/>
    <w:rsid w:val="004625EC"/>
    <w:rsid w:val="00464105"/>
    <w:rsid w:val="004704DA"/>
    <w:rsid w:val="00470B7C"/>
    <w:rsid w:val="00471590"/>
    <w:rsid w:val="0047406E"/>
    <w:rsid w:val="00477574"/>
    <w:rsid w:val="00477A0D"/>
    <w:rsid w:val="004812D5"/>
    <w:rsid w:val="004837D1"/>
    <w:rsid w:val="004844EB"/>
    <w:rsid w:val="00484C4B"/>
    <w:rsid w:val="004916C4"/>
    <w:rsid w:val="0049312F"/>
    <w:rsid w:val="004933B5"/>
    <w:rsid w:val="004A06DC"/>
    <w:rsid w:val="004A0D1E"/>
    <w:rsid w:val="004A0E63"/>
    <w:rsid w:val="004A20AB"/>
    <w:rsid w:val="004A2E01"/>
    <w:rsid w:val="004A2F3A"/>
    <w:rsid w:val="004A51D2"/>
    <w:rsid w:val="004A5218"/>
    <w:rsid w:val="004A59BB"/>
    <w:rsid w:val="004A5B5C"/>
    <w:rsid w:val="004A654E"/>
    <w:rsid w:val="004A660C"/>
    <w:rsid w:val="004A7C51"/>
    <w:rsid w:val="004B3F3E"/>
    <w:rsid w:val="004B58BF"/>
    <w:rsid w:val="004B695D"/>
    <w:rsid w:val="004B6FFB"/>
    <w:rsid w:val="004C0167"/>
    <w:rsid w:val="004C0DC0"/>
    <w:rsid w:val="004C118A"/>
    <w:rsid w:val="004C1CA8"/>
    <w:rsid w:val="004C2D3B"/>
    <w:rsid w:val="004C412E"/>
    <w:rsid w:val="004C6459"/>
    <w:rsid w:val="004D3799"/>
    <w:rsid w:val="004D3B2B"/>
    <w:rsid w:val="004D3DFA"/>
    <w:rsid w:val="004D60E8"/>
    <w:rsid w:val="004D7991"/>
    <w:rsid w:val="004E2F50"/>
    <w:rsid w:val="004E486C"/>
    <w:rsid w:val="004E5F4C"/>
    <w:rsid w:val="004E68EF"/>
    <w:rsid w:val="004E6B7D"/>
    <w:rsid w:val="004F04B3"/>
    <w:rsid w:val="004F107D"/>
    <w:rsid w:val="004F1925"/>
    <w:rsid w:val="004F364E"/>
    <w:rsid w:val="004F48C9"/>
    <w:rsid w:val="004F7B5F"/>
    <w:rsid w:val="0050012E"/>
    <w:rsid w:val="0050105B"/>
    <w:rsid w:val="00502CEE"/>
    <w:rsid w:val="00503326"/>
    <w:rsid w:val="00503BE9"/>
    <w:rsid w:val="00504D02"/>
    <w:rsid w:val="00505652"/>
    <w:rsid w:val="0051036D"/>
    <w:rsid w:val="00510D1A"/>
    <w:rsid w:val="00510ECD"/>
    <w:rsid w:val="00511E2B"/>
    <w:rsid w:val="00517D82"/>
    <w:rsid w:val="00521FF8"/>
    <w:rsid w:val="00525B11"/>
    <w:rsid w:val="005272A5"/>
    <w:rsid w:val="00527FB8"/>
    <w:rsid w:val="00530A08"/>
    <w:rsid w:val="00530CBF"/>
    <w:rsid w:val="00531690"/>
    <w:rsid w:val="0053343F"/>
    <w:rsid w:val="00534416"/>
    <w:rsid w:val="005346EA"/>
    <w:rsid w:val="005349B9"/>
    <w:rsid w:val="00534F2F"/>
    <w:rsid w:val="00537511"/>
    <w:rsid w:val="00541BF5"/>
    <w:rsid w:val="00544444"/>
    <w:rsid w:val="00544BE7"/>
    <w:rsid w:val="00545707"/>
    <w:rsid w:val="00545A3C"/>
    <w:rsid w:val="00550390"/>
    <w:rsid w:val="00550E7C"/>
    <w:rsid w:val="00550EF8"/>
    <w:rsid w:val="00550F05"/>
    <w:rsid w:val="005528FE"/>
    <w:rsid w:val="0055338A"/>
    <w:rsid w:val="0055516F"/>
    <w:rsid w:val="005557AC"/>
    <w:rsid w:val="00555BED"/>
    <w:rsid w:val="005563C0"/>
    <w:rsid w:val="005564B5"/>
    <w:rsid w:val="00556D4B"/>
    <w:rsid w:val="00556E20"/>
    <w:rsid w:val="005605E4"/>
    <w:rsid w:val="0056093E"/>
    <w:rsid w:val="00561BFB"/>
    <w:rsid w:val="0056597C"/>
    <w:rsid w:val="005708B1"/>
    <w:rsid w:val="005708FF"/>
    <w:rsid w:val="00570D7D"/>
    <w:rsid w:val="005729E1"/>
    <w:rsid w:val="00573812"/>
    <w:rsid w:val="005741CF"/>
    <w:rsid w:val="005743A1"/>
    <w:rsid w:val="005770CA"/>
    <w:rsid w:val="005803EE"/>
    <w:rsid w:val="00581282"/>
    <w:rsid w:val="0058255B"/>
    <w:rsid w:val="00582F0D"/>
    <w:rsid w:val="005856CC"/>
    <w:rsid w:val="00586D8A"/>
    <w:rsid w:val="00587AE9"/>
    <w:rsid w:val="00590D5E"/>
    <w:rsid w:val="00591396"/>
    <w:rsid w:val="0059323E"/>
    <w:rsid w:val="0059342F"/>
    <w:rsid w:val="005941FA"/>
    <w:rsid w:val="0059459F"/>
    <w:rsid w:val="00596E43"/>
    <w:rsid w:val="00597D61"/>
    <w:rsid w:val="005A0DD4"/>
    <w:rsid w:val="005A20C2"/>
    <w:rsid w:val="005A4824"/>
    <w:rsid w:val="005A48E2"/>
    <w:rsid w:val="005A5117"/>
    <w:rsid w:val="005A6714"/>
    <w:rsid w:val="005A7E01"/>
    <w:rsid w:val="005B03AF"/>
    <w:rsid w:val="005B161E"/>
    <w:rsid w:val="005B200C"/>
    <w:rsid w:val="005B2542"/>
    <w:rsid w:val="005B26C6"/>
    <w:rsid w:val="005B41D4"/>
    <w:rsid w:val="005B495E"/>
    <w:rsid w:val="005B4B2E"/>
    <w:rsid w:val="005B50C8"/>
    <w:rsid w:val="005B53C4"/>
    <w:rsid w:val="005C0BC5"/>
    <w:rsid w:val="005C1380"/>
    <w:rsid w:val="005C15D7"/>
    <w:rsid w:val="005C217D"/>
    <w:rsid w:val="005C27BF"/>
    <w:rsid w:val="005C32AA"/>
    <w:rsid w:val="005C3DA2"/>
    <w:rsid w:val="005C56F1"/>
    <w:rsid w:val="005C5DE0"/>
    <w:rsid w:val="005C6BE3"/>
    <w:rsid w:val="005D2458"/>
    <w:rsid w:val="005D24E1"/>
    <w:rsid w:val="005D4B4D"/>
    <w:rsid w:val="005D5A20"/>
    <w:rsid w:val="005D5CD6"/>
    <w:rsid w:val="005D66F7"/>
    <w:rsid w:val="005D6C5C"/>
    <w:rsid w:val="005D7838"/>
    <w:rsid w:val="005D7C15"/>
    <w:rsid w:val="005E004C"/>
    <w:rsid w:val="005E10AC"/>
    <w:rsid w:val="005E17D1"/>
    <w:rsid w:val="005E2144"/>
    <w:rsid w:val="005E251A"/>
    <w:rsid w:val="005E2B45"/>
    <w:rsid w:val="005E3F2F"/>
    <w:rsid w:val="005E49BD"/>
    <w:rsid w:val="005E54A3"/>
    <w:rsid w:val="005F0245"/>
    <w:rsid w:val="005F1C5B"/>
    <w:rsid w:val="005F2D00"/>
    <w:rsid w:val="005F330E"/>
    <w:rsid w:val="005F4434"/>
    <w:rsid w:val="005F4BAF"/>
    <w:rsid w:val="005F7672"/>
    <w:rsid w:val="006004CA"/>
    <w:rsid w:val="0060098F"/>
    <w:rsid w:val="00601DFC"/>
    <w:rsid w:val="00606503"/>
    <w:rsid w:val="00606D4E"/>
    <w:rsid w:val="00607C37"/>
    <w:rsid w:val="006124FC"/>
    <w:rsid w:val="0061344A"/>
    <w:rsid w:val="006139CB"/>
    <w:rsid w:val="0061614B"/>
    <w:rsid w:val="00616192"/>
    <w:rsid w:val="00617DFF"/>
    <w:rsid w:val="00620367"/>
    <w:rsid w:val="00624F98"/>
    <w:rsid w:val="0062578A"/>
    <w:rsid w:val="006270EE"/>
    <w:rsid w:val="00630812"/>
    <w:rsid w:val="00631412"/>
    <w:rsid w:val="00632CDC"/>
    <w:rsid w:val="006367E4"/>
    <w:rsid w:val="00636BBA"/>
    <w:rsid w:val="006373A2"/>
    <w:rsid w:val="00641209"/>
    <w:rsid w:val="00643E3B"/>
    <w:rsid w:val="00644B79"/>
    <w:rsid w:val="0064549B"/>
    <w:rsid w:val="00645FE4"/>
    <w:rsid w:val="00646727"/>
    <w:rsid w:val="006503DB"/>
    <w:rsid w:val="006504C9"/>
    <w:rsid w:val="006524A3"/>
    <w:rsid w:val="00654018"/>
    <w:rsid w:val="00656FA5"/>
    <w:rsid w:val="00657D8D"/>
    <w:rsid w:val="00660FB3"/>
    <w:rsid w:val="00661ED9"/>
    <w:rsid w:val="0066237D"/>
    <w:rsid w:val="006637A0"/>
    <w:rsid w:val="00663CE7"/>
    <w:rsid w:val="00664FF6"/>
    <w:rsid w:val="00666F52"/>
    <w:rsid w:val="006704F3"/>
    <w:rsid w:val="00671F39"/>
    <w:rsid w:val="00672148"/>
    <w:rsid w:val="006744F3"/>
    <w:rsid w:val="006758CB"/>
    <w:rsid w:val="00675BFB"/>
    <w:rsid w:val="0067647D"/>
    <w:rsid w:val="00676990"/>
    <w:rsid w:val="00676A82"/>
    <w:rsid w:val="00676C50"/>
    <w:rsid w:val="00676FC2"/>
    <w:rsid w:val="00677A25"/>
    <w:rsid w:val="00677E69"/>
    <w:rsid w:val="00677FA6"/>
    <w:rsid w:val="0068197E"/>
    <w:rsid w:val="006839C2"/>
    <w:rsid w:val="00683E6B"/>
    <w:rsid w:val="00684C36"/>
    <w:rsid w:val="00685DE7"/>
    <w:rsid w:val="00686E6D"/>
    <w:rsid w:val="006874DC"/>
    <w:rsid w:val="00687BEB"/>
    <w:rsid w:val="00687ED7"/>
    <w:rsid w:val="006901B2"/>
    <w:rsid w:val="006906B9"/>
    <w:rsid w:val="00691682"/>
    <w:rsid w:val="00691F97"/>
    <w:rsid w:val="0069598A"/>
    <w:rsid w:val="006961E0"/>
    <w:rsid w:val="0069635F"/>
    <w:rsid w:val="00696CBC"/>
    <w:rsid w:val="006A0147"/>
    <w:rsid w:val="006A1A95"/>
    <w:rsid w:val="006A1BB8"/>
    <w:rsid w:val="006A1ECE"/>
    <w:rsid w:val="006A234A"/>
    <w:rsid w:val="006A339F"/>
    <w:rsid w:val="006A3E4D"/>
    <w:rsid w:val="006A50B8"/>
    <w:rsid w:val="006A52D6"/>
    <w:rsid w:val="006A75AB"/>
    <w:rsid w:val="006A796C"/>
    <w:rsid w:val="006B047A"/>
    <w:rsid w:val="006B2BDB"/>
    <w:rsid w:val="006B48AD"/>
    <w:rsid w:val="006B699A"/>
    <w:rsid w:val="006B73F5"/>
    <w:rsid w:val="006B7827"/>
    <w:rsid w:val="006C311B"/>
    <w:rsid w:val="006C52BA"/>
    <w:rsid w:val="006C5BC2"/>
    <w:rsid w:val="006C7F15"/>
    <w:rsid w:val="006D1762"/>
    <w:rsid w:val="006D25FE"/>
    <w:rsid w:val="006D36D4"/>
    <w:rsid w:val="006D4D0D"/>
    <w:rsid w:val="006D5A0C"/>
    <w:rsid w:val="006D5A13"/>
    <w:rsid w:val="006D620C"/>
    <w:rsid w:val="006D6315"/>
    <w:rsid w:val="006D64E6"/>
    <w:rsid w:val="006E2799"/>
    <w:rsid w:val="006E2DE7"/>
    <w:rsid w:val="006E4624"/>
    <w:rsid w:val="006E6967"/>
    <w:rsid w:val="006E70FE"/>
    <w:rsid w:val="006F22F4"/>
    <w:rsid w:val="006F39BB"/>
    <w:rsid w:val="006F3B8F"/>
    <w:rsid w:val="006F46D6"/>
    <w:rsid w:val="006F4D7B"/>
    <w:rsid w:val="006F73E1"/>
    <w:rsid w:val="007009F6"/>
    <w:rsid w:val="007035A3"/>
    <w:rsid w:val="00703C6F"/>
    <w:rsid w:val="00704042"/>
    <w:rsid w:val="0070415C"/>
    <w:rsid w:val="007043F5"/>
    <w:rsid w:val="00705157"/>
    <w:rsid w:val="00705B72"/>
    <w:rsid w:val="0071048D"/>
    <w:rsid w:val="007109A8"/>
    <w:rsid w:val="007113E1"/>
    <w:rsid w:val="0071333B"/>
    <w:rsid w:val="007134F9"/>
    <w:rsid w:val="0071481D"/>
    <w:rsid w:val="00715215"/>
    <w:rsid w:val="007163DB"/>
    <w:rsid w:val="00720B48"/>
    <w:rsid w:val="00723C49"/>
    <w:rsid w:val="00724DFF"/>
    <w:rsid w:val="00725829"/>
    <w:rsid w:val="00725D9A"/>
    <w:rsid w:val="00726375"/>
    <w:rsid w:val="00730479"/>
    <w:rsid w:val="007304F7"/>
    <w:rsid w:val="00730504"/>
    <w:rsid w:val="00730594"/>
    <w:rsid w:val="00733CAF"/>
    <w:rsid w:val="0073409C"/>
    <w:rsid w:val="0073439F"/>
    <w:rsid w:val="00735353"/>
    <w:rsid w:val="007379B8"/>
    <w:rsid w:val="0074018C"/>
    <w:rsid w:val="0074197E"/>
    <w:rsid w:val="0074367F"/>
    <w:rsid w:val="00743AAA"/>
    <w:rsid w:val="00744587"/>
    <w:rsid w:val="00744861"/>
    <w:rsid w:val="00745B82"/>
    <w:rsid w:val="00747552"/>
    <w:rsid w:val="00747E7C"/>
    <w:rsid w:val="00750228"/>
    <w:rsid w:val="0075030D"/>
    <w:rsid w:val="007511C3"/>
    <w:rsid w:val="007523DA"/>
    <w:rsid w:val="00752E33"/>
    <w:rsid w:val="0075348B"/>
    <w:rsid w:val="00754CA0"/>
    <w:rsid w:val="00755869"/>
    <w:rsid w:val="00755F0F"/>
    <w:rsid w:val="00756C8C"/>
    <w:rsid w:val="00764103"/>
    <w:rsid w:val="00766259"/>
    <w:rsid w:val="007666E5"/>
    <w:rsid w:val="00766883"/>
    <w:rsid w:val="007679C5"/>
    <w:rsid w:val="00767A03"/>
    <w:rsid w:val="0077081A"/>
    <w:rsid w:val="00772F02"/>
    <w:rsid w:val="007730BE"/>
    <w:rsid w:val="00773A03"/>
    <w:rsid w:val="0077460D"/>
    <w:rsid w:val="00774D78"/>
    <w:rsid w:val="00774F6E"/>
    <w:rsid w:val="00775579"/>
    <w:rsid w:val="00776C0B"/>
    <w:rsid w:val="007773ED"/>
    <w:rsid w:val="0078318C"/>
    <w:rsid w:val="007837C7"/>
    <w:rsid w:val="00784017"/>
    <w:rsid w:val="00784453"/>
    <w:rsid w:val="007847B2"/>
    <w:rsid w:val="00784A08"/>
    <w:rsid w:val="007863E0"/>
    <w:rsid w:val="0079058F"/>
    <w:rsid w:val="00791014"/>
    <w:rsid w:val="007916F7"/>
    <w:rsid w:val="00791F5D"/>
    <w:rsid w:val="0079201A"/>
    <w:rsid w:val="00796B36"/>
    <w:rsid w:val="0079754B"/>
    <w:rsid w:val="007A0D2E"/>
    <w:rsid w:val="007A10C2"/>
    <w:rsid w:val="007A1BE0"/>
    <w:rsid w:val="007A31F3"/>
    <w:rsid w:val="007A3937"/>
    <w:rsid w:val="007A42F0"/>
    <w:rsid w:val="007A4715"/>
    <w:rsid w:val="007A58B1"/>
    <w:rsid w:val="007B0E81"/>
    <w:rsid w:val="007B21B5"/>
    <w:rsid w:val="007B306F"/>
    <w:rsid w:val="007B3701"/>
    <w:rsid w:val="007B623D"/>
    <w:rsid w:val="007B626D"/>
    <w:rsid w:val="007B7080"/>
    <w:rsid w:val="007B75E5"/>
    <w:rsid w:val="007B7D26"/>
    <w:rsid w:val="007C0AFB"/>
    <w:rsid w:val="007C2ADD"/>
    <w:rsid w:val="007C58AD"/>
    <w:rsid w:val="007C6E74"/>
    <w:rsid w:val="007C78A9"/>
    <w:rsid w:val="007D0D22"/>
    <w:rsid w:val="007D11A4"/>
    <w:rsid w:val="007D1F4A"/>
    <w:rsid w:val="007D2098"/>
    <w:rsid w:val="007D2E5B"/>
    <w:rsid w:val="007D3FC8"/>
    <w:rsid w:val="007D4A3E"/>
    <w:rsid w:val="007D546A"/>
    <w:rsid w:val="007E0726"/>
    <w:rsid w:val="007E0ABF"/>
    <w:rsid w:val="007E4179"/>
    <w:rsid w:val="007E42DC"/>
    <w:rsid w:val="007E7C79"/>
    <w:rsid w:val="007F0072"/>
    <w:rsid w:val="007F1285"/>
    <w:rsid w:val="007F2104"/>
    <w:rsid w:val="007F33C0"/>
    <w:rsid w:val="007F6C7C"/>
    <w:rsid w:val="007F74E7"/>
    <w:rsid w:val="007F76E8"/>
    <w:rsid w:val="00802439"/>
    <w:rsid w:val="008035C9"/>
    <w:rsid w:val="00804F58"/>
    <w:rsid w:val="00807694"/>
    <w:rsid w:val="00811D11"/>
    <w:rsid w:val="00812EC8"/>
    <w:rsid w:val="00814381"/>
    <w:rsid w:val="0081547E"/>
    <w:rsid w:val="00816959"/>
    <w:rsid w:val="008178BE"/>
    <w:rsid w:val="00817A39"/>
    <w:rsid w:val="00820FDD"/>
    <w:rsid w:val="00822A05"/>
    <w:rsid w:val="00822E78"/>
    <w:rsid w:val="008236A2"/>
    <w:rsid w:val="0082370F"/>
    <w:rsid w:val="0082502A"/>
    <w:rsid w:val="00825A32"/>
    <w:rsid w:val="00827103"/>
    <w:rsid w:val="00830653"/>
    <w:rsid w:val="00830E54"/>
    <w:rsid w:val="00830F44"/>
    <w:rsid w:val="008317B8"/>
    <w:rsid w:val="008335CA"/>
    <w:rsid w:val="00833C54"/>
    <w:rsid w:val="00834140"/>
    <w:rsid w:val="00834908"/>
    <w:rsid w:val="00834FC2"/>
    <w:rsid w:val="00835FB7"/>
    <w:rsid w:val="0084272B"/>
    <w:rsid w:val="00851856"/>
    <w:rsid w:val="00853BAB"/>
    <w:rsid w:val="00853F89"/>
    <w:rsid w:val="008556DB"/>
    <w:rsid w:val="008559A8"/>
    <w:rsid w:val="0085656F"/>
    <w:rsid w:val="00860DB5"/>
    <w:rsid w:val="00860EF9"/>
    <w:rsid w:val="00861A07"/>
    <w:rsid w:val="008626EA"/>
    <w:rsid w:val="00862AFD"/>
    <w:rsid w:val="00863782"/>
    <w:rsid w:val="00864E76"/>
    <w:rsid w:val="008654F2"/>
    <w:rsid w:val="00866941"/>
    <w:rsid w:val="00867ECC"/>
    <w:rsid w:val="008702C3"/>
    <w:rsid w:val="008737BF"/>
    <w:rsid w:val="00874633"/>
    <w:rsid w:val="00875B13"/>
    <w:rsid w:val="00875C2A"/>
    <w:rsid w:val="00875F81"/>
    <w:rsid w:val="00876426"/>
    <w:rsid w:val="00876E25"/>
    <w:rsid w:val="0088029D"/>
    <w:rsid w:val="008823B7"/>
    <w:rsid w:val="0088421D"/>
    <w:rsid w:val="008850D0"/>
    <w:rsid w:val="00885D9F"/>
    <w:rsid w:val="008869F6"/>
    <w:rsid w:val="00886C55"/>
    <w:rsid w:val="00887FB7"/>
    <w:rsid w:val="008908AF"/>
    <w:rsid w:val="008945D5"/>
    <w:rsid w:val="00894878"/>
    <w:rsid w:val="00895232"/>
    <w:rsid w:val="008956A9"/>
    <w:rsid w:val="00895A81"/>
    <w:rsid w:val="00895F15"/>
    <w:rsid w:val="00896BF8"/>
    <w:rsid w:val="008975B6"/>
    <w:rsid w:val="008A0F6D"/>
    <w:rsid w:val="008A12AF"/>
    <w:rsid w:val="008A1403"/>
    <w:rsid w:val="008A1612"/>
    <w:rsid w:val="008A258D"/>
    <w:rsid w:val="008A2D5A"/>
    <w:rsid w:val="008A2F1A"/>
    <w:rsid w:val="008A330E"/>
    <w:rsid w:val="008A373F"/>
    <w:rsid w:val="008A5123"/>
    <w:rsid w:val="008A7B8F"/>
    <w:rsid w:val="008B2FAC"/>
    <w:rsid w:val="008B3191"/>
    <w:rsid w:val="008B3268"/>
    <w:rsid w:val="008B4188"/>
    <w:rsid w:val="008B45D4"/>
    <w:rsid w:val="008B6F1A"/>
    <w:rsid w:val="008C0D37"/>
    <w:rsid w:val="008C1D7A"/>
    <w:rsid w:val="008C2166"/>
    <w:rsid w:val="008C4F50"/>
    <w:rsid w:val="008C60EF"/>
    <w:rsid w:val="008C7432"/>
    <w:rsid w:val="008D08CF"/>
    <w:rsid w:val="008D0B8D"/>
    <w:rsid w:val="008D0FCC"/>
    <w:rsid w:val="008D36DC"/>
    <w:rsid w:val="008D5CB6"/>
    <w:rsid w:val="008D66E4"/>
    <w:rsid w:val="008D7D50"/>
    <w:rsid w:val="008D7F92"/>
    <w:rsid w:val="008E056E"/>
    <w:rsid w:val="008E3C3F"/>
    <w:rsid w:val="008E5CB6"/>
    <w:rsid w:val="008E61B6"/>
    <w:rsid w:val="008E729C"/>
    <w:rsid w:val="008F1B57"/>
    <w:rsid w:val="008F55D9"/>
    <w:rsid w:val="008F5C7F"/>
    <w:rsid w:val="008F5E78"/>
    <w:rsid w:val="008F7C30"/>
    <w:rsid w:val="008F7F10"/>
    <w:rsid w:val="00901B9E"/>
    <w:rsid w:val="00902BC5"/>
    <w:rsid w:val="00904636"/>
    <w:rsid w:val="00905F1F"/>
    <w:rsid w:val="0090663D"/>
    <w:rsid w:val="00911213"/>
    <w:rsid w:val="009118EE"/>
    <w:rsid w:val="00912209"/>
    <w:rsid w:val="009129E3"/>
    <w:rsid w:val="00915540"/>
    <w:rsid w:val="00915D72"/>
    <w:rsid w:val="00916580"/>
    <w:rsid w:val="00917AAF"/>
    <w:rsid w:val="0092189B"/>
    <w:rsid w:val="00921DFD"/>
    <w:rsid w:val="00921FF6"/>
    <w:rsid w:val="009246DE"/>
    <w:rsid w:val="0092493B"/>
    <w:rsid w:val="00924C9E"/>
    <w:rsid w:val="0092646A"/>
    <w:rsid w:val="00926650"/>
    <w:rsid w:val="00927CC0"/>
    <w:rsid w:val="00931A84"/>
    <w:rsid w:val="00941227"/>
    <w:rsid w:val="009417D0"/>
    <w:rsid w:val="009440F2"/>
    <w:rsid w:val="00944DB7"/>
    <w:rsid w:val="00947607"/>
    <w:rsid w:val="00947F0B"/>
    <w:rsid w:val="00950E1D"/>
    <w:rsid w:val="0095157D"/>
    <w:rsid w:val="00952569"/>
    <w:rsid w:val="00952BDF"/>
    <w:rsid w:val="009541DF"/>
    <w:rsid w:val="0095453C"/>
    <w:rsid w:val="00955C8E"/>
    <w:rsid w:val="00955E36"/>
    <w:rsid w:val="00956111"/>
    <w:rsid w:val="00956217"/>
    <w:rsid w:val="009569B7"/>
    <w:rsid w:val="00957149"/>
    <w:rsid w:val="009600C2"/>
    <w:rsid w:val="00960539"/>
    <w:rsid w:val="00960981"/>
    <w:rsid w:val="00961CA2"/>
    <w:rsid w:val="009624D3"/>
    <w:rsid w:val="00962E66"/>
    <w:rsid w:val="00963CD5"/>
    <w:rsid w:val="00964708"/>
    <w:rsid w:val="009654D7"/>
    <w:rsid w:val="0097101B"/>
    <w:rsid w:val="00971142"/>
    <w:rsid w:val="00972807"/>
    <w:rsid w:val="00973270"/>
    <w:rsid w:val="00973BB7"/>
    <w:rsid w:val="009744DA"/>
    <w:rsid w:val="009749D2"/>
    <w:rsid w:val="0097546D"/>
    <w:rsid w:val="00975B00"/>
    <w:rsid w:val="00975C9B"/>
    <w:rsid w:val="009766B0"/>
    <w:rsid w:val="009770B5"/>
    <w:rsid w:val="009779A4"/>
    <w:rsid w:val="009814D6"/>
    <w:rsid w:val="00981805"/>
    <w:rsid w:val="0098322B"/>
    <w:rsid w:val="00983B67"/>
    <w:rsid w:val="009875F0"/>
    <w:rsid w:val="009906F5"/>
    <w:rsid w:val="00990D3E"/>
    <w:rsid w:val="00991D6E"/>
    <w:rsid w:val="00992C7D"/>
    <w:rsid w:val="00993131"/>
    <w:rsid w:val="009939A6"/>
    <w:rsid w:val="00996241"/>
    <w:rsid w:val="00996244"/>
    <w:rsid w:val="009964F8"/>
    <w:rsid w:val="00997C51"/>
    <w:rsid w:val="009A056A"/>
    <w:rsid w:val="009A2C61"/>
    <w:rsid w:val="009A32E7"/>
    <w:rsid w:val="009A4EF8"/>
    <w:rsid w:val="009A59A5"/>
    <w:rsid w:val="009A79B3"/>
    <w:rsid w:val="009A7CC2"/>
    <w:rsid w:val="009B0663"/>
    <w:rsid w:val="009B16B0"/>
    <w:rsid w:val="009B3775"/>
    <w:rsid w:val="009B53E8"/>
    <w:rsid w:val="009B59D8"/>
    <w:rsid w:val="009B5B70"/>
    <w:rsid w:val="009C0038"/>
    <w:rsid w:val="009C04F6"/>
    <w:rsid w:val="009C2019"/>
    <w:rsid w:val="009C343D"/>
    <w:rsid w:val="009D07BC"/>
    <w:rsid w:val="009D4002"/>
    <w:rsid w:val="009D46C7"/>
    <w:rsid w:val="009D6A2E"/>
    <w:rsid w:val="009E1AE8"/>
    <w:rsid w:val="009E1C72"/>
    <w:rsid w:val="009E1EF2"/>
    <w:rsid w:val="009E3942"/>
    <w:rsid w:val="009E45C5"/>
    <w:rsid w:val="009E4617"/>
    <w:rsid w:val="009E50A6"/>
    <w:rsid w:val="009E6115"/>
    <w:rsid w:val="009E638E"/>
    <w:rsid w:val="009E67C3"/>
    <w:rsid w:val="009E686D"/>
    <w:rsid w:val="009E7BC1"/>
    <w:rsid w:val="009F1407"/>
    <w:rsid w:val="009F1D89"/>
    <w:rsid w:val="009F2F9C"/>
    <w:rsid w:val="009F3102"/>
    <w:rsid w:val="009F3847"/>
    <w:rsid w:val="009F413B"/>
    <w:rsid w:val="009F4645"/>
    <w:rsid w:val="009F6199"/>
    <w:rsid w:val="009F7BD9"/>
    <w:rsid w:val="009F7C0A"/>
    <w:rsid w:val="00A005A9"/>
    <w:rsid w:val="00A00AD4"/>
    <w:rsid w:val="00A0130D"/>
    <w:rsid w:val="00A02B0A"/>
    <w:rsid w:val="00A05445"/>
    <w:rsid w:val="00A0545A"/>
    <w:rsid w:val="00A05BF3"/>
    <w:rsid w:val="00A07453"/>
    <w:rsid w:val="00A0797D"/>
    <w:rsid w:val="00A07DDD"/>
    <w:rsid w:val="00A120B8"/>
    <w:rsid w:val="00A120EB"/>
    <w:rsid w:val="00A12147"/>
    <w:rsid w:val="00A13FEB"/>
    <w:rsid w:val="00A14D79"/>
    <w:rsid w:val="00A15736"/>
    <w:rsid w:val="00A16F05"/>
    <w:rsid w:val="00A1717E"/>
    <w:rsid w:val="00A17EC6"/>
    <w:rsid w:val="00A21A9D"/>
    <w:rsid w:val="00A225CB"/>
    <w:rsid w:val="00A235D2"/>
    <w:rsid w:val="00A243EF"/>
    <w:rsid w:val="00A2443F"/>
    <w:rsid w:val="00A25366"/>
    <w:rsid w:val="00A25600"/>
    <w:rsid w:val="00A26B35"/>
    <w:rsid w:val="00A2792B"/>
    <w:rsid w:val="00A27D65"/>
    <w:rsid w:val="00A32289"/>
    <w:rsid w:val="00A33134"/>
    <w:rsid w:val="00A348F7"/>
    <w:rsid w:val="00A34F5D"/>
    <w:rsid w:val="00A40C40"/>
    <w:rsid w:val="00A4168A"/>
    <w:rsid w:val="00A4197B"/>
    <w:rsid w:val="00A422EF"/>
    <w:rsid w:val="00A45AA4"/>
    <w:rsid w:val="00A45D2F"/>
    <w:rsid w:val="00A477D8"/>
    <w:rsid w:val="00A5158F"/>
    <w:rsid w:val="00A520CC"/>
    <w:rsid w:val="00A53FFC"/>
    <w:rsid w:val="00A54461"/>
    <w:rsid w:val="00A54478"/>
    <w:rsid w:val="00A55193"/>
    <w:rsid w:val="00A56DD7"/>
    <w:rsid w:val="00A571E3"/>
    <w:rsid w:val="00A61383"/>
    <w:rsid w:val="00A6373D"/>
    <w:rsid w:val="00A63802"/>
    <w:rsid w:val="00A639C4"/>
    <w:rsid w:val="00A63FCD"/>
    <w:rsid w:val="00A64F50"/>
    <w:rsid w:val="00A70EA7"/>
    <w:rsid w:val="00A71289"/>
    <w:rsid w:val="00A7166E"/>
    <w:rsid w:val="00A7225B"/>
    <w:rsid w:val="00A7267E"/>
    <w:rsid w:val="00A73A7E"/>
    <w:rsid w:val="00A775B2"/>
    <w:rsid w:val="00A80F7B"/>
    <w:rsid w:val="00A81DA9"/>
    <w:rsid w:val="00A83C83"/>
    <w:rsid w:val="00A8626E"/>
    <w:rsid w:val="00A86A2A"/>
    <w:rsid w:val="00A86CCC"/>
    <w:rsid w:val="00A86F12"/>
    <w:rsid w:val="00A8738B"/>
    <w:rsid w:val="00A877B4"/>
    <w:rsid w:val="00A87FA3"/>
    <w:rsid w:val="00A87FC4"/>
    <w:rsid w:val="00A9049D"/>
    <w:rsid w:val="00A90528"/>
    <w:rsid w:val="00A908B6"/>
    <w:rsid w:val="00A94192"/>
    <w:rsid w:val="00A943AF"/>
    <w:rsid w:val="00A94952"/>
    <w:rsid w:val="00A94980"/>
    <w:rsid w:val="00A96223"/>
    <w:rsid w:val="00A964FA"/>
    <w:rsid w:val="00A969FE"/>
    <w:rsid w:val="00A97324"/>
    <w:rsid w:val="00A97393"/>
    <w:rsid w:val="00A97400"/>
    <w:rsid w:val="00A974D0"/>
    <w:rsid w:val="00AA0863"/>
    <w:rsid w:val="00AA254B"/>
    <w:rsid w:val="00AA4D40"/>
    <w:rsid w:val="00AA4E0D"/>
    <w:rsid w:val="00AA5E82"/>
    <w:rsid w:val="00AA6287"/>
    <w:rsid w:val="00AB08DC"/>
    <w:rsid w:val="00AB0E7C"/>
    <w:rsid w:val="00AB162B"/>
    <w:rsid w:val="00AB5346"/>
    <w:rsid w:val="00AB561A"/>
    <w:rsid w:val="00AB729C"/>
    <w:rsid w:val="00AB7EBE"/>
    <w:rsid w:val="00AC0C25"/>
    <w:rsid w:val="00AC3C2E"/>
    <w:rsid w:val="00AC70E8"/>
    <w:rsid w:val="00AD00DA"/>
    <w:rsid w:val="00AD037F"/>
    <w:rsid w:val="00AD044E"/>
    <w:rsid w:val="00AD173D"/>
    <w:rsid w:val="00AD402F"/>
    <w:rsid w:val="00AD517F"/>
    <w:rsid w:val="00AD75E3"/>
    <w:rsid w:val="00AD7936"/>
    <w:rsid w:val="00AE00E4"/>
    <w:rsid w:val="00AE0159"/>
    <w:rsid w:val="00AE0936"/>
    <w:rsid w:val="00AE23DE"/>
    <w:rsid w:val="00AE24A2"/>
    <w:rsid w:val="00AE385C"/>
    <w:rsid w:val="00AE39E4"/>
    <w:rsid w:val="00AE4055"/>
    <w:rsid w:val="00AE6523"/>
    <w:rsid w:val="00AE6604"/>
    <w:rsid w:val="00AE7A9C"/>
    <w:rsid w:val="00AF0553"/>
    <w:rsid w:val="00AF0572"/>
    <w:rsid w:val="00AF1EC1"/>
    <w:rsid w:val="00AF37FC"/>
    <w:rsid w:val="00AF580C"/>
    <w:rsid w:val="00AF6834"/>
    <w:rsid w:val="00AF6890"/>
    <w:rsid w:val="00AF6ABF"/>
    <w:rsid w:val="00B01729"/>
    <w:rsid w:val="00B01861"/>
    <w:rsid w:val="00B01961"/>
    <w:rsid w:val="00B0353D"/>
    <w:rsid w:val="00B03AD7"/>
    <w:rsid w:val="00B04608"/>
    <w:rsid w:val="00B055E0"/>
    <w:rsid w:val="00B05C5C"/>
    <w:rsid w:val="00B05DB2"/>
    <w:rsid w:val="00B076E3"/>
    <w:rsid w:val="00B079F4"/>
    <w:rsid w:val="00B121B6"/>
    <w:rsid w:val="00B134CB"/>
    <w:rsid w:val="00B135ED"/>
    <w:rsid w:val="00B13AE7"/>
    <w:rsid w:val="00B140ED"/>
    <w:rsid w:val="00B145A6"/>
    <w:rsid w:val="00B170F8"/>
    <w:rsid w:val="00B22FEA"/>
    <w:rsid w:val="00B2375F"/>
    <w:rsid w:val="00B257BF"/>
    <w:rsid w:val="00B259C6"/>
    <w:rsid w:val="00B26654"/>
    <w:rsid w:val="00B31F2E"/>
    <w:rsid w:val="00B33C80"/>
    <w:rsid w:val="00B35A92"/>
    <w:rsid w:val="00B374F9"/>
    <w:rsid w:val="00B4082B"/>
    <w:rsid w:val="00B40A57"/>
    <w:rsid w:val="00B40A94"/>
    <w:rsid w:val="00B41FAD"/>
    <w:rsid w:val="00B4286F"/>
    <w:rsid w:val="00B44A3E"/>
    <w:rsid w:val="00B452B0"/>
    <w:rsid w:val="00B47584"/>
    <w:rsid w:val="00B5235B"/>
    <w:rsid w:val="00B5267D"/>
    <w:rsid w:val="00B52B25"/>
    <w:rsid w:val="00B52DF4"/>
    <w:rsid w:val="00B53052"/>
    <w:rsid w:val="00B54457"/>
    <w:rsid w:val="00B55DA1"/>
    <w:rsid w:val="00B55EF3"/>
    <w:rsid w:val="00B61E43"/>
    <w:rsid w:val="00B63E00"/>
    <w:rsid w:val="00B65146"/>
    <w:rsid w:val="00B65F02"/>
    <w:rsid w:val="00B66710"/>
    <w:rsid w:val="00B71D41"/>
    <w:rsid w:val="00B72190"/>
    <w:rsid w:val="00B731C2"/>
    <w:rsid w:val="00B73269"/>
    <w:rsid w:val="00B73AE4"/>
    <w:rsid w:val="00B7495E"/>
    <w:rsid w:val="00B759EF"/>
    <w:rsid w:val="00B80133"/>
    <w:rsid w:val="00B81372"/>
    <w:rsid w:val="00B8195D"/>
    <w:rsid w:val="00B8362F"/>
    <w:rsid w:val="00B83A88"/>
    <w:rsid w:val="00B851DF"/>
    <w:rsid w:val="00B8618B"/>
    <w:rsid w:val="00B868CF"/>
    <w:rsid w:val="00B8698C"/>
    <w:rsid w:val="00B9051A"/>
    <w:rsid w:val="00B91004"/>
    <w:rsid w:val="00B910F7"/>
    <w:rsid w:val="00B91512"/>
    <w:rsid w:val="00B927B0"/>
    <w:rsid w:val="00B93898"/>
    <w:rsid w:val="00B9419E"/>
    <w:rsid w:val="00B963D5"/>
    <w:rsid w:val="00B96D51"/>
    <w:rsid w:val="00BA13E4"/>
    <w:rsid w:val="00BA1866"/>
    <w:rsid w:val="00BA1B21"/>
    <w:rsid w:val="00BA1D87"/>
    <w:rsid w:val="00BA1F77"/>
    <w:rsid w:val="00BA2276"/>
    <w:rsid w:val="00BA2480"/>
    <w:rsid w:val="00BA30D4"/>
    <w:rsid w:val="00BA518A"/>
    <w:rsid w:val="00BA73DC"/>
    <w:rsid w:val="00BB05C1"/>
    <w:rsid w:val="00BB06FA"/>
    <w:rsid w:val="00BB1EBC"/>
    <w:rsid w:val="00BB29A0"/>
    <w:rsid w:val="00BB2B82"/>
    <w:rsid w:val="00BB3451"/>
    <w:rsid w:val="00BB4244"/>
    <w:rsid w:val="00BB4D3B"/>
    <w:rsid w:val="00BB5C49"/>
    <w:rsid w:val="00BB6CB1"/>
    <w:rsid w:val="00BB73FA"/>
    <w:rsid w:val="00BB7991"/>
    <w:rsid w:val="00BB7D33"/>
    <w:rsid w:val="00BC1B51"/>
    <w:rsid w:val="00BC21A0"/>
    <w:rsid w:val="00BC6867"/>
    <w:rsid w:val="00BC7C27"/>
    <w:rsid w:val="00BD1D6A"/>
    <w:rsid w:val="00BD212E"/>
    <w:rsid w:val="00BD36B6"/>
    <w:rsid w:val="00BD43AF"/>
    <w:rsid w:val="00BD44D2"/>
    <w:rsid w:val="00BD5E8D"/>
    <w:rsid w:val="00BD5EA0"/>
    <w:rsid w:val="00BD6E4C"/>
    <w:rsid w:val="00BD79E8"/>
    <w:rsid w:val="00BE00F9"/>
    <w:rsid w:val="00BE0A9F"/>
    <w:rsid w:val="00BE11F2"/>
    <w:rsid w:val="00BE277F"/>
    <w:rsid w:val="00BE2E09"/>
    <w:rsid w:val="00BE350F"/>
    <w:rsid w:val="00BE3623"/>
    <w:rsid w:val="00BE3B27"/>
    <w:rsid w:val="00BE4E24"/>
    <w:rsid w:val="00BE4EB0"/>
    <w:rsid w:val="00BE523B"/>
    <w:rsid w:val="00BE6618"/>
    <w:rsid w:val="00BE70C7"/>
    <w:rsid w:val="00BF14EF"/>
    <w:rsid w:val="00BF1F9F"/>
    <w:rsid w:val="00BF25E6"/>
    <w:rsid w:val="00BF26E7"/>
    <w:rsid w:val="00BF2D72"/>
    <w:rsid w:val="00BF37E0"/>
    <w:rsid w:val="00BF3C68"/>
    <w:rsid w:val="00BF550D"/>
    <w:rsid w:val="00BF5BA6"/>
    <w:rsid w:val="00C00BA7"/>
    <w:rsid w:val="00C00C6F"/>
    <w:rsid w:val="00C01B7A"/>
    <w:rsid w:val="00C0207E"/>
    <w:rsid w:val="00C06BF8"/>
    <w:rsid w:val="00C06D55"/>
    <w:rsid w:val="00C06E94"/>
    <w:rsid w:val="00C10864"/>
    <w:rsid w:val="00C118C9"/>
    <w:rsid w:val="00C12065"/>
    <w:rsid w:val="00C12EF5"/>
    <w:rsid w:val="00C14C5B"/>
    <w:rsid w:val="00C16779"/>
    <w:rsid w:val="00C22E87"/>
    <w:rsid w:val="00C249A1"/>
    <w:rsid w:val="00C24A1D"/>
    <w:rsid w:val="00C25182"/>
    <w:rsid w:val="00C2672D"/>
    <w:rsid w:val="00C26E52"/>
    <w:rsid w:val="00C270BE"/>
    <w:rsid w:val="00C270D8"/>
    <w:rsid w:val="00C30B84"/>
    <w:rsid w:val="00C31B46"/>
    <w:rsid w:val="00C3224F"/>
    <w:rsid w:val="00C33C19"/>
    <w:rsid w:val="00C35F5C"/>
    <w:rsid w:val="00C3697B"/>
    <w:rsid w:val="00C37325"/>
    <w:rsid w:val="00C3753D"/>
    <w:rsid w:val="00C37607"/>
    <w:rsid w:val="00C430CB"/>
    <w:rsid w:val="00C43713"/>
    <w:rsid w:val="00C43725"/>
    <w:rsid w:val="00C43841"/>
    <w:rsid w:val="00C46E32"/>
    <w:rsid w:val="00C47BCE"/>
    <w:rsid w:val="00C50F5F"/>
    <w:rsid w:val="00C51F48"/>
    <w:rsid w:val="00C550FF"/>
    <w:rsid w:val="00C55B92"/>
    <w:rsid w:val="00C55BA7"/>
    <w:rsid w:val="00C5727C"/>
    <w:rsid w:val="00C60545"/>
    <w:rsid w:val="00C60810"/>
    <w:rsid w:val="00C613E1"/>
    <w:rsid w:val="00C61762"/>
    <w:rsid w:val="00C61EC9"/>
    <w:rsid w:val="00C63053"/>
    <w:rsid w:val="00C63C8E"/>
    <w:rsid w:val="00C647CE"/>
    <w:rsid w:val="00C65130"/>
    <w:rsid w:val="00C651D6"/>
    <w:rsid w:val="00C65655"/>
    <w:rsid w:val="00C66DAB"/>
    <w:rsid w:val="00C67013"/>
    <w:rsid w:val="00C671A2"/>
    <w:rsid w:val="00C7069C"/>
    <w:rsid w:val="00C70C4B"/>
    <w:rsid w:val="00C71A1D"/>
    <w:rsid w:val="00C744D0"/>
    <w:rsid w:val="00C74787"/>
    <w:rsid w:val="00C74D9B"/>
    <w:rsid w:val="00C7597A"/>
    <w:rsid w:val="00C765BB"/>
    <w:rsid w:val="00C80A8D"/>
    <w:rsid w:val="00C84371"/>
    <w:rsid w:val="00C84823"/>
    <w:rsid w:val="00C85209"/>
    <w:rsid w:val="00C90401"/>
    <w:rsid w:val="00C90EB3"/>
    <w:rsid w:val="00C90F2F"/>
    <w:rsid w:val="00C92857"/>
    <w:rsid w:val="00C92D57"/>
    <w:rsid w:val="00C947F1"/>
    <w:rsid w:val="00C94980"/>
    <w:rsid w:val="00C949EA"/>
    <w:rsid w:val="00C95E6D"/>
    <w:rsid w:val="00C95F4E"/>
    <w:rsid w:val="00C96B3C"/>
    <w:rsid w:val="00C96F67"/>
    <w:rsid w:val="00C977D2"/>
    <w:rsid w:val="00CA051C"/>
    <w:rsid w:val="00CA0E58"/>
    <w:rsid w:val="00CA25F4"/>
    <w:rsid w:val="00CA2DCB"/>
    <w:rsid w:val="00CA50B9"/>
    <w:rsid w:val="00CA545C"/>
    <w:rsid w:val="00CA589B"/>
    <w:rsid w:val="00CA5BA4"/>
    <w:rsid w:val="00CA7F76"/>
    <w:rsid w:val="00CB0644"/>
    <w:rsid w:val="00CB2B03"/>
    <w:rsid w:val="00CB2CBF"/>
    <w:rsid w:val="00CB5AF5"/>
    <w:rsid w:val="00CB702C"/>
    <w:rsid w:val="00CC2010"/>
    <w:rsid w:val="00CC345F"/>
    <w:rsid w:val="00CC35A8"/>
    <w:rsid w:val="00CC3C77"/>
    <w:rsid w:val="00CC40A6"/>
    <w:rsid w:val="00CC422B"/>
    <w:rsid w:val="00CC5566"/>
    <w:rsid w:val="00CC79D9"/>
    <w:rsid w:val="00CC7A81"/>
    <w:rsid w:val="00CD1831"/>
    <w:rsid w:val="00CD1A8E"/>
    <w:rsid w:val="00CD211B"/>
    <w:rsid w:val="00CD2AC7"/>
    <w:rsid w:val="00CD4501"/>
    <w:rsid w:val="00CD555F"/>
    <w:rsid w:val="00CD5A1F"/>
    <w:rsid w:val="00CD66C0"/>
    <w:rsid w:val="00CD6AB2"/>
    <w:rsid w:val="00CD6CFE"/>
    <w:rsid w:val="00CE01F7"/>
    <w:rsid w:val="00CE0411"/>
    <w:rsid w:val="00CE169E"/>
    <w:rsid w:val="00CE1916"/>
    <w:rsid w:val="00CE1946"/>
    <w:rsid w:val="00CE2172"/>
    <w:rsid w:val="00CE5CF5"/>
    <w:rsid w:val="00CE65BE"/>
    <w:rsid w:val="00CF01E9"/>
    <w:rsid w:val="00CF1319"/>
    <w:rsid w:val="00CF14CF"/>
    <w:rsid w:val="00CF4829"/>
    <w:rsid w:val="00CF5819"/>
    <w:rsid w:val="00CF767F"/>
    <w:rsid w:val="00D00168"/>
    <w:rsid w:val="00D02985"/>
    <w:rsid w:val="00D03591"/>
    <w:rsid w:val="00D04A82"/>
    <w:rsid w:val="00D05CF7"/>
    <w:rsid w:val="00D062EC"/>
    <w:rsid w:val="00D06DA9"/>
    <w:rsid w:val="00D07A24"/>
    <w:rsid w:val="00D107B2"/>
    <w:rsid w:val="00D11D3B"/>
    <w:rsid w:val="00D125D1"/>
    <w:rsid w:val="00D13897"/>
    <w:rsid w:val="00D15042"/>
    <w:rsid w:val="00D150AA"/>
    <w:rsid w:val="00D15128"/>
    <w:rsid w:val="00D15827"/>
    <w:rsid w:val="00D16F45"/>
    <w:rsid w:val="00D172D5"/>
    <w:rsid w:val="00D17432"/>
    <w:rsid w:val="00D206F7"/>
    <w:rsid w:val="00D20DE0"/>
    <w:rsid w:val="00D2153F"/>
    <w:rsid w:val="00D2216A"/>
    <w:rsid w:val="00D22BB2"/>
    <w:rsid w:val="00D23ECC"/>
    <w:rsid w:val="00D247E8"/>
    <w:rsid w:val="00D248BA"/>
    <w:rsid w:val="00D24E59"/>
    <w:rsid w:val="00D2621F"/>
    <w:rsid w:val="00D27319"/>
    <w:rsid w:val="00D27FAD"/>
    <w:rsid w:val="00D314EC"/>
    <w:rsid w:val="00D31AAA"/>
    <w:rsid w:val="00D33B6F"/>
    <w:rsid w:val="00D33C6E"/>
    <w:rsid w:val="00D33CC3"/>
    <w:rsid w:val="00D34DE9"/>
    <w:rsid w:val="00D3699A"/>
    <w:rsid w:val="00D36ED3"/>
    <w:rsid w:val="00D371A7"/>
    <w:rsid w:val="00D4117E"/>
    <w:rsid w:val="00D43619"/>
    <w:rsid w:val="00D449C3"/>
    <w:rsid w:val="00D4632D"/>
    <w:rsid w:val="00D467DD"/>
    <w:rsid w:val="00D46EEC"/>
    <w:rsid w:val="00D47328"/>
    <w:rsid w:val="00D47729"/>
    <w:rsid w:val="00D47BD0"/>
    <w:rsid w:val="00D47F4D"/>
    <w:rsid w:val="00D513E9"/>
    <w:rsid w:val="00D5152E"/>
    <w:rsid w:val="00D556E3"/>
    <w:rsid w:val="00D55AEC"/>
    <w:rsid w:val="00D563DE"/>
    <w:rsid w:val="00D56BFF"/>
    <w:rsid w:val="00D622AD"/>
    <w:rsid w:val="00D62EB1"/>
    <w:rsid w:val="00D64E52"/>
    <w:rsid w:val="00D64EBA"/>
    <w:rsid w:val="00D65CF7"/>
    <w:rsid w:val="00D666A3"/>
    <w:rsid w:val="00D67C33"/>
    <w:rsid w:val="00D67F08"/>
    <w:rsid w:val="00D71007"/>
    <w:rsid w:val="00D72000"/>
    <w:rsid w:val="00D73219"/>
    <w:rsid w:val="00D7335D"/>
    <w:rsid w:val="00D741AC"/>
    <w:rsid w:val="00D748F7"/>
    <w:rsid w:val="00D74C08"/>
    <w:rsid w:val="00D77AE9"/>
    <w:rsid w:val="00D8090B"/>
    <w:rsid w:val="00D82811"/>
    <w:rsid w:val="00D82859"/>
    <w:rsid w:val="00D8430D"/>
    <w:rsid w:val="00D85705"/>
    <w:rsid w:val="00D85D2D"/>
    <w:rsid w:val="00D8637E"/>
    <w:rsid w:val="00D8700A"/>
    <w:rsid w:val="00D87DEC"/>
    <w:rsid w:val="00D90ABF"/>
    <w:rsid w:val="00D90F55"/>
    <w:rsid w:val="00D9118E"/>
    <w:rsid w:val="00D91677"/>
    <w:rsid w:val="00D918EF"/>
    <w:rsid w:val="00D91FBA"/>
    <w:rsid w:val="00D92180"/>
    <w:rsid w:val="00D9251A"/>
    <w:rsid w:val="00D92AB3"/>
    <w:rsid w:val="00D9396C"/>
    <w:rsid w:val="00D94680"/>
    <w:rsid w:val="00D9514F"/>
    <w:rsid w:val="00DA145F"/>
    <w:rsid w:val="00DA4032"/>
    <w:rsid w:val="00DA4492"/>
    <w:rsid w:val="00DA461B"/>
    <w:rsid w:val="00DB08B4"/>
    <w:rsid w:val="00DB1459"/>
    <w:rsid w:val="00DB3061"/>
    <w:rsid w:val="00DB45F4"/>
    <w:rsid w:val="00DB493A"/>
    <w:rsid w:val="00DB4C0D"/>
    <w:rsid w:val="00DB6E2D"/>
    <w:rsid w:val="00DC09A6"/>
    <w:rsid w:val="00DC144C"/>
    <w:rsid w:val="00DC1C84"/>
    <w:rsid w:val="00DC2FC9"/>
    <w:rsid w:val="00DC4AA4"/>
    <w:rsid w:val="00DC4B39"/>
    <w:rsid w:val="00DC558B"/>
    <w:rsid w:val="00DC5947"/>
    <w:rsid w:val="00DC60ED"/>
    <w:rsid w:val="00DD1064"/>
    <w:rsid w:val="00DD223C"/>
    <w:rsid w:val="00DD25A3"/>
    <w:rsid w:val="00DD4F28"/>
    <w:rsid w:val="00DD5663"/>
    <w:rsid w:val="00DD6620"/>
    <w:rsid w:val="00DD776C"/>
    <w:rsid w:val="00DD7CB4"/>
    <w:rsid w:val="00DE1152"/>
    <w:rsid w:val="00DE1A14"/>
    <w:rsid w:val="00DE3E5D"/>
    <w:rsid w:val="00DE4D43"/>
    <w:rsid w:val="00DE5515"/>
    <w:rsid w:val="00DF0934"/>
    <w:rsid w:val="00DF0C60"/>
    <w:rsid w:val="00DF1646"/>
    <w:rsid w:val="00DF3783"/>
    <w:rsid w:val="00DF4266"/>
    <w:rsid w:val="00DF57CA"/>
    <w:rsid w:val="00DF644D"/>
    <w:rsid w:val="00DF6F72"/>
    <w:rsid w:val="00E02BA7"/>
    <w:rsid w:val="00E02F88"/>
    <w:rsid w:val="00E04956"/>
    <w:rsid w:val="00E05233"/>
    <w:rsid w:val="00E0666C"/>
    <w:rsid w:val="00E10A99"/>
    <w:rsid w:val="00E11302"/>
    <w:rsid w:val="00E1247B"/>
    <w:rsid w:val="00E1311C"/>
    <w:rsid w:val="00E13771"/>
    <w:rsid w:val="00E1505C"/>
    <w:rsid w:val="00E15B2A"/>
    <w:rsid w:val="00E17D27"/>
    <w:rsid w:val="00E23645"/>
    <w:rsid w:val="00E24DDC"/>
    <w:rsid w:val="00E25C8D"/>
    <w:rsid w:val="00E277D1"/>
    <w:rsid w:val="00E344BA"/>
    <w:rsid w:val="00E351AE"/>
    <w:rsid w:val="00E35F39"/>
    <w:rsid w:val="00E35FD7"/>
    <w:rsid w:val="00E36DE9"/>
    <w:rsid w:val="00E373D0"/>
    <w:rsid w:val="00E37813"/>
    <w:rsid w:val="00E3792F"/>
    <w:rsid w:val="00E404BD"/>
    <w:rsid w:val="00E4156B"/>
    <w:rsid w:val="00E41604"/>
    <w:rsid w:val="00E43B8C"/>
    <w:rsid w:val="00E44493"/>
    <w:rsid w:val="00E446CB"/>
    <w:rsid w:val="00E44A82"/>
    <w:rsid w:val="00E459B4"/>
    <w:rsid w:val="00E46922"/>
    <w:rsid w:val="00E4710D"/>
    <w:rsid w:val="00E50D05"/>
    <w:rsid w:val="00E5121D"/>
    <w:rsid w:val="00E521AD"/>
    <w:rsid w:val="00E52BA4"/>
    <w:rsid w:val="00E53850"/>
    <w:rsid w:val="00E55421"/>
    <w:rsid w:val="00E55495"/>
    <w:rsid w:val="00E56D38"/>
    <w:rsid w:val="00E5723F"/>
    <w:rsid w:val="00E6041B"/>
    <w:rsid w:val="00E60B59"/>
    <w:rsid w:val="00E621CA"/>
    <w:rsid w:val="00E6390A"/>
    <w:rsid w:val="00E6440E"/>
    <w:rsid w:val="00E64A58"/>
    <w:rsid w:val="00E64F86"/>
    <w:rsid w:val="00E65065"/>
    <w:rsid w:val="00E659EC"/>
    <w:rsid w:val="00E65B64"/>
    <w:rsid w:val="00E66CF2"/>
    <w:rsid w:val="00E67D0E"/>
    <w:rsid w:val="00E70A5C"/>
    <w:rsid w:val="00E7178A"/>
    <w:rsid w:val="00E71A5E"/>
    <w:rsid w:val="00E72E38"/>
    <w:rsid w:val="00E7389C"/>
    <w:rsid w:val="00E73E18"/>
    <w:rsid w:val="00E749C9"/>
    <w:rsid w:val="00E77EB9"/>
    <w:rsid w:val="00E816D0"/>
    <w:rsid w:val="00E81866"/>
    <w:rsid w:val="00E81A0E"/>
    <w:rsid w:val="00E8203A"/>
    <w:rsid w:val="00E82B37"/>
    <w:rsid w:val="00E8362A"/>
    <w:rsid w:val="00E83E53"/>
    <w:rsid w:val="00E84721"/>
    <w:rsid w:val="00E84FBA"/>
    <w:rsid w:val="00E869D0"/>
    <w:rsid w:val="00E871BE"/>
    <w:rsid w:val="00E912DA"/>
    <w:rsid w:val="00E93215"/>
    <w:rsid w:val="00E948FB"/>
    <w:rsid w:val="00E9523F"/>
    <w:rsid w:val="00E9575D"/>
    <w:rsid w:val="00E95EA2"/>
    <w:rsid w:val="00E96969"/>
    <w:rsid w:val="00E96B27"/>
    <w:rsid w:val="00EA078A"/>
    <w:rsid w:val="00EA0FB2"/>
    <w:rsid w:val="00EA37A9"/>
    <w:rsid w:val="00EA389A"/>
    <w:rsid w:val="00EA4A99"/>
    <w:rsid w:val="00EA4AF8"/>
    <w:rsid w:val="00EA4B46"/>
    <w:rsid w:val="00EA52A3"/>
    <w:rsid w:val="00EA56F4"/>
    <w:rsid w:val="00EA6DA8"/>
    <w:rsid w:val="00EA6E20"/>
    <w:rsid w:val="00EB061D"/>
    <w:rsid w:val="00EB34E3"/>
    <w:rsid w:val="00EB3CC4"/>
    <w:rsid w:val="00EB770B"/>
    <w:rsid w:val="00EC02CD"/>
    <w:rsid w:val="00EC0634"/>
    <w:rsid w:val="00EC0AAF"/>
    <w:rsid w:val="00EC0FB8"/>
    <w:rsid w:val="00EC2F4E"/>
    <w:rsid w:val="00EC37A3"/>
    <w:rsid w:val="00EC50B8"/>
    <w:rsid w:val="00EC62E5"/>
    <w:rsid w:val="00EC785F"/>
    <w:rsid w:val="00ED0714"/>
    <w:rsid w:val="00ED10B4"/>
    <w:rsid w:val="00ED19FD"/>
    <w:rsid w:val="00ED242D"/>
    <w:rsid w:val="00ED30C4"/>
    <w:rsid w:val="00ED440F"/>
    <w:rsid w:val="00ED4E93"/>
    <w:rsid w:val="00ED5D9E"/>
    <w:rsid w:val="00EE0337"/>
    <w:rsid w:val="00EE03BE"/>
    <w:rsid w:val="00EE2D1C"/>
    <w:rsid w:val="00EE395E"/>
    <w:rsid w:val="00EE565F"/>
    <w:rsid w:val="00EE6D4C"/>
    <w:rsid w:val="00EE6F70"/>
    <w:rsid w:val="00EE7127"/>
    <w:rsid w:val="00EF20D1"/>
    <w:rsid w:val="00EF34B4"/>
    <w:rsid w:val="00EF3676"/>
    <w:rsid w:val="00EF4B82"/>
    <w:rsid w:val="00EF4C27"/>
    <w:rsid w:val="00EF63E8"/>
    <w:rsid w:val="00EF7871"/>
    <w:rsid w:val="00EF79C5"/>
    <w:rsid w:val="00F00D0F"/>
    <w:rsid w:val="00F026FC"/>
    <w:rsid w:val="00F02FDF"/>
    <w:rsid w:val="00F03676"/>
    <w:rsid w:val="00F0695C"/>
    <w:rsid w:val="00F07436"/>
    <w:rsid w:val="00F0747B"/>
    <w:rsid w:val="00F16228"/>
    <w:rsid w:val="00F16F4C"/>
    <w:rsid w:val="00F2054F"/>
    <w:rsid w:val="00F205BC"/>
    <w:rsid w:val="00F21C65"/>
    <w:rsid w:val="00F222DF"/>
    <w:rsid w:val="00F23068"/>
    <w:rsid w:val="00F24508"/>
    <w:rsid w:val="00F24A12"/>
    <w:rsid w:val="00F25AB9"/>
    <w:rsid w:val="00F273AC"/>
    <w:rsid w:val="00F33383"/>
    <w:rsid w:val="00F34007"/>
    <w:rsid w:val="00F34B96"/>
    <w:rsid w:val="00F35E36"/>
    <w:rsid w:val="00F374A6"/>
    <w:rsid w:val="00F40434"/>
    <w:rsid w:val="00F42513"/>
    <w:rsid w:val="00F436D7"/>
    <w:rsid w:val="00F45E31"/>
    <w:rsid w:val="00F45E49"/>
    <w:rsid w:val="00F53977"/>
    <w:rsid w:val="00F53B66"/>
    <w:rsid w:val="00F563B9"/>
    <w:rsid w:val="00F57BD4"/>
    <w:rsid w:val="00F602D7"/>
    <w:rsid w:val="00F610C0"/>
    <w:rsid w:val="00F61B7D"/>
    <w:rsid w:val="00F61E91"/>
    <w:rsid w:val="00F650BF"/>
    <w:rsid w:val="00F65707"/>
    <w:rsid w:val="00F67537"/>
    <w:rsid w:val="00F725C4"/>
    <w:rsid w:val="00F72D33"/>
    <w:rsid w:val="00F72DDC"/>
    <w:rsid w:val="00F73538"/>
    <w:rsid w:val="00F766D9"/>
    <w:rsid w:val="00F76CF0"/>
    <w:rsid w:val="00F76E5E"/>
    <w:rsid w:val="00F7739A"/>
    <w:rsid w:val="00F80B6C"/>
    <w:rsid w:val="00F82815"/>
    <w:rsid w:val="00F82A6D"/>
    <w:rsid w:val="00F843EA"/>
    <w:rsid w:val="00F872A5"/>
    <w:rsid w:val="00F87C28"/>
    <w:rsid w:val="00F9195B"/>
    <w:rsid w:val="00F91CE4"/>
    <w:rsid w:val="00F9282B"/>
    <w:rsid w:val="00F964CE"/>
    <w:rsid w:val="00F96556"/>
    <w:rsid w:val="00FA34C1"/>
    <w:rsid w:val="00FA36F3"/>
    <w:rsid w:val="00FA4010"/>
    <w:rsid w:val="00FA580F"/>
    <w:rsid w:val="00FA6599"/>
    <w:rsid w:val="00FB138E"/>
    <w:rsid w:val="00FB185F"/>
    <w:rsid w:val="00FB1DF2"/>
    <w:rsid w:val="00FB21C3"/>
    <w:rsid w:val="00FB2B10"/>
    <w:rsid w:val="00FB40D4"/>
    <w:rsid w:val="00FB6F1F"/>
    <w:rsid w:val="00FB6FB2"/>
    <w:rsid w:val="00FB7B71"/>
    <w:rsid w:val="00FC0142"/>
    <w:rsid w:val="00FC094B"/>
    <w:rsid w:val="00FC139C"/>
    <w:rsid w:val="00FC21C6"/>
    <w:rsid w:val="00FC4369"/>
    <w:rsid w:val="00FC49FF"/>
    <w:rsid w:val="00FC647E"/>
    <w:rsid w:val="00FC75A4"/>
    <w:rsid w:val="00FC7CCD"/>
    <w:rsid w:val="00FD0CAC"/>
    <w:rsid w:val="00FD1C57"/>
    <w:rsid w:val="00FD384C"/>
    <w:rsid w:val="00FD5CAC"/>
    <w:rsid w:val="00FD607D"/>
    <w:rsid w:val="00FD6A15"/>
    <w:rsid w:val="00FE0B57"/>
    <w:rsid w:val="00FE28C6"/>
    <w:rsid w:val="00FE4DA9"/>
    <w:rsid w:val="00FE5686"/>
    <w:rsid w:val="00FE6C6A"/>
    <w:rsid w:val="00FE6F9B"/>
    <w:rsid w:val="00FE7462"/>
    <w:rsid w:val="00FF275E"/>
    <w:rsid w:val="00FF5A4A"/>
    <w:rsid w:val="00FF632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BCEE0"/>
  <w15:chartTrackingRefBased/>
  <w15:docId w15:val="{2C0657B9-82CA-4D84-B535-8DDF7E42F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4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E5B"/>
    <w:pPr>
      <w:ind w:left="720"/>
      <w:contextualSpacing/>
    </w:pPr>
  </w:style>
  <w:style w:type="paragraph" w:styleId="Header">
    <w:name w:val="header"/>
    <w:basedOn w:val="Normal"/>
    <w:link w:val="HeaderChar"/>
    <w:uiPriority w:val="99"/>
    <w:unhideWhenUsed/>
    <w:rsid w:val="007831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18C"/>
  </w:style>
  <w:style w:type="paragraph" w:styleId="Footer">
    <w:name w:val="footer"/>
    <w:basedOn w:val="Normal"/>
    <w:link w:val="FooterChar"/>
    <w:uiPriority w:val="99"/>
    <w:unhideWhenUsed/>
    <w:rsid w:val="007831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18C"/>
  </w:style>
  <w:style w:type="paragraph" w:styleId="Revision">
    <w:name w:val="Revision"/>
    <w:hidden/>
    <w:uiPriority w:val="99"/>
    <w:semiHidden/>
    <w:rsid w:val="00071340"/>
    <w:pPr>
      <w:spacing w:after="0" w:line="240" w:lineRule="auto"/>
    </w:pPr>
  </w:style>
  <w:style w:type="character" w:styleId="CommentReference">
    <w:name w:val="annotation reference"/>
    <w:basedOn w:val="DefaultParagraphFont"/>
    <w:uiPriority w:val="99"/>
    <w:semiHidden/>
    <w:unhideWhenUsed/>
    <w:rsid w:val="00D748F7"/>
    <w:rPr>
      <w:sz w:val="16"/>
      <w:szCs w:val="16"/>
    </w:rPr>
  </w:style>
  <w:style w:type="paragraph" w:styleId="CommentText">
    <w:name w:val="annotation text"/>
    <w:basedOn w:val="Normal"/>
    <w:link w:val="CommentTextChar"/>
    <w:uiPriority w:val="99"/>
    <w:unhideWhenUsed/>
    <w:rsid w:val="00D748F7"/>
    <w:pPr>
      <w:spacing w:line="240" w:lineRule="auto"/>
    </w:pPr>
    <w:rPr>
      <w:sz w:val="20"/>
      <w:szCs w:val="20"/>
    </w:rPr>
  </w:style>
  <w:style w:type="character" w:customStyle="1" w:styleId="CommentTextChar">
    <w:name w:val="Comment Text Char"/>
    <w:basedOn w:val="DefaultParagraphFont"/>
    <w:link w:val="CommentText"/>
    <w:uiPriority w:val="99"/>
    <w:rsid w:val="00D748F7"/>
    <w:rPr>
      <w:sz w:val="20"/>
      <w:szCs w:val="20"/>
    </w:rPr>
  </w:style>
  <w:style w:type="paragraph" w:styleId="CommentSubject">
    <w:name w:val="annotation subject"/>
    <w:basedOn w:val="CommentText"/>
    <w:next w:val="CommentText"/>
    <w:link w:val="CommentSubjectChar"/>
    <w:uiPriority w:val="99"/>
    <w:semiHidden/>
    <w:unhideWhenUsed/>
    <w:rsid w:val="00D748F7"/>
    <w:rPr>
      <w:b/>
      <w:bCs/>
    </w:rPr>
  </w:style>
  <w:style w:type="character" w:customStyle="1" w:styleId="CommentSubjectChar">
    <w:name w:val="Comment Subject Char"/>
    <w:basedOn w:val="CommentTextChar"/>
    <w:link w:val="CommentSubject"/>
    <w:uiPriority w:val="99"/>
    <w:semiHidden/>
    <w:rsid w:val="00D748F7"/>
    <w:rPr>
      <w:b/>
      <w:bCs/>
      <w:sz w:val="20"/>
      <w:szCs w:val="20"/>
    </w:rPr>
  </w:style>
  <w:style w:type="paragraph" w:styleId="FootnoteText">
    <w:name w:val="footnote text"/>
    <w:basedOn w:val="Normal"/>
    <w:link w:val="FootnoteTextChar"/>
    <w:uiPriority w:val="99"/>
    <w:unhideWhenUsed/>
    <w:rsid w:val="00FD6A15"/>
    <w:pPr>
      <w:spacing w:after="0" w:line="240" w:lineRule="auto"/>
    </w:pPr>
    <w:rPr>
      <w:sz w:val="20"/>
      <w:szCs w:val="20"/>
    </w:rPr>
  </w:style>
  <w:style w:type="character" w:customStyle="1" w:styleId="FootnoteTextChar">
    <w:name w:val="Footnote Text Char"/>
    <w:basedOn w:val="DefaultParagraphFont"/>
    <w:link w:val="FootnoteText"/>
    <w:uiPriority w:val="99"/>
    <w:rsid w:val="00FD6A15"/>
    <w:rPr>
      <w:sz w:val="20"/>
      <w:szCs w:val="20"/>
    </w:rPr>
  </w:style>
  <w:style w:type="character" w:styleId="FootnoteReference">
    <w:name w:val="footnote reference"/>
    <w:basedOn w:val="DefaultParagraphFont"/>
    <w:uiPriority w:val="99"/>
    <w:semiHidden/>
    <w:unhideWhenUsed/>
    <w:rsid w:val="00FD6A15"/>
    <w:rPr>
      <w:vertAlign w:val="superscript"/>
    </w:rPr>
  </w:style>
  <w:style w:type="character" w:styleId="Hyperlink">
    <w:name w:val="Hyperlink"/>
    <w:basedOn w:val="DefaultParagraphFont"/>
    <w:uiPriority w:val="99"/>
    <w:unhideWhenUsed/>
    <w:rsid w:val="00FD6A15"/>
    <w:rPr>
      <w:color w:val="0563C1" w:themeColor="hyperlink"/>
      <w:u w:val="single"/>
    </w:rPr>
  </w:style>
  <w:style w:type="character" w:styleId="UnresolvedMention">
    <w:name w:val="Unresolved Mention"/>
    <w:basedOn w:val="DefaultParagraphFont"/>
    <w:uiPriority w:val="99"/>
    <w:semiHidden/>
    <w:unhideWhenUsed/>
    <w:rsid w:val="00FD6A15"/>
    <w:rPr>
      <w:color w:val="605E5C"/>
      <w:shd w:val="clear" w:color="auto" w:fill="E1DFDD"/>
    </w:rPr>
  </w:style>
  <w:style w:type="paragraph" w:styleId="NoSpacing">
    <w:name w:val="No Spacing"/>
    <w:uiPriority w:val="1"/>
    <w:qFormat/>
    <w:rsid w:val="007B7080"/>
    <w:pPr>
      <w:spacing w:after="0" w:line="240" w:lineRule="auto"/>
      <w:jc w:val="both"/>
    </w:pPr>
    <w:rPr>
      <w:rFonts w:ascii="Arial" w:eastAsia="Calibri" w:hAnsi="Arial" w:cs="Times New Roman"/>
      <w:sz w:val="20"/>
    </w:rPr>
  </w:style>
  <w:style w:type="table" w:styleId="TableGrid">
    <w:name w:val="Table Grid"/>
    <w:basedOn w:val="TableNormal"/>
    <w:uiPriority w:val="39"/>
    <w:rsid w:val="00D6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10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media.frc.org.uk/documents/UK_Corporate_Governance_Code_2024_kRCm5ss.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6.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documentManagement>
</p:properties>
</file>

<file path=customXml/itemProps1.xml><?xml version="1.0" encoding="utf-8"?>
<ds:datastoreItem xmlns:ds="http://schemas.openxmlformats.org/officeDocument/2006/customXml" ds:itemID="{E5B16A69-3E86-4783-AD0B-E0A4DC6E6D2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4F4CA72-12DC-4CA2-89C7-CD460A98A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4E716-550F-49D0-9648-4D90D77E4327}">
  <ds:schemaRefs>
    <ds:schemaRef ds:uri="http://schemas.microsoft.com/sharepoint/v3/contenttype/forms"/>
  </ds:schemaRefs>
</ds:datastoreItem>
</file>

<file path=customXml/itemProps4.xml><?xml version="1.0" encoding="utf-8"?>
<ds:datastoreItem xmlns:ds="http://schemas.openxmlformats.org/officeDocument/2006/customXml" ds:itemID="{8277BA61-2A44-489B-A6BB-D9ED8F1EA7DC}">
  <ds:schemaRefs>
    <ds:schemaRef ds:uri="http://schemas.openxmlformats.org/officeDocument/2006/bibliography"/>
  </ds:schemaRefs>
</ds:datastoreItem>
</file>

<file path=customXml/itemProps5.xml><?xml version="1.0" encoding="utf-8"?>
<ds:datastoreItem xmlns:ds="http://schemas.openxmlformats.org/officeDocument/2006/customXml" ds:itemID="{8606388A-7167-4E96-BF47-FF803932190F}">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51F12AAF-1C4D-48DB-9531-EB563BBC3C55}">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2081</Words>
  <Characters>11863</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13917</CharactersWithSpaces>
  <SharedDoc>false</SharedDoc>
  <HLinks>
    <vt:vector size="6" baseType="variant">
      <vt:variant>
        <vt:i4>2621447</vt:i4>
      </vt:variant>
      <vt:variant>
        <vt:i4>0</vt:i4>
      </vt:variant>
      <vt:variant>
        <vt:i4>0</vt:i4>
      </vt:variant>
      <vt:variant>
        <vt:i4>5</vt:i4>
      </vt:variant>
      <vt:variant>
        <vt:lpwstr>https://media.frc.org.uk/documents/UK_Corporate_Governance_Code_2024_kRCm5ss.pdf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Geveke</dc:creator>
  <cp:keywords/>
  <dc:description/>
  <cp:lastModifiedBy>Arjan Geveke</cp:lastModifiedBy>
  <cp:revision>11</cp:revision>
  <dcterms:created xsi:type="dcterms:W3CDTF">2024-03-06T18:45:00Z</dcterms:created>
  <dcterms:modified xsi:type="dcterms:W3CDTF">2024-03-25T17:37:00Z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Order">
    <vt:r8>34900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y fmtid="{D5CDD505-2E9C-101B-9397-08002B2CF9AE}" pid="11" name="bjDocumentSecurityLabel">
    <vt:lpwstr>This item has no classification</vt:lpwstr>
  </property>
  <property fmtid="{D5CDD505-2E9C-101B-9397-08002B2CF9AE}" pid="12" name="bjClsUserRVM">
    <vt:lpwstr>[]</vt:lpwstr>
  </property>
  <property fmtid="{D5CDD505-2E9C-101B-9397-08002B2CF9AE}" pid="13" name="docIndexRef">
    <vt:lpwstr>5e1cacc6-6f10-43e9-b5a4-8db2efc4da8a</vt:lpwstr>
  </property>
  <property fmtid="{D5CDD505-2E9C-101B-9397-08002B2CF9AE}" pid="14" name="bjSaver">
    <vt:lpwstr>Y1AwyK0tV+Kqy8vYUD3UQCvVwmew4Z5J</vt:lpwstr>
  </property>
</Properties>
</file>