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A179D" w14:textId="3D6E885D" w:rsidR="00707181" w:rsidRDefault="00707181" w:rsidP="67BF2BF8">
      <w:pPr>
        <w:rPr>
          <w:rFonts w:hint="eastAsia"/>
          <w:b/>
          <w:bCs/>
        </w:rPr>
      </w:pPr>
      <w:r w:rsidRPr="67BF2BF8">
        <w:rPr>
          <w:b/>
          <w:bCs/>
        </w:rPr>
        <w:t xml:space="preserve">RIIO-3 Sector Specific Methodology Consultation – E3G </w:t>
      </w:r>
      <w:r w:rsidR="2B9623D2" w:rsidRPr="67BF2BF8">
        <w:rPr>
          <w:b/>
          <w:bCs/>
        </w:rPr>
        <w:t>Response</w:t>
      </w:r>
    </w:p>
    <w:p w14:paraId="7A7AB71A" w14:textId="7BE62BCE" w:rsidR="7F967D9A" w:rsidRPr="00EB552E" w:rsidRDefault="00F925A8" w:rsidP="7F967D9A">
      <w:pPr>
        <w:rPr>
          <w:rFonts w:ascii="Calibri" w:eastAsia="Calibri" w:hAnsi="Calibri" w:cs="Calibri"/>
          <w:b/>
          <w:bCs/>
          <w:sz w:val="22"/>
          <w:szCs w:val="22"/>
        </w:rPr>
      </w:pPr>
      <w:r w:rsidRPr="67BF2BF8">
        <w:rPr>
          <w:rFonts w:ascii="Calibri" w:eastAsia="Calibri" w:hAnsi="Calibri" w:cs="Calibri"/>
          <w:b/>
          <w:bCs/>
          <w:sz w:val="22"/>
          <w:szCs w:val="22"/>
        </w:rPr>
        <w:t>Summary of our view on the Future of Gas</w:t>
      </w:r>
      <w:r w:rsidR="19002B00" w:rsidRPr="67BF2BF8">
        <w:rPr>
          <w:rFonts w:ascii="Calibri" w:eastAsia="Calibri" w:hAnsi="Calibri" w:cs="Calibri"/>
          <w:b/>
          <w:bCs/>
          <w:sz w:val="22"/>
          <w:szCs w:val="22"/>
        </w:rPr>
        <w:t xml:space="preserve"> (Individual Q responses below)</w:t>
      </w:r>
    </w:p>
    <w:p w14:paraId="6A532A99" w14:textId="4F015DB4" w:rsidR="006410E3" w:rsidRPr="00EB552E" w:rsidRDefault="0112377E" w:rsidP="00905373">
      <w:pPr>
        <w:pStyle w:val="ListParagraph"/>
        <w:numPr>
          <w:ilvl w:val="0"/>
          <w:numId w:val="2"/>
        </w:numPr>
        <w:rPr>
          <w:rFonts w:ascii="Calibri" w:eastAsia="Calibri" w:hAnsi="Calibri" w:cs="Calibri"/>
          <w:sz w:val="22"/>
          <w:szCs w:val="22"/>
        </w:rPr>
      </w:pPr>
      <w:r w:rsidRPr="740363DB">
        <w:rPr>
          <w:rFonts w:ascii="Calibri" w:eastAsia="Calibri" w:hAnsi="Calibri" w:cs="Calibri"/>
          <w:sz w:val="22"/>
          <w:szCs w:val="22"/>
        </w:rPr>
        <w:t>We agree</w:t>
      </w:r>
      <w:r w:rsidR="00AC5C2C" w:rsidRPr="740363DB">
        <w:rPr>
          <w:rFonts w:ascii="Calibri" w:eastAsia="Calibri" w:hAnsi="Calibri" w:cs="Calibri"/>
          <w:sz w:val="22"/>
          <w:szCs w:val="22"/>
        </w:rPr>
        <w:t xml:space="preserve"> with Ofgem</w:t>
      </w:r>
      <w:r w:rsidRPr="740363DB">
        <w:rPr>
          <w:rFonts w:ascii="Calibri" w:eastAsia="Calibri" w:hAnsi="Calibri" w:cs="Calibri"/>
          <w:sz w:val="22"/>
          <w:szCs w:val="22"/>
        </w:rPr>
        <w:t xml:space="preserve"> that the future role of gas networks remains deeply uncertain.</w:t>
      </w:r>
      <w:r w:rsidR="0028722B" w:rsidRPr="740363DB">
        <w:rPr>
          <w:rFonts w:ascii="Calibri" w:eastAsia="Calibri" w:hAnsi="Calibri" w:cs="Calibri"/>
          <w:sz w:val="22"/>
          <w:szCs w:val="22"/>
        </w:rPr>
        <w:t xml:space="preserve"> </w:t>
      </w:r>
      <w:r w:rsidR="000D1DE4" w:rsidRPr="740363DB">
        <w:rPr>
          <w:rFonts w:ascii="Calibri" w:eastAsia="Calibri" w:hAnsi="Calibri" w:cs="Calibri"/>
          <w:sz w:val="22"/>
          <w:szCs w:val="22"/>
        </w:rPr>
        <w:t xml:space="preserve">However, </w:t>
      </w:r>
      <w:r w:rsidR="00283155" w:rsidRPr="740363DB">
        <w:rPr>
          <w:rFonts w:ascii="Calibri" w:eastAsia="Calibri" w:hAnsi="Calibri" w:cs="Calibri"/>
          <w:sz w:val="22"/>
          <w:szCs w:val="22"/>
        </w:rPr>
        <w:t>the need for change is</w:t>
      </w:r>
      <w:r w:rsidR="000D1DE4" w:rsidRPr="740363DB">
        <w:rPr>
          <w:rFonts w:ascii="Calibri" w:eastAsia="Calibri" w:hAnsi="Calibri" w:cs="Calibri"/>
          <w:sz w:val="22"/>
          <w:szCs w:val="22"/>
        </w:rPr>
        <w:t xml:space="preserve"> already clear: </w:t>
      </w:r>
      <w:r w:rsidR="00283155" w:rsidRPr="740363DB">
        <w:rPr>
          <w:rFonts w:ascii="Calibri" w:eastAsia="Calibri" w:hAnsi="Calibri" w:cs="Calibri"/>
          <w:sz w:val="22"/>
          <w:szCs w:val="22"/>
        </w:rPr>
        <w:t>gas demand is already declining, and gas networks will need to proactively</w:t>
      </w:r>
      <w:r w:rsidR="00D21069" w:rsidRPr="740363DB">
        <w:rPr>
          <w:rFonts w:ascii="Calibri" w:eastAsia="Calibri" w:hAnsi="Calibri" w:cs="Calibri"/>
          <w:sz w:val="22"/>
          <w:szCs w:val="22"/>
        </w:rPr>
        <w:t xml:space="preserve"> manage this transition. </w:t>
      </w:r>
      <w:r w:rsidR="0028722B" w:rsidRPr="740363DB">
        <w:rPr>
          <w:rFonts w:ascii="Calibri" w:eastAsia="Calibri" w:hAnsi="Calibri" w:cs="Calibri"/>
          <w:sz w:val="22"/>
          <w:szCs w:val="22"/>
        </w:rPr>
        <w:t>The f</w:t>
      </w:r>
      <w:r w:rsidRPr="740363DB">
        <w:rPr>
          <w:rFonts w:ascii="Calibri" w:eastAsia="Calibri" w:hAnsi="Calibri" w:cs="Calibri"/>
          <w:sz w:val="22"/>
          <w:szCs w:val="22"/>
        </w:rPr>
        <w:t xml:space="preserve">uture </w:t>
      </w:r>
      <w:r w:rsidR="00C34C31" w:rsidRPr="740363DB">
        <w:rPr>
          <w:rFonts w:ascii="Calibri" w:eastAsia="Calibri" w:hAnsi="Calibri" w:cs="Calibri"/>
          <w:sz w:val="22"/>
          <w:szCs w:val="22"/>
        </w:rPr>
        <w:t>is likely to involve</w:t>
      </w:r>
      <w:r w:rsidRPr="740363DB">
        <w:rPr>
          <w:rFonts w:ascii="Calibri" w:eastAsia="Calibri" w:hAnsi="Calibri" w:cs="Calibri"/>
          <w:sz w:val="22"/>
          <w:szCs w:val="22"/>
        </w:rPr>
        <w:t xml:space="preserve"> a combination of managed dec</w:t>
      </w:r>
      <w:r w:rsidR="31B92052" w:rsidRPr="740363DB">
        <w:rPr>
          <w:rFonts w:ascii="Calibri" w:eastAsia="Calibri" w:hAnsi="Calibri" w:cs="Calibri"/>
          <w:sz w:val="22"/>
          <w:szCs w:val="22"/>
        </w:rPr>
        <w:t>ommissioning of some assets</w:t>
      </w:r>
      <w:r w:rsidRPr="740363DB">
        <w:rPr>
          <w:rFonts w:ascii="Calibri" w:eastAsia="Calibri" w:hAnsi="Calibri" w:cs="Calibri"/>
          <w:sz w:val="22"/>
          <w:szCs w:val="22"/>
        </w:rPr>
        <w:t xml:space="preserve">, alongside </w:t>
      </w:r>
      <w:r w:rsidR="4C001755" w:rsidRPr="740363DB">
        <w:rPr>
          <w:rFonts w:ascii="Calibri" w:eastAsia="Calibri" w:hAnsi="Calibri" w:cs="Calibri"/>
          <w:sz w:val="22"/>
          <w:szCs w:val="22"/>
        </w:rPr>
        <w:t xml:space="preserve">conversion of </w:t>
      </w:r>
      <w:r w:rsidR="0095654E" w:rsidRPr="740363DB">
        <w:rPr>
          <w:rFonts w:ascii="Calibri" w:eastAsia="Calibri" w:hAnsi="Calibri" w:cs="Calibri"/>
          <w:sz w:val="22"/>
          <w:szCs w:val="22"/>
        </w:rPr>
        <w:t xml:space="preserve">some of </w:t>
      </w:r>
      <w:r w:rsidR="4C001755" w:rsidRPr="740363DB">
        <w:rPr>
          <w:rFonts w:ascii="Calibri" w:eastAsia="Calibri" w:hAnsi="Calibri" w:cs="Calibri"/>
          <w:sz w:val="22"/>
          <w:szCs w:val="22"/>
        </w:rPr>
        <w:t>the network to transport hydrogen or carbon dioxide (for CCUS)</w:t>
      </w:r>
      <w:r w:rsidR="4B594246" w:rsidRPr="740363DB">
        <w:rPr>
          <w:rFonts w:ascii="Calibri" w:eastAsia="Calibri" w:hAnsi="Calibri" w:cs="Calibri"/>
          <w:sz w:val="22"/>
          <w:szCs w:val="22"/>
        </w:rPr>
        <w:t>.</w:t>
      </w:r>
      <w:r w:rsidR="005225F2" w:rsidRPr="740363DB">
        <w:rPr>
          <w:rFonts w:ascii="Calibri" w:eastAsia="Calibri" w:hAnsi="Calibri" w:cs="Calibri"/>
          <w:sz w:val="22"/>
          <w:szCs w:val="22"/>
        </w:rPr>
        <w:t xml:space="preserve"> </w:t>
      </w:r>
      <w:r w:rsidR="0051767F" w:rsidRPr="740363DB">
        <w:rPr>
          <w:rFonts w:ascii="Calibri" w:eastAsia="Calibri" w:hAnsi="Calibri" w:cs="Calibri"/>
          <w:sz w:val="22"/>
          <w:szCs w:val="22"/>
        </w:rPr>
        <w:t>While</w:t>
      </w:r>
      <w:r w:rsidR="00337E37" w:rsidRPr="740363DB">
        <w:rPr>
          <w:rFonts w:ascii="Calibri" w:eastAsia="Calibri" w:hAnsi="Calibri" w:cs="Calibri"/>
          <w:sz w:val="22"/>
          <w:szCs w:val="22"/>
        </w:rPr>
        <w:t xml:space="preserve"> </w:t>
      </w:r>
      <w:proofErr w:type="gramStart"/>
      <w:r w:rsidR="00337E37" w:rsidRPr="740363DB">
        <w:rPr>
          <w:rFonts w:ascii="Calibri" w:eastAsia="Calibri" w:hAnsi="Calibri" w:cs="Calibri"/>
          <w:sz w:val="22"/>
          <w:szCs w:val="22"/>
        </w:rPr>
        <w:t>the majority of</w:t>
      </w:r>
      <w:proofErr w:type="gramEnd"/>
      <w:r w:rsidR="00337E37" w:rsidRPr="740363DB">
        <w:rPr>
          <w:rFonts w:ascii="Calibri" w:eastAsia="Calibri" w:hAnsi="Calibri" w:cs="Calibri"/>
          <w:sz w:val="22"/>
          <w:szCs w:val="22"/>
        </w:rPr>
        <w:t xml:space="preserve"> these activities will </w:t>
      </w:r>
      <w:r w:rsidR="00F37FD0" w:rsidRPr="740363DB">
        <w:rPr>
          <w:rFonts w:ascii="Calibri" w:eastAsia="Calibri" w:hAnsi="Calibri" w:cs="Calibri"/>
          <w:sz w:val="22"/>
          <w:szCs w:val="22"/>
        </w:rPr>
        <w:t xml:space="preserve">not </w:t>
      </w:r>
      <w:r w:rsidR="00337E37" w:rsidRPr="740363DB">
        <w:rPr>
          <w:rFonts w:ascii="Calibri" w:eastAsia="Calibri" w:hAnsi="Calibri" w:cs="Calibri"/>
          <w:sz w:val="22"/>
          <w:szCs w:val="22"/>
        </w:rPr>
        <w:t>take place until after the time period addressed within RIIO3</w:t>
      </w:r>
      <w:r w:rsidR="0051767F" w:rsidRPr="740363DB">
        <w:rPr>
          <w:rFonts w:ascii="Calibri" w:eastAsia="Calibri" w:hAnsi="Calibri" w:cs="Calibri"/>
          <w:sz w:val="22"/>
          <w:szCs w:val="22"/>
        </w:rPr>
        <w:t xml:space="preserve"> it is essential that the government and Ofgem move ahead with strategic </w:t>
      </w:r>
      <w:r w:rsidR="00807B33" w:rsidRPr="740363DB">
        <w:rPr>
          <w:rFonts w:ascii="Calibri" w:eastAsia="Calibri" w:hAnsi="Calibri" w:cs="Calibri"/>
          <w:sz w:val="22"/>
          <w:szCs w:val="22"/>
        </w:rPr>
        <w:t>longer-term</w:t>
      </w:r>
      <w:r w:rsidR="0051767F" w:rsidRPr="740363DB">
        <w:rPr>
          <w:rFonts w:ascii="Calibri" w:eastAsia="Calibri" w:hAnsi="Calibri" w:cs="Calibri"/>
          <w:sz w:val="22"/>
          <w:szCs w:val="22"/>
        </w:rPr>
        <w:t xml:space="preserve"> planning to avoid stranded assets in the future – which could</w:t>
      </w:r>
      <w:r w:rsidR="00940795" w:rsidRPr="740363DB">
        <w:rPr>
          <w:rFonts w:ascii="Calibri" w:eastAsia="Calibri" w:hAnsi="Calibri" w:cs="Calibri"/>
          <w:sz w:val="22"/>
          <w:szCs w:val="22"/>
        </w:rPr>
        <w:t xml:space="preserve"> otherwise</w:t>
      </w:r>
      <w:r w:rsidR="0051767F" w:rsidRPr="740363DB">
        <w:rPr>
          <w:rFonts w:ascii="Calibri" w:eastAsia="Calibri" w:hAnsi="Calibri" w:cs="Calibri"/>
          <w:sz w:val="22"/>
          <w:szCs w:val="22"/>
        </w:rPr>
        <w:t xml:space="preserve"> end up increasing costs for consumers</w:t>
      </w:r>
      <w:r w:rsidR="00940795" w:rsidRPr="740363DB">
        <w:rPr>
          <w:rFonts w:ascii="Calibri" w:eastAsia="Calibri" w:hAnsi="Calibri" w:cs="Calibri"/>
          <w:sz w:val="22"/>
          <w:szCs w:val="22"/>
        </w:rPr>
        <w:t>.</w:t>
      </w:r>
      <w:r w:rsidR="00D10545">
        <w:t xml:space="preserve"> </w:t>
      </w:r>
      <w:r w:rsidR="00D10545" w:rsidRPr="740363DB">
        <w:rPr>
          <w:rFonts w:ascii="Calibri" w:eastAsia="Calibri" w:hAnsi="Calibri" w:cs="Calibri"/>
          <w:sz w:val="22"/>
          <w:szCs w:val="22"/>
        </w:rPr>
        <w:t>The Strategic Spatial Energy Plan and Centralized Strategic Network Plan will be essential to help guide action and investment where needed</w:t>
      </w:r>
      <w:r w:rsidR="00B7001D" w:rsidRPr="740363DB">
        <w:rPr>
          <w:rFonts w:ascii="Calibri" w:eastAsia="Calibri" w:hAnsi="Calibri" w:cs="Calibri"/>
          <w:sz w:val="22"/>
          <w:szCs w:val="22"/>
        </w:rPr>
        <w:t>, and Ofgem should ensure that allocations can be revised following publication of these more up-to-date plans</w:t>
      </w:r>
      <w:r w:rsidR="00D10545" w:rsidRPr="740363DB">
        <w:rPr>
          <w:rFonts w:ascii="Calibri" w:eastAsia="Calibri" w:hAnsi="Calibri" w:cs="Calibri"/>
          <w:sz w:val="22"/>
          <w:szCs w:val="22"/>
        </w:rPr>
        <w:t xml:space="preserve">. </w:t>
      </w:r>
      <w:r w:rsidR="004F3CE9" w:rsidRPr="740363DB">
        <w:rPr>
          <w:rFonts w:ascii="Calibri" w:eastAsia="Calibri" w:hAnsi="Calibri" w:cs="Calibri"/>
          <w:sz w:val="22"/>
          <w:szCs w:val="22"/>
        </w:rPr>
        <w:t xml:space="preserve"> </w:t>
      </w:r>
    </w:p>
    <w:p w14:paraId="57292D6D" w14:textId="2C87CFC5" w:rsidR="00AE4C36" w:rsidRPr="00EB552E" w:rsidRDefault="00C34C31" w:rsidP="006410E3">
      <w:pPr>
        <w:pStyle w:val="ListParagraph"/>
        <w:numPr>
          <w:ilvl w:val="0"/>
          <w:numId w:val="2"/>
        </w:numPr>
        <w:rPr>
          <w:rFonts w:ascii="Calibri" w:eastAsia="Calibri" w:hAnsi="Calibri" w:cs="Calibri"/>
          <w:sz w:val="22"/>
          <w:szCs w:val="22"/>
        </w:rPr>
      </w:pPr>
      <w:r w:rsidRPr="00EB552E">
        <w:rPr>
          <w:rFonts w:ascii="Calibri" w:eastAsia="Calibri" w:hAnsi="Calibri" w:cs="Calibri"/>
          <w:sz w:val="22"/>
          <w:szCs w:val="22"/>
        </w:rPr>
        <w:t xml:space="preserve">The extent to which the </w:t>
      </w:r>
      <w:r w:rsidR="006410E3" w:rsidRPr="00EB552E">
        <w:rPr>
          <w:rFonts w:ascii="Calibri" w:eastAsia="Calibri" w:hAnsi="Calibri" w:cs="Calibri"/>
          <w:sz w:val="22"/>
          <w:szCs w:val="22"/>
        </w:rPr>
        <w:t>network will be repurposed, rather than decommissioned</w:t>
      </w:r>
      <w:r w:rsidR="00513D62" w:rsidRPr="00EB552E">
        <w:rPr>
          <w:rFonts w:ascii="Calibri" w:eastAsia="Calibri" w:hAnsi="Calibri" w:cs="Calibri"/>
          <w:sz w:val="22"/>
          <w:szCs w:val="22"/>
        </w:rPr>
        <w:t>,</w:t>
      </w:r>
      <w:r w:rsidR="006410E3" w:rsidRPr="00EB552E">
        <w:rPr>
          <w:rFonts w:ascii="Calibri" w:eastAsia="Calibri" w:hAnsi="Calibri" w:cs="Calibri"/>
          <w:sz w:val="22"/>
          <w:szCs w:val="22"/>
        </w:rPr>
        <w:t xml:space="preserve"> is especially uncertain at distribution.</w:t>
      </w:r>
      <w:r w:rsidR="4B594246" w:rsidRPr="00EB552E">
        <w:rPr>
          <w:rFonts w:ascii="Calibri" w:eastAsia="Calibri" w:hAnsi="Calibri" w:cs="Calibri"/>
          <w:sz w:val="22"/>
          <w:szCs w:val="22"/>
        </w:rPr>
        <w:t xml:space="preserve"> Whilst Government has yet to formally make a strategic decision on the role of hydrogen for domestic heating, there is a wide body of evidence to suggest this role will be limited or non-existent.</w:t>
      </w:r>
      <w:r w:rsidR="00BE0810" w:rsidRPr="00EB552E">
        <w:rPr>
          <w:rFonts w:ascii="Calibri" w:eastAsia="Calibri" w:hAnsi="Calibri" w:cs="Calibri"/>
          <w:sz w:val="22"/>
          <w:szCs w:val="22"/>
        </w:rPr>
        <w:t xml:space="preserve"> This includes independent research as well as statements by Government ministers</w:t>
      </w:r>
      <w:r w:rsidR="00D5358C" w:rsidRPr="00EB552E">
        <w:rPr>
          <w:rStyle w:val="FootnoteReference"/>
          <w:rFonts w:ascii="Calibri" w:eastAsia="Calibri" w:hAnsi="Calibri" w:cs="Calibri"/>
          <w:sz w:val="22"/>
          <w:szCs w:val="22"/>
        </w:rPr>
        <w:footnoteReference w:id="2"/>
      </w:r>
      <w:r w:rsidR="00BE0810" w:rsidRPr="00EB552E">
        <w:rPr>
          <w:rFonts w:ascii="Calibri" w:eastAsia="Calibri" w:hAnsi="Calibri" w:cs="Calibri"/>
          <w:sz w:val="22"/>
          <w:szCs w:val="22"/>
        </w:rPr>
        <w:t>.</w:t>
      </w:r>
      <w:r w:rsidR="4B594246" w:rsidRPr="00EB552E">
        <w:rPr>
          <w:rFonts w:ascii="Calibri" w:eastAsia="Calibri" w:hAnsi="Calibri" w:cs="Calibri"/>
          <w:sz w:val="22"/>
          <w:szCs w:val="22"/>
        </w:rPr>
        <w:t xml:space="preserve"> </w:t>
      </w:r>
      <w:proofErr w:type="gramStart"/>
      <w:r w:rsidR="00337E37" w:rsidRPr="00EB552E">
        <w:rPr>
          <w:rFonts w:ascii="Calibri" w:eastAsia="Calibri" w:hAnsi="Calibri" w:cs="Calibri"/>
          <w:sz w:val="22"/>
          <w:szCs w:val="22"/>
        </w:rPr>
        <w:t>The</w:t>
      </w:r>
      <w:r w:rsidR="000C4C4F" w:rsidRPr="00EB552E">
        <w:rPr>
          <w:rFonts w:ascii="Calibri" w:eastAsia="Calibri" w:hAnsi="Calibri" w:cs="Calibri"/>
          <w:sz w:val="22"/>
          <w:szCs w:val="22"/>
        </w:rPr>
        <w:t xml:space="preserve"> majority of</w:t>
      </w:r>
      <w:proofErr w:type="gramEnd"/>
      <w:r w:rsidR="000C4C4F" w:rsidRPr="00EB552E">
        <w:rPr>
          <w:rFonts w:ascii="Calibri" w:eastAsia="Calibri" w:hAnsi="Calibri" w:cs="Calibri"/>
          <w:sz w:val="22"/>
          <w:szCs w:val="22"/>
        </w:rPr>
        <w:t xml:space="preserve"> </w:t>
      </w:r>
      <w:r w:rsidR="00FA24A8" w:rsidRPr="00EB552E">
        <w:rPr>
          <w:rFonts w:ascii="Calibri" w:eastAsia="Calibri" w:hAnsi="Calibri" w:cs="Calibri"/>
          <w:sz w:val="22"/>
          <w:szCs w:val="22"/>
        </w:rPr>
        <w:t xml:space="preserve">gas distribution networks </w:t>
      </w:r>
      <w:r w:rsidR="000C4C4F" w:rsidRPr="00EB552E">
        <w:rPr>
          <w:rFonts w:ascii="Calibri" w:eastAsia="Calibri" w:hAnsi="Calibri" w:cs="Calibri"/>
          <w:sz w:val="22"/>
          <w:szCs w:val="22"/>
        </w:rPr>
        <w:t>will likely need to be decommissioned in the long-term</w:t>
      </w:r>
      <w:r w:rsidR="00D5358C" w:rsidRPr="00EB552E">
        <w:rPr>
          <w:rFonts w:ascii="Calibri" w:eastAsia="Calibri" w:hAnsi="Calibri" w:cs="Calibri"/>
          <w:sz w:val="22"/>
          <w:szCs w:val="22"/>
        </w:rPr>
        <w:t>, rather than being repurposed</w:t>
      </w:r>
      <w:r w:rsidR="00FD3822" w:rsidRPr="00EB552E">
        <w:rPr>
          <w:rFonts w:ascii="Calibri" w:eastAsia="Calibri" w:hAnsi="Calibri" w:cs="Calibri"/>
          <w:sz w:val="22"/>
          <w:szCs w:val="22"/>
        </w:rPr>
        <w:t>.</w:t>
      </w:r>
    </w:p>
    <w:p w14:paraId="271C39E3" w14:textId="48F82B51" w:rsidR="705E0583" w:rsidRPr="00EB552E" w:rsidRDefault="00FD3822" w:rsidP="7F967D9A">
      <w:pPr>
        <w:pStyle w:val="ListParagraph"/>
        <w:numPr>
          <w:ilvl w:val="0"/>
          <w:numId w:val="2"/>
        </w:numPr>
        <w:rPr>
          <w:rFonts w:ascii="Calibri" w:eastAsia="Calibri" w:hAnsi="Calibri" w:cs="Calibri"/>
          <w:sz w:val="22"/>
          <w:szCs w:val="22"/>
        </w:rPr>
      </w:pPr>
      <w:r w:rsidRPr="00EB552E">
        <w:rPr>
          <w:rFonts w:ascii="Calibri" w:eastAsia="Calibri" w:hAnsi="Calibri" w:cs="Calibri"/>
          <w:sz w:val="22"/>
          <w:szCs w:val="22"/>
        </w:rPr>
        <w:t xml:space="preserve">In this context, </w:t>
      </w:r>
      <w:r w:rsidR="705E0583" w:rsidRPr="00EB552E">
        <w:rPr>
          <w:rFonts w:ascii="Calibri" w:eastAsia="Calibri" w:hAnsi="Calibri" w:cs="Calibri"/>
          <w:sz w:val="22"/>
          <w:szCs w:val="22"/>
        </w:rPr>
        <w:t xml:space="preserve">Ofgem are right to pursue an approach which avoids expenditure on potentially stranded assets </w:t>
      </w:r>
      <w:r w:rsidR="009326ED" w:rsidRPr="00EB552E">
        <w:rPr>
          <w:rFonts w:ascii="Calibri" w:eastAsia="Calibri" w:hAnsi="Calibri" w:cs="Calibri"/>
          <w:sz w:val="22"/>
          <w:szCs w:val="22"/>
        </w:rPr>
        <w:t>and</w:t>
      </w:r>
      <w:r w:rsidR="705E0583" w:rsidRPr="00EB552E">
        <w:rPr>
          <w:rFonts w:ascii="Calibri" w:eastAsia="Calibri" w:hAnsi="Calibri" w:cs="Calibri"/>
          <w:sz w:val="22"/>
          <w:szCs w:val="22"/>
        </w:rPr>
        <w:t xml:space="preserve"> </w:t>
      </w:r>
      <w:r w:rsidR="00AC5C2C" w:rsidRPr="00EB552E">
        <w:rPr>
          <w:rFonts w:ascii="Calibri" w:eastAsia="Calibri" w:hAnsi="Calibri" w:cs="Calibri"/>
          <w:sz w:val="22"/>
          <w:szCs w:val="22"/>
        </w:rPr>
        <w:t>placing</w:t>
      </w:r>
      <w:r w:rsidR="705E0583" w:rsidRPr="00EB552E">
        <w:rPr>
          <w:rFonts w:ascii="Calibri" w:eastAsia="Calibri" w:hAnsi="Calibri" w:cs="Calibri"/>
          <w:sz w:val="22"/>
          <w:szCs w:val="22"/>
        </w:rPr>
        <w:t xml:space="preserve"> unnecessary additional pressure on consumer bills.</w:t>
      </w:r>
    </w:p>
    <w:p w14:paraId="044D5AE5" w14:textId="6ED340B9" w:rsidR="00AC5C2C" w:rsidRPr="00EB552E" w:rsidRDefault="00AC5C2C" w:rsidP="7F967D9A">
      <w:pPr>
        <w:pStyle w:val="ListParagraph"/>
        <w:numPr>
          <w:ilvl w:val="0"/>
          <w:numId w:val="2"/>
        </w:numPr>
        <w:rPr>
          <w:rFonts w:ascii="Calibri" w:eastAsia="Calibri" w:hAnsi="Calibri" w:cs="Calibri"/>
          <w:sz w:val="22"/>
          <w:szCs w:val="22"/>
        </w:rPr>
      </w:pPr>
      <w:r w:rsidRPr="740363DB">
        <w:rPr>
          <w:rFonts w:ascii="Calibri" w:eastAsia="Calibri" w:hAnsi="Calibri" w:cs="Calibri"/>
          <w:sz w:val="22"/>
          <w:szCs w:val="22"/>
        </w:rPr>
        <w:t xml:space="preserve">In the event that further expenditure on </w:t>
      </w:r>
      <w:r w:rsidR="00320525" w:rsidRPr="740363DB">
        <w:rPr>
          <w:rFonts w:ascii="Calibri" w:eastAsia="Calibri" w:hAnsi="Calibri" w:cs="Calibri"/>
          <w:sz w:val="22"/>
          <w:szCs w:val="22"/>
        </w:rPr>
        <w:t>speculative future needs (</w:t>
      </w:r>
      <w:proofErr w:type="gramStart"/>
      <w:r w:rsidR="00320525" w:rsidRPr="740363DB">
        <w:rPr>
          <w:rFonts w:ascii="Calibri" w:eastAsia="Calibri" w:hAnsi="Calibri" w:cs="Calibri"/>
          <w:sz w:val="22"/>
          <w:szCs w:val="22"/>
        </w:rPr>
        <w:t>e.g.</w:t>
      </w:r>
      <w:proofErr w:type="gramEnd"/>
      <w:r w:rsidR="00320525" w:rsidRPr="740363DB">
        <w:rPr>
          <w:rFonts w:ascii="Calibri" w:eastAsia="Calibri" w:hAnsi="Calibri" w:cs="Calibri"/>
          <w:sz w:val="22"/>
          <w:szCs w:val="22"/>
        </w:rPr>
        <w:t xml:space="preserve"> hydrogen) does become necessary</w:t>
      </w:r>
      <w:r w:rsidR="00337E37" w:rsidRPr="740363DB">
        <w:rPr>
          <w:rFonts w:ascii="Calibri" w:eastAsia="Calibri" w:hAnsi="Calibri" w:cs="Calibri"/>
          <w:sz w:val="22"/>
          <w:szCs w:val="22"/>
        </w:rPr>
        <w:t xml:space="preserve"> within the timelines covered by RIIO3</w:t>
      </w:r>
      <w:r w:rsidR="00320525" w:rsidRPr="740363DB">
        <w:rPr>
          <w:rFonts w:ascii="Calibri" w:eastAsia="Calibri" w:hAnsi="Calibri" w:cs="Calibri"/>
          <w:sz w:val="22"/>
          <w:szCs w:val="22"/>
        </w:rPr>
        <w:t xml:space="preserve">, uncertainty mechanisms within RIIO </w:t>
      </w:r>
      <w:r w:rsidR="07ED6DFF" w:rsidRPr="740363DB">
        <w:rPr>
          <w:rFonts w:ascii="Calibri" w:eastAsia="Calibri" w:hAnsi="Calibri" w:cs="Calibri"/>
          <w:sz w:val="22"/>
          <w:szCs w:val="22"/>
        </w:rPr>
        <w:t xml:space="preserve">could </w:t>
      </w:r>
      <w:r w:rsidR="00320525" w:rsidRPr="740363DB">
        <w:rPr>
          <w:rFonts w:ascii="Calibri" w:eastAsia="Calibri" w:hAnsi="Calibri" w:cs="Calibri"/>
          <w:sz w:val="22"/>
          <w:szCs w:val="22"/>
        </w:rPr>
        <w:t>provide Ofgem</w:t>
      </w:r>
      <w:r w:rsidR="007E52AC" w:rsidRPr="740363DB">
        <w:rPr>
          <w:rFonts w:ascii="Calibri" w:eastAsia="Calibri" w:hAnsi="Calibri" w:cs="Calibri"/>
          <w:sz w:val="22"/>
          <w:szCs w:val="22"/>
        </w:rPr>
        <w:t xml:space="preserve"> with </w:t>
      </w:r>
      <w:r w:rsidR="00320525" w:rsidRPr="740363DB">
        <w:rPr>
          <w:rFonts w:ascii="Calibri" w:eastAsia="Calibri" w:hAnsi="Calibri" w:cs="Calibri"/>
          <w:sz w:val="22"/>
          <w:szCs w:val="22"/>
        </w:rPr>
        <w:t xml:space="preserve">sufficient </w:t>
      </w:r>
      <w:r w:rsidR="007E52AC" w:rsidRPr="740363DB">
        <w:rPr>
          <w:rFonts w:ascii="Calibri" w:eastAsia="Calibri" w:hAnsi="Calibri" w:cs="Calibri"/>
          <w:sz w:val="22"/>
          <w:szCs w:val="22"/>
        </w:rPr>
        <w:t>options to “re-open” the price control</w:t>
      </w:r>
      <w:r w:rsidR="69D2B69D" w:rsidRPr="740363DB">
        <w:rPr>
          <w:rFonts w:ascii="Calibri" w:eastAsia="Calibri" w:hAnsi="Calibri" w:cs="Calibri"/>
          <w:sz w:val="22"/>
          <w:szCs w:val="22"/>
        </w:rPr>
        <w:t xml:space="preserve"> but these need to be carefully designed</w:t>
      </w:r>
      <w:r w:rsidR="007E52AC" w:rsidRPr="740363DB">
        <w:rPr>
          <w:rFonts w:ascii="Calibri" w:eastAsia="Calibri" w:hAnsi="Calibri" w:cs="Calibri"/>
          <w:sz w:val="22"/>
          <w:szCs w:val="22"/>
        </w:rPr>
        <w:t>.</w:t>
      </w:r>
    </w:p>
    <w:p w14:paraId="65113480" w14:textId="3D3AB127" w:rsidR="00F32B2A" w:rsidRPr="00EB552E" w:rsidRDefault="2BC882F6" w:rsidP="7F967D9A">
      <w:pPr>
        <w:pStyle w:val="ListParagraph"/>
        <w:numPr>
          <w:ilvl w:val="0"/>
          <w:numId w:val="2"/>
        </w:numPr>
        <w:rPr>
          <w:rFonts w:ascii="Calibri" w:eastAsia="Calibri" w:hAnsi="Calibri" w:cs="Calibri"/>
          <w:sz w:val="22"/>
          <w:szCs w:val="22"/>
        </w:rPr>
      </w:pPr>
      <w:r w:rsidRPr="740363DB">
        <w:rPr>
          <w:rFonts w:ascii="Calibri" w:eastAsia="Calibri" w:hAnsi="Calibri" w:cs="Calibri"/>
          <w:sz w:val="22"/>
          <w:szCs w:val="22"/>
        </w:rPr>
        <w:t>We agree that the Hydrogen Transport Business Model (HTBM) is a more appropriate vehicle for development of hydrogen transport infrastructure, and this spending should remain outside the scope of the RIIO-3 price control.</w:t>
      </w:r>
    </w:p>
    <w:p w14:paraId="4D9F2E62" w14:textId="2BEDAC91" w:rsidR="2BC882F6" w:rsidRPr="00EB552E" w:rsidRDefault="78EF96A6" w:rsidP="7F967D9A">
      <w:pPr>
        <w:pStyle w:val="ListParagraph"/>
        <w:numPr>
          <w:ilvl w:val="0"/>
          <w:numId w:val="2"/>
        </w:numPr>
        <w:rPr>
          <w:rFonts w:ascii="Calibri" w:eastAsia="Calibri" w:hAnsi="Calibri" w:cs="Calibri"/>
          <w:sz w:val="22"/>
          <w:szCs w:val="22"/>
        </w:rPr>
      </w:pPr>
      <w:r w:rsidRPr="67BF2BF8">
        <w:rPr>
          <w:rFonts w:ascii="Calibri" w:eastAsia="Calibri" w:hAnsi="Calibri" w:cs="Calibri"/>
          <w:sz w:val="22"/>
          <w:szCs w:val="22"/>
        </w:rPr>
        <w:t>This should extend to</w:t>
      </w:r>
      <w:r w:rsidR="3FF59D78" w:rsidRPr="67BF2BF8">
        <w:rPr>
          <w:rFonts w:ascii="Calibri" w:eastAsia="Calibri" w:hAnsi="Calibri" w:cs="Calibri"/>
          <w:sz w:val="22"/>
          <w:szCs w:val="22"/>
        </w:rPr>
        <w:t xml:space="preserve"> any</w:t>
      </w:r>
      <w:r w:rsidRPr="67BF2BF8">
        <w:rPr>
          <w:rFonts w:ascii="Calibri" w:eastAsia="Calibri" w:hAnsi="Calibri" w:cs="Calibri"/>
          <w:sz w:val="22"/>
          <w:szCs w:val="22"/>
        </w:rPr>
        <w:t xml:space="preserve"> repurposing of the existing natural gas infrastructure for hydrogen</w:t>
      </w:r>
      <w:r w:rsidR="5DA89320" w:rsidRPr="67BF2BF8">
        <w:rPr>
          <w:rFonts w:ascii="Calibri" w:eastAsia="Calibri" w:hAnsi="Calibri" w:cs="Calibri"/>
          <w:sz w:val="22"/>
          <w:szCs w:val="22"/>
        </w:rPr>
        <w:t xml:space="preserve">, </w:t>
      </w:r>
      <w:proofErr w:type="gramStart"/>
      <w:r w:rsidR="5DA89320" w:rsidRPr="67BF2BF8">
        <w:rPr>
          <w:rFonts w:ascii="Calibri" w:eastAsia="Calibri" w:hAnsi="Calibri" w:cs="Calibri"/>
          <w:sz w:val="22"/>
          <w:szCs w:val="22"/>
        </w:rPr>
        <w:t>i.e.</w:t>
      </w:r>
      <w:proofErr w:type="gramEnd"/>
      <w:r w:rsidR="5DA89320" w:rsidRPr="67BF2BF8">
        <w:rPr>
          <w:rFonts w:ascii="Calibri" w:eastAsia="Calibri" w:hAnsi="Calibri" w:cs="Calibri"/>
          <w:sz w:val="22"/>
          <w:szCs w:val="22"/>
        </w:rPr>
        <w:t xml:space="preserve"> this should remain out of scope of RIIO3</w:t>
      </w:r>
      <w:r w:rsidRPr="67BF2BF8">
        <w:rPr>
          <w:rFonts w:ascii="Calibri" w:eastAsia="Calibri" w:hAnsi="Calibri" w:cs="Calibri"/>
          <w:sz w:val="22"/>
          <w:szCs w:val="22"/>
        </w:rPr>
        <w:t xml:space="preserve">. Given the high risk of investments leading to stranded assets, </w:t>
      </w:r>
      <w:r w:rsidR="0B9F27B1" w:rsidRPr="67BF2BF8">
        <w:rPr>
          <w:rFonts w:ascii="Calibri" w:eastAsia="Calibri" w:hAnsi="Calibri" w:cs="Calibri"/>
          <w:sz w:val="22"/>
          <w:szCs w:val="22"/>
        </w:rPr>
        <w:t>natural gas consumers should not be expected to foot the bill for such highly speculative investments.</w:t>
      </w:r>
      <w:r w:rsidR="02825BB0" w:rsidRPr="67BF2BF8">
        <w:rPr>
          <w:rFonts w:ascii="Calibri" w:eastAsia="Calibri" w:hAnsi="Calibri" w:cs="Calibri"/>
          <w:sz w:val="22"/>
          <w:szCs w:val="22"/>
        </w:rPr>
        <w:t xml:space="preserve"> </w:t>
      </w:r>
      <w:r w:rsidR="2C563FE9" w:rsidRPr="67BF2BF8">
        <w:rPr>
          <w:rFonts w:ascii="Calibri" w:eastAsia="Calibri" w:hAnsi="Calibri" w:cs="Calibri"/>
          <w:sz w:val="22"/>
          <w:szCs w:val="22"/>
        </w:rPr>
        <w:t xml:space="preserve">If </w:t>
      </w:r>
      <w:r w:rsidR="061B0412" w:rsidRPr="67BF2BF8">
        <w:rPr>
          <w:rFonts w:ascii="Calibri" w:eastAsia="Calibri" w:hAnsi="Calibri" w:cs="Calibri"/>
          <w:sz w:val="22"/>
          <w:szCs w:val="22"/>
        </w:rPr>
        <w:t>s</w:t>
      </w:r>
      <w:r w:rsidR="02825BB0" w:rsidRPr="67BF2BF8">
        <w:rPr>
          <w:rFonts w:ascii="Calibri" w:eastAsia="Calibri" w:hAnsi="Calibri" w:cs="Calibri"/>
          <w:sz w:val="22"/>
          <w:szCs w:val="22"/>
        </w:rPr>
        <w:t xml:space="preserve">uch investments </w:t>
      </w:r>
      <w:r w:rsidR="1DA613A5" w:rsidRPr="67BF2BF8">
        <w:rPr>
          <w:rFonts w:ascii="Calibri" w:eastAsia="Calibri" w:hAnsi="Calibri" w:cs="Calibri"/>
          <w:sz w:val="22"/>
          <w:szCs w:val="22"/>
        </w:rPr>
        <w:t xml:space="preserve">go ahead at all, they </w:t>
      </w:r>
      <w:r w:rsidR="02825BB0" w:rsidRPr="67BF2BF8">
        <w:rPr>
          <w:rFonts w:ascii="Calibri" w:eastAsia="Calibri" w:hAnsi="Calibri" w:cs="Calibri"/>
          <w:sz w:val="22"/>
          <w:szCs w:val="22"/>
        </w:rPr>
        <w:t>should be funded through the HTBM instead.</w:t>
      </w:r>
    </w:p>
    <w:p w14:paraId="7ECD0294" w14:textId="1FDCE579" w:rsidR="67BF2BF8" w:rsidRDefault="67BF2BF8">
      <w:pPr>
        <w:rPr>
          <w:rFonts w:hint="eastAsia"/>
        </w:rPr>
      </w:pPr>
      <w:r>
        <w:br w:type="page"/>
      </w:r>
    </w:p>
    <w:p w14:paraId="0E177627" w14:textId="1A0935AC" w:rsidR="00621B47" w:rsidRPr="00EB552E" w:rsidRDefault="00621B47" w:rsidP="00BE0810">
      <w:pPr>
        <w:rPr>
          <w:rFonts w:ascii="Calibri" w:eastAsia="Calibri" w:hAnsi="Calibri" w:cs="Calibri"/>
          <w:b/>
          <w:bCs/>
          <w:sz w:val="22"/>
          <w:szCs w:val="22"/>
        </w:rPr>
      </w:pPr>
      <w:r w:rsidRPr="67BF2BF8">
        <w:rPr>
          <w:rFonts w:ascii="Calibri" w:eastAsia="Calibri" w:hAnsi="Calibri" w:cs="Calibri"/>
          <w:b/>
          <w:bCs/>
          <w:sz w:val="22"/>
          <w:szCs w:val="22"/>
        </w:rPr>
        <w:t>Future of Gas</w:t>
      </w:r>
    </w:p>
    <w:p w14:paraId="0869737D" w14:textId="7541405B" w:rsidR="00347050" w:rsidRPr="00EB552E" w:rsidRDefault="00A56926" w:rsidP="00347050">
      <w:pPr>
        <w:rPr>
          <w:rFonts w:ascii="Calibri" w:eastAsia="Calibri" w:hAnsi="Calibri" w:cs="Calibri"/>
          <w:sz w:val="22"/>
          <w:szCs w:val="22"/>
        </w:rPr>
      </w:pPr>
      <w:r w:rsidRPr="00EB552E">
        <w:rPr>
          <w:rFonts w:ascii="Calibri" w:eastAsia="Calibri" w:hAnsi="Calibri" w:cs="Calibri"/>
          <w:sz w:val="22"/>
          <w:szCs w:val="22"/>
        </w:rPr>
        <w:t>OV</w:t>
      </w:r>
      <w:r w:rsidR="02825BB0" w:rsidRPr="00EB552E">
        <w:rPr>
          <w:rFonts w:ascii="Calibri" w:eastAsia="Calibri" w:hAnsi="Calibri" w:cs="Calibri"/>
          <w:sz w:val="22"/>
          <w:szCs w:val="22"/>
        </w:rPr>
        <w:t xml:space="preserve">Q1 – Partially Agree. </w:t>
      </w:r>
      <w:r w:rsidR="00347050" w:rsidRPr="00EB552E">
        <w:rPr>
          <w:rFonts w:ascii="Calibri" w:eastAsia="Calibri" w:hAnsi="Calibri" w:cs="Calibri"/>
          <w:sz w:val="22"/>
          <w:szCs w:val="22"/>
        </w:rPr>
        <w:t>Ofgem are right to pursue an approach which avoids expenditure on potentially stranded assets or placing unnecessary additional pressure on consumer bills.</w:t>
      </w:r>
    </w:p>
    <w:p w14:paraId="0429A1CA" w14:textId="660DA2BC" w:rsidR="02825BB0" w:rsidRPr="00EB552E" w:rsidRDefault="00347050" w:rsidP="7F967D9A">
      <w:pPr>
        <w:rPr>
          <w:rFonts w:ascii="Calibri" w:eastAsia="Calibri" w:hAnsi="Calibri" w:cs="Calibri"/>
          <w:sz w:val="22"/>
          <w:szCs w:val="22"/>
        </w:rPr>
      </w:pPr>
      <w:r w:rsidRPr="00EB552E">
        <w:rPr>
          <w:rFonts w:ascii="Calibri" w:eastAsia="Calibri" w:hAnsi="Calibri" w:cs="Calibri"/>
          <w:sz w:val="22"/>
          <w:szCs w:val="22"/>
        </w:rPr>
        <w:t>However, r</w:t>
      </w:r>
      <w:r w:rsidR="02825BB0" w:rsidRPr="00EB552E">
        <w:rPr>
          <w:rFonts w:ascii="Calibri" w:eastAsia="Calibri" w:hAnsi="Calibri" w:cs="Calibri"/>
          <w:sz w:val="22"/>
          <w:szCs w:val="22"/>
        </w:rPr>
        <w:t>epurposing natural gas assets should be kept</w:t>
      </w:r>
      <w:r w:rsidRPr="00EB552E">
        <w:rPr>
          <w:rFonts w:ascii="Calibri" w:eastAsia="Calibri" w:hAnsi="Calibri" w:cs="Calibri"/>
          <w:sz w:val="22"/>
          <w:szCs w:val="22"/>
        </w:rPr>
        <w:t xml:space="preserve"> explicitly</w:t>
      </w:r>
      <w:r w:rsidR="02825BB0" w:rsidRPr="00EB552E">
        <w:rPr>
          <w:rFonts w:ascii="Calibri" w:eastAsia="Calibri" w:hAnsi="Calibri" w:cs="Calibri"/>
          <w:sz w:val="22"/>
          <w:szCs w:val="22"/>
        </w:rPr>
        <w:t xml:space="preserve"> out of scope of RIIO-3, due to the h</w:t>
      </w:r>
      <w:r w:rsidR="412740E1" w:rsidRPr="00EB552E">
        <w:rPr>
          <w:rFonts w:ascii="Calibri" w:eastAsia="Calibri" w:hAnsi="Calibri" w:cs="Calibri"/>
          <w:sz w:val="22"/>
          <w:szCs w:val="22"/>
        </w:rPr>
        <w:t>igh risk associated with such investments leading to stranded assets. Such investments should be funded outside of the RIIO price control and should not place a cost burden on energy consumers.</w:t>
      </w:r>
    </w:p>
    <w:p w14:paraId="42CE93CF" w14:textId="58020340" w:rsidR="00BB7463" w:rsidRPr="00EB552E" w:rsidRDefault="048BB83D" w:rsidP="7F967D9A">
      <w:pPr>
        <w:rPr>
          <w:rFonts w:ascii="Calibri" w:eastAsia="Calibri" w:hAnsi="Calibri" w:cs="Calibri"/>
          <w:sz w:val="22"/>
          <w:szCs w:val="22"/>
        </w:rPr>
      </w:pPr>
      <w:r w:rsidRPr="740363DB">
        <w:rPr>
          <w:rFonts w:ascii="Calibri" w:eastAsia="Calibri" w:hAnsi="Calibri" w:cs="Calibri"/>
          <w:sz w:val="22"/>
          <w:szCs w:val="22"/>
        </w:rPr>
        <w:t>Preparatory</w:t>
      </w:r>
      <w:r w:rsidR="478DD745" w:rsidRPr="740363DB">
        <w:rPr>
          <w:rFonts w:ascii="Calibri" w:eastAsia="Calibri" w:hAnsi="Calibri" w:cs="Calibri"/>
          <w:sz w:val="22"/>
          <w:szCs w:val="22"/>
        </w:rPr>
        <w:t xml:space="preserve"> costs relating to development of hydrogen infrastructure should also be out of scope of RIIO-3. Given s</w:t>
      </w:r>
      <w:r w:rsidR="7E2521D8" w:rsidRPr="740363DB">
        <w:rPr>
          <w:rFonts w:ascii="Calibri" w:eastAsia="Calibri" w:hAnsi="Calibri" w:cs="Calibri"/>
          <w:sz w:val="22"/>
          <w:szCs w:val="22"/>
        </w:rPr>
        <w:t xml:space="preserve">ystematic changes to the gas networks </w:t>
      </w:r>
      <w:r w:rsidR="3CDC2E90" w:rsidRPr="740363DB">
        <w:rPr>
          <w:rFonts w:ascii="Calibri" w:eastAsia="Calibri" w:hAnsi="Calibri" w:cs="Calibri"/>
          <w:sz w:val="22"/>
          <w:szCs w:val="22"/>
        </w:rPr>
        <w:t>will not take place</w:t>
      </w:r>
      <w:r w:rsidR="7E2521D8" w:rsidRPr="740363DB">
        <w:rPr>
          <w:rFonts w:ascii="Calibri" w:eastAsia="Calibri" w:hAnsi="Calibri" w:cs="Calibri"/>
          <w:sz w:val="22"/>
          <w:szCs w:val="22"/>
        </w:rPr>
        <w:t xml:space="preserve"> until the mid-late 2030s, well after RIIO-3 concludes, such costs would be premature, unnecessary, and highly speculative.</w:t>
      </w:r>
    </w:p>
    <w:p w14:paraId="12B0F85F" w14:textId="77777777" w:rsidR="003E79AE" w:rsidRDefault="002D69E4" w:rsidP="7F967D9A">
      <w:pPr>
        <w:rPr>
          <w:rFonts w:ascii="Calibri" w:eastAsia="Calibri" w:hAnsi="Calibri" w:cs="Calibri"/>
          <w:sz w:val="22"/>
          <w:szCs w:val="22"/>
        </w:rPr>
      </w:pPr>
      <w:r w:rsidRPr="740363DB">
        <w:rPr>
          <w:rFonts w:ascii="Calibri" w:eastAsia="Calibri" w:hAnsi="Calibri" w:cs="Calibri"/>
          <w:sz w:val="22"/>
          <w:szCs w:val="22"/>
        </w:rPr>
        <w:t xml:space="preserve">Where early development of hydrogen infrastructure does take place, this should be </w:t>
      </w:r>
      <w:r w:rsidR="001A413C" w:rsidRPr="740363DB">
        <w:rPr>
          <w:rFonts w:ascii="Calibri" w:eastAsia="Calibri" w:hAnsi="Calibri" w:cs="Calibri"/>
          <w:sz w:val="22"/>
          <w:szCs w:val="22"/>
        </w:rPr>
        <w:t>guided by a clear long-term strategic plan</w:t>
      </w:r>
      <w:r w:rsidR="19A6AEDF" w:rsidRPr="740363DB">
        <w:rPr>
          <w:rFonts w:ascii="Calibri" w:eastAsia="Calibri" w:hAnsi="Calibri" w:cs="Calibri"/>
          <w:sz w:val="22"/>
          <w:szCs w:val="22"/>
        </w:rPr>
        <w:t>, developed in collaboration between Government, Ofgem and the National Energy System Operator</w:t>
      </w:r>
      <w:r w:rsidR="001A413C" w:rsidRPr="740363DB">
        <w:rPr>
          <w:rFonts w:ascii="Calibri" w:eastAsia="Calibri" w:hAnsi="Calibri" w:cs="Calibri"/>
          <w:sz w:val="22"/>
          <w:szCs w:val="22"/>
        </w:rPr>
        <w:t xml:space="preserve">. </w:t>
      </w:r>
      <w:r w:rsidR="009B0E6E" w:rsidRPr="740363DB">
        <w:rPr>
          <w:rFonts w:ascii="Calibri" w:eastAsia="Calibri" w:hAnsi="Calibri" w:cs="Calibri"/>
          <w:sz w:val="22"/>
          <w:szCs w:val="22"/>
        </w:rPr>
        <w:t>Development</w:t>
      </w:r>
      <w:r w:rsidR="001A413C" w:rsidRPr="740363DB">
        <w:rPr>
          <w:rFonts w:ascii="Calibri" w:eastAsia="Calibri" w:hAnsi="Calibri" w:cs="Calibri"/>
          <w:sz w:val="22"/>
          <w:szCs w:val="22"/>
        </w:rPr>
        <w:t xml:space="preserve"> should be aligned with strategic priority areas for hydrogen deployment (</w:t>
      </w:r>
      <w:proofErr w:type="gramStart"/>
      <w:r w:rsidR="001A413C" w:rsidRPr="740363DB">
        <w:rPr>
          <w:rFonts w:ascii="Calibri" w:eastAsia="Calibri" w:hAnsi="Calibri" w:cs="Calibri"/>
          <w:sz w:val="22"/>
          <w:szCs w:val="22"/>
        </w:rPr>
        <w:t>e.g.</w:t>
      </w:r>
      <w:proofErr w:type="gramEnd"/>
      <w:r w:rsidR="001A413C" w:rsidRPr="740363DB">
        <w:rPr>
          <w:rFonts w:ascii="Calibri" w:eastAsia="Calibri" w:hAnsi="Calibri" w:cs="Calibri"/>
          <w:sz w:val="22"/>
          <w:szCs w:val="22"/>
        </w:rPr>
        <w:t xml:space="preserve"> key industries with</w:t>
      </w:r>
      <w:r w:rsidR="001F7BB9" w:rsidRPr="740363DB">
        <w:rPr>
          <w:rFonts w:ascii="Calibri" w:eastAsia="Calibri" w:hAnsi="Calibri" w:cs="Calibri"/>
          <w:sz w:val="22"/>
          <w:szCs w:val="22"/>
        </w:rPr>
        <w:t xml:space="preserve">out alternative options for decarbonisation), rather than lower priority </w:t>
      </w:r>
      <w:r w:rsidR="00EB552E" w:rsidRPr="740363DB">
        <w:rPr>
          <w:rFonts w:ascii="Calibri" w:eastAsia="Calibri" w:hAnsi="Calibri" w:cs="Calibri"/>
          <w:sz w:val="22"/>
          <w:szCs w:val="22"/>
        </w:rPr>
        <w:t>use cases which are unlikely to materialise at scale (e.g. domestic heating).</w:t>
      </w:r>
    </w:p>
    <w:p w14:paraId="02D4B939" w14:textId="58FA3ADC" w:rsidR="00304CF2" w:rsidRDefault="00E12379" w:rsidP="7F967D9A">
      <w:pPr>
        <w:rPr>
          <w:rFonts w:ascii="Calibri" w:eastAsia="Calibri" w:hAnsi="Calibri" w:cs="Calibri"/>
          <w:sz w:val="22"/>
          <w:szCs w:val="22"/>
        </w:rPr>
      </w:pPr>
      <w:r w:rsidRPr="740363DB">
        <w:rPr>
          <w:rFonts w:ascii="Calibri" w:eastAsia="Calibri" w:hAnsi="Calibri" w:cs="Calibri"/>
          <w:sz w:val="22"/>
          <w:szCs w:val="22"/>
        </w:rPr>
        <w:t>T</w:t>
      </w:r>
      <w:r w:rsidR="00E3240F" w:rsidRPr="740363DB">
        <w:rPr>
          <w:rFonts w:ascii="Calibri" w:eastAsia="Calibri" w:hAnsi="Calibri" w:cs="Calibri"/>
          <w:sz w:val="22"/>
          <w:szCs w:val="22"/>
        </w:rPr>
        <w:t xml:space="preserve">he Hydrogen Transport Business Model (HTBM) is a more appropriate vehicle for development of hydrogen infrastructure </w:t>
      </w:r>
      <w:proofErr w:type="gramStart"/>
      <w:r w:rsidR="00E3240F" w:rsidRPr="740363DB">
        <w:rPr>
          <w:rFonts w:ascii="Calibri" w:eastAsia="Calibri" w:hAnsi="Calibri" w:cs="Calibri"/>
          <w:sz w:val="22"/>
          <w:szCs w:val="22"/>
        </w:rPr>
        <w:t>at th</w:t>
      </w:r>
      <w:r w:rsidR="0007692C" w:rsidRPr="740363DB">
        <w:rPr>
          <w:rFonts w:ascii="Calibri" w:eastAsia="Calibri" w:hAnsi="Calibri" w:cs="Calibri"/>
          <w:sz w:val="22"/>
          <w:szCs w:val="22"/>
        </w:rPr>
        <w:t>is point in time</w:t>
      </w:r>
      <w:proofErr w:type="gramEnd"/>
      <w:r w:rsidR="00B413F3" w:rsidRPr="740363DB">
        <w:rPr>
          <w:rFonts w:ascii="Calibri" w:eastAsia="Calibri" w:hAnsi="Calibri" w:cs="Calibri"/>
          <w:sz w:val="22"/>
          <w:szCs w:val="22"/>
        </w:rPr>
        <w:t xml:space="preserve"> and is likely to lead to greater alignment of investments with strategic priorit</w:t>
      </w:r>
      <w:r w:rsidR="00D77555" w:rsidRPr="740363DB">
        <w:rPr>
          <w:rFonts w:ascii="Calibri" w:eastAsia="Calibri" w:hAnsi="Calibri" w:cs="Calibri"/>
          <w:sz w:val="22"/>
          <w:szCs w:val="22"/>
        </w:rPr>
        <w:t>ie</w:t>
      </w:r>
      <w:r w:rsidR="005F1BE8" w:rsidRPr="740363DB">
        <w:rPr>
          <w:rFonts w:ascii="Calibri" w:eastAsia="Calibri" w:hAnsi="Calibri" w:cs="Calibri"/>
          <w:sz w:val="22"/>
          <w:szCs w:val="22"/>
        </w:rPr>
        <w:t>s</w:t>
      </w:r>
      <w:r w:rsidR="00D77555" w:rsidRPr="740363DB">
        <w:rPr>
          <w:rFonts w:ascii="Calibri" w:eastAsia="Calibri" w:hAnsi="Calibri" w:cs="Calibri"/>
          <w:sz w:val="22"/>
          <w:szCs w:val="22"/>
        </w:rPr>
        <w:t>.</w:t>
      </w:r>
      <w:r w:rsidR="75136D50" w:rsidRPr="740363DB">
        <w:rPr>
          <w:rFonts w:ascii="Calibri" w:eastAsia="Calibri" w:hAnsi="Calibri" w:cs="Calibri"/>
          <w:sz w:val="22"/>
          <w:szCs w:val="22"/>
        </w:rPr>
        <w:t xml:space="preserve">  This approach would also facilitate competition and ensure incumbent gas networks do not receive unfair advantages. Ofgem should proactively encourage competition to ensure best possible value for consumers.</w:t>
      </w:r>
    </w:p>
    <w:p w14:paraId="00F70D04" w14:textId="33349213" w:rsidR="478DD745" w:rsidRPr="00EB552E" w:rsidRDefault="00A56926" w:rsidP="7F967D9A">
      <w:pPr>
        <w:rPr>
          <w:rFonts w:ascii="Calibri" w:eastAsia="Calibri" w:hAnsi="Calibri" w:cs="Calibri"/>
          <w:sz w:val="22"/>
          <w:szCs w:val="22"/>
        </w:rPr>
      </w:pPr>
      <w:r w:rsidRPr="00EB552E">
        <w:rPr>
          <w:rFonts w:ascii="Calibri" w:eastAsia="Calibri" w:hAnsi="Calibri" w:cs="Calibri"/>
          <w:sz w:val="22"/>
          <w:szCs w:val="22"/>
        </w:rPr>
        <w:t>OV</w:t>
      </w:r>
      <w:r w:rsidR="478DD745" w:rsidRPr="00EB552E">
        <w:rPr>
          <w:rFonts w:ascii="Calibri" w:eastAsia="Calibri" w:hAnsi="Calibri" w:cs="Calibri"/>
          <w:sz w:val="22"/>
          <w:szCs w:val="22"/>
        </w:rPr>
        <w:t>Q2 – No.</w:t>
      </w:r>
      <w:r w:rsidR="00197B92" w:rsidRPr="00EB552E">
        <w:rPr>
          <w:rFonts w:ascii="Calibri" w:eastAsia="Calibri" w:hAnsi="Calibri" w:cs="Calibri"/>
          <w:sz w:val="22"/>
          <w:szCs w:val="22"/>
        </w:rPr>
        <w:t xml:space="preserve"> As set out above, the HTBM is a more appropriate vehicle for </w:t>
      </w:r>
      <w:r w:rsidR="003C4A5B" w:rsidRPr="00EB552E">
        <w:rPr>
          <w:rFonts w:ascii="Calibri" w:eastAsia="Calibri" w:hAnsi="Calibri" w:cs="Calibri"/>
          <w:sz w:val="22"/>
          <w:szCs w:val="22"/>
        </w:rPr>
        <w:t>development of hydrogen infrastructure. Any additional spending via RIIO3 faces a high stranded asset risk and offers poor value for energy consumers.</w:t>
      </w:r>
    </w:p>
    <w:p w14:paraId="637019D9" w14:textId="4B66A915" w:rsidR="70486D96" w:rsidRPr="00EB552E" w:rsidRDefault="00A56926" w:rsidP="7F967D9A">
      <w:pPr>
        <w:rPr>
          <w:rFonts w:ascii="Calibri" w:eastAsia="Calibri" w:hAnsi="Calibri" w:cs="Calibri"/>
          <w:sz w:val="22"/>
          <w:szCs w:val="22"/>
        </w:rPr>
      </w:pPr>
      <w:r w:rsidRPr="6063AF79">
        <w:rPr>
          <w:rFonts w:ascii="Calibri" w:eastAsia="Calibri" w:hAnsi="Calibri" w:cs="Calibri"/>
          <w:sz w:val="22"/>
          <w:szCs w:val="22"/>
        </w:rPr>
        <w:t>OV</w:t>
      </w:r>
      <w:r w:rsidR="70486D96" w:rsidRPr="6063AF79">
        <w:rPr>
          <w:rFonts w:ascii="Calibri" w:eastAsia="Calibri" w:hAnsi="Calibri" w:cs="Calibri"/>
          <w:sz w:val="22"/>
          <w:szCs w:val="22"/>
        </w:rPr>
        <w:t xml:space="preserve">Q3 – </w:t>
      </w:r>
      <w:r w:rsidR="40C70095" w:rsidRPr="6063AF79">
        <w:rPr>
          <w:rFonts w:ascii="Calibri" w:eastAsia="Calibri" w:hAnsi="Calibri" w:cs="Calibri"/>
          <w:sz w:val="22"/>
          <w:szCs w:val="22"/>
        </w:rPr>
        <w:t>Yes</w:t>
      </w:r>
      <w:r w:rsidR="70486D96" w:rsidRPr="6063AF79">
        <w:rPr>
          <w:rFonts w:ascii="Calibri" w:eastAsia="Calibri" w:hAnsi="Calibri" w:cs="Calibri"/>
          <w:sz w:val="22"/>
          <w:szCs w:val="22"/>
        </w:rPr>
        <w:t>. Government's Strategic Policy Decision, published in December 2023, set out</w:t>
      </w:r>
      <w:r w:rsidR="2EED52C8" w:rsidRPr="6063AF79">
        <w:rPr>
          <w:rFonts w:ascii="Calibri" w:eastAsia="Calibri" w:hAnsi="Calibri" w:cs="Calibri"/>
          <w:sz w:val="22"/>
          <w:szCs w:val="22"/>
        </w:rPr>
        <w:t xml:space="preserve"> that hydrogen blending into gas distribution networks would only happen as an “</w:t>
      </w:r>
      <w:proofErr w:type="spellStart"/>
      <w:r w:rsidR="2EED52C8" w:rsidRPr="6063AF79">
        <w:rPr>
          <w:rFonts w:ascii="Calibri" w:eastAsia="Calibri" w:hAnsi="Calibri" w:cs="Calibri"/>
          <w:sz w:val="22"/>
          <w:szCs w:val="22"/>
        </w:rPr>
        <w:t>offtaker</w:t>
      </w:r>
      <w:proofErr w:type="spellEnd"/>
      <w:r w:rsidR="2EED52C8" w:rsidRPr="6063AF79">
        <w:rPr>
          <w:rFonts w:ascii="Calibri" w:eastAsia="Calibri" w:hAnsi="Calibri" w:cs="Calibri"/>
          <w:sz w:val="22"/>
          <w:szCs w:val="22"/>
        </w:rPr>
        <w:t xml:space="preserve"> of last resort”. </w:t>
      </w:r>
      <w:r w:rsidR="6D9237F9" w:rsidRPr="6063AF79">
        <w:rPr>
          <w:rFonts w:ascii="Calibri" w:eastAsia="Calibri" w:hAnsi="Calibri" w:cs="Calibri"/>
          <w:sz w:val="22"/>
          <w:szCs w:val="22"/>
        </w:rPr>
        <w:t xml:space="preserve">The Government </w:t>
      </w:r>
      <w:proofErr w:type="spellStart"/>
      <w:r w:rsidR="6D9237F9" w:rsidRPr="6063AF79">
        <w:rPr>
          <w:rFonts w:ascii="Calibri" w:eastAsia="Calibri" w:hAnsi="Calibri" w:cs="Calibri"/>
          <w:sz w:val="22"/>
          <w:szCs w:val="22"/>
        </w:rPr>
        <w:t>d</w:t>
      </w:r>
      <w:r w:rsidR="6005DC12" w:rsidRPr="6063AF79">
        <w:rPr>
          <w:rFonts w:ascii="Calibri" w:eastAsia="Calibri" w:hAnsi="Calibri" w:cs="Calibri"/>
          <w:sz w:val="22"/>
          <w:szCs w:val="22"/>
        </w:rPr>
        <w:t>E</w:t>
      </w:r>
      <w:r w:rsidR="6D9237F9" w:rsidRPr="6063AF79">
        <w:rPr>
          <w:rFonts w:ascii="Calibri" w:eastAsia="Calibri" w:hAnsi="Calibri" w:cs="Calibri"/>
          <w:sz w:val="22"/>
          <w:szCs w:val="22"/>
        </w:rPr>
        <w:t>ecision</w:t>
      </w:r>
      <w:proofErr w:type="spellEnd"/>
      <w:r w:rsidR="6D9237F9" w:rsidRPr="6063AF79">
        <w:rPr>
          <w:rFonts w:ascii="Calibri" w:eastAsia="Calibri" w:hAnsi="Calibri" w:cs="Calibri"/>
          <w:sz w:val="22"/>
          <w:szCs w:val="22"/>
        </w:rPr>
        <w:t xml:space="preserve"> also noted that </w:t>
      </w:r>
      <w:r w:rsidR="73F8CE5D" w:rsidRPr="6063AF79">
        <w:rPr>
          <w:rFonts w:ascii="Calibri" w:eastAsia="Calibri" w:hAnsi="Calibri" w:cs="Calibri"/>
          <w:sz w:val="22"/>
          <w:szCs w:val="22"/>
        </w:rPr>
        <w:t>blending at distribution would require amendments to legislation.</w:t>
      </w:r>
    </w:p>
    <w:p w14:paraId="273726D7" w14:textId="4E6C43E3" w:rsidR="73F8CE5D" w:rsidRPr="00EB552E" w:rsidRDefault="73F8CE5D" w:rsidP="7F967D9A">
      <w:pPr>
        <w:rPr>
          <w:rFonts w:ascii="Calibri" w:eastAsia="Calibri" w:hAnsi="Calibri" w:cs="Calibri"/>
          <w:sz w:val="22"/>
          <w:szCs w:val="22"/>
        </w:rPr>
      </w:pPr>
      <w:r w:rsidRPr="00EB552E">
        <w:rPr>
          <w:rFonts w:ascii="Calibri" w:eastAsia="Calibri" w:hAnsi="Calibri" w:cs="Calibri"/>
          <w:sz w:val="22"/>
          <w:szCs w:val="22"/>
        </w:rPr>
        <w:t xml:space="preserve">Until such legislative changes have taken place, it would not be appropriate for Ofgem to pre-empt </w:t>
      </w:r>
      <w:r w:rsidR="35833BEC" w:rsidRPr="00EB552E">
        <w:rPr>
          <w:rFonts w:ascii="Calibri" w:eastAsia="Calibri" w:hAnsi="Calibri" w:cs="Calibri"/>
          <w:sz w:val="22"/>
          <w:szCs w:val="22"/>
        </w:rPr>
        <w:t>that blending will go ahead. As such, uncertainty mechanisms are the most appropriate way to address any costs.</w:t>
      </w:r>
    </w:p>
    <w:p w14:paraId="21EA3BC8" w14:textId="77777777" w:rsidR="009D31B8" w:rsidRDefault="002A382C" w:rsidP="7F967D9A">
      <w:pPr>
        <w:rPr>
          <w:rFonts w:ascii="Calibri" w:eastAsia="Calibri" w:hAnsi="Calibri" w:cs="Calibri"/>
          <w:sz w:val="22"/>
          <w:szCs w:val="22"/>
        </w:rPr>
      </w:pPr>
      <w:r w:rsidRPr="00C23187">
        <w:rPr>
          <w:rFonts w:ascii="Calibri" w:eastAsia="Calibri" w:hAnsi="Calibri" w:cs="Calibri"/>
          <w:sz w:val="22"/>
          <w:szCs w:val="22"/>
        </w:rPr>
        <w:t xml:space="preserve">Our analysis suggests it is highly unlikely that substantial hydrogen blending </w:t>
      </w:r>
      <w:r w:rsidR="00AC3F5B">
        <w:rPr>
          <w:rFonts w:ascii="Calibri" w:eastAsia="Calibri" w:hAnsi="Calibri" w:cs="Calibri"/>
          <w:sz w:val="22"/>
          <w:szCs w:val="22"/>
        </w:rPr>
        <w:t>will</w:t>
      </w:r>
      <w:r w:rsidR="00AC3F5B" w:rsidRPr="00C23187">
        <w:rPr>
          <w:rFonts w:ascii="Calibri" w:eastAsia="Calibri" w:hAnsi="Calibri" w:cs="Calibri"/>
          <w:sz w:val="22"/>
          <w:szCs w:val="22"/>
        </w:rPr>
        <w:t xml:space="preserve"> </w:t>
      </w:r>
      <w:r w:rsidRPr="00C23187">
        <w:rPr>
          <w:rFonts w:ascii="Calibri" w:eastAsia="Calibri" w:hAnsi="Calibri" w:cs="Calibri"/>
          <w:sz w:val="22"/>
          <w:szCs w:val="22"/>
        </w:rPr>
        <w:t>be required at distribution, as demand from other</w:t>
      </w:r>
      <w:r w:rsidR="00A223B1" w:rsidRPr="00C23187">
        <w:rPr>
          <w:rFonts w:ascii="Calibri" w:eastAsia="Calibri" w:hAnsi="Calibri" w:cs="Calibri"/>
          <w:sz w:val="22"/>
          <w:szCs w:val="22"/>
        </w:rPr>
        <w:t xml:space="preserve"> potential</w:t>
      </w:r>
      <w:r w:rsidRPr="00C23187">
        <w:rPr>
          <w:rFonts w:ascii="Calibri" w:eastAsia="Calibri" w:hAnsi="Calibri" w:cs="Calibri"/>
          <w:sz w:val="22"/>
          <w:szCs w:val="22"/>
        </w:rPr>
        <w:t xml:space="preserve"> </w:t>
      </w:r>
      <w:proofErr w:type="spellStart"/>
      <w:r w:rsidRPr="00C23187">
        <w:rPr>
          <w:rFonts w:ascii="Calibri" w:eastAsia="Calibri" w:hAnsi="Calibri" w:cs="Calibri"/>
          <w:sz w:val="22"/>
          <w:szCs w:val="22"/>
        </w:rPr>
        <w:t>offtakers</w:t>
      </w:r>
      <w:proofErr w:type="spellEnd"/>
      <w:r w:rsidRPr="00C23187">
        <w:rPr>
          <w:rFonts w:ascii="Calibri" w:eastAsia="Calibri" w:hAnsi="Calibri" w:cs="Calibri"/>
          <w:sz w:val="22"/>
          <w:szCs w:val="22"/>
        </w:rPr>
        <w:t xml:space="preserve"> significantly exceeds </w:t>
      </w:r>
      <w:r w:rsidR="00A223B1" w:rsidRPr="00C23187">
        <w:rPr>
          <w:rFonts w:ascii="Calibri" w:eastAsia="Calibri" w:hAnsi="Calibri" w:cs="Calibri"/>
          <w:sz w:val="22"/>
          <w:szCs w:val="22"/>
        </w:rPr>
        <w:t xml:space="preserve">expected </w:t>
      </w:r>
      <w:r w:rsidRPr="00C23187">
        <w:rPr>
          <w:rFonts w:ascii="Calibri" w:eastAsia="Calibri" w:hAnsi="Calibri" w:cs="Calibri"/>
          <w:sz w:val="22"/>
          <w:szCs w:val="22"/>
        </w:rPr>
        <w:t>hydrogen production.</w:t>
      </w:r>
      <w:r w:rsidR="00A223B1" w:rsidRPr="00EB552E">
        <w:rPr>
          <w:rFonts w:ascii="Calibri" w:eastAsia="Calibri" w:hAnsi="Calibri" w:cs="Calibri"/>
          <w:sz w:val="22"/>
          <w:szCs w:val="22"/>
        </w:rPr>
        <w:t xml:space="preserve"> </w:t>
      </w:r>
      <w:r w:rsidR="00CE1566" w:rsidRPr="00EB552E">
        <w:rPr>
          <w:rFonts w:ascii="Calibri" w:eastAsia="Calibri" w:hAnsi="Calibri" w:cs="Calibri"/>
          <w:sz w:val="22"/>
          <w:szCs w:val="22"/>
        </w:rPr>
        <w:t>Without a strategic vision, blending risks locking in hydrogen for inefficient uses like domestic heating, at the expense of other sectors</w:t>
      </w:r>
      <w:r w:rsidR="0061151F" w:rsidRPr="00EB552E">
        <w:rPr>
          <w:rFonts w:ascii="Calibri" w:eastAsia="Calibri" w:hAnsi="Calibri" w:cs="Calibri"/>
          <w:sz w:val="22"/>
          <w:szCs w:val="22"/>
        </w:rPr>
        <w:t xml:space="preserve"> where hydrogen is the only option for decarbonisation</w:t>
      </w:r>
      <w:r w:rsidR="00DE36B6" w:rsidRPr="00EB552E">
        <w:rPr>
          <w:rFonts w:ascii="Calibri" w:eastAsia="Calibri" w:hAnsi="Calibri" w:cs="Calibri"/>
          <w:sz w:val="22"/>
          <w:szCs w:val="22"/>
        </w:rPr>
        <w:t xml:space="preserve">. Blending does not encourage strategic deployment of hydrogen in sectors where it is the primary option for </w:t>
      </w:r>
      <w:proofErr w:type="gramStart"/>
      <w:r w:rsidR="00DE36B6" w:rsidRPr="00EB552E">
        <w:rPr>
          <w:rFonts w:ascii="Calibri" w:eastAsia="Calibri" w:hAnsi="Calibri" w:cs="Calibri"/>
          <w:sz w:val="22"/>
          <w:szCs w:val="22"/>
        </w:rPr>
        <w:t xml:space="preserve">decarbonisation, </w:t>
      </w:r>
      <w:r w:rsidR="003F7F21" w:rsidRPr="00EB552E">
        <w:rPr>
          <w:rFonts w:ascii="Calibri" w:eastAsia="Calibri" w:hAnsi="Calibri" w:cs="Calibri"/>
          <w:sz w:val="22"/>
          <w:szCs w:val="22"/>
        </w:rPr>
        <w:t>and</w:t>
      </w:r>
      <w:proofErr w:type="gramEnd"/>
      <w:r w:rsidR="00DE36B6" w:rsidRPr="00EB552E">
        <w:rPr>
          <w:rFonts w:ascii="Calibri" w:eastAsia="Calibri" w:hAnsi="Calibri" w:cs="Calibri"/>
          <w:sz w:val="22"/>
          <w:szCs w:val="22"/>
        </w:rPr>
        <w:t xml:space="preserve"> is a costly distraction from</w:t>
      </w:r>
      <w:r w:rsidR="003F7F21" w:rsidRPr="00EB552E">
        <w:rPr>
          <w:rFonts w:ascii="Calibri" w:eastAsia="Calibri" w:hAnsi="Calibri" w:cs="Calibri"/>
          <w:sz w:val="22"/>
          <w:szCs w:val="22"/>
        </w:rPr>
        <w:t xml:space="preserve"> </w:t>
      </w:r>
      <w:r w:rsidR="00DE36B6" w:rsidRPr="00EB552E">
        <w:rPr>
          <w:rFonts w:ascii="Calibri" w:eastAsia="Calibri" w:hAnsi="Calibri" w:cs="Calibri"/>
          <w:sz w:val="22"/>
          <w:szCs w:val="22"/>
        </w:rPr>
        <w:t>higher priority uses of this critical fuel.</w:t>
      </w:r>
      <w:r w:rsidR="003F7F21" w:rsidRPr="00EB552E">
        <w:rPr>
          <w:rFonts w:ascii="Calibri" w:eastAsia="Calibri" w:hAnsi="Calibri" w:cs="Calibri"/>
          <w:sz w:val="22"/>
          <w:szCs w:val="22"/>
        </w:rPr>
        <w:t xml:space="preserve"> According to analysis by E3G, blending could increase household gas bills by 7-20%</w:t>
      </w:r>
      <w:r w:rsidR="003F7F21" w:rsidRPr="00EB552E">
        <w:rPr>
          <w:rStyle w:val="FootnoteReference"/>
          <w:rFonts w:ascii="Calibri" w:eastAsia="Calibri" w:hAnsi="Calibri" w:cs="Calibri"/>
          <w:sz w:val="22"/>
          <w:szCs w:val="22"/>
        </w:rPr>
        <w:footnoteReference w:id="3"/>
      </w:r>
      <w:r w:rsidR="003F7F21" w:rsidRPr="00EB552E">
        <w:rPr>
          <w:rFonts w:ascii="Calibri" w:eastAsia="Calibri" w:hAnsi="Calibri" w:cs="Calibri"/>
          <w:sz w:val="22"/>
          <w:szCs w:val="22"/>
        </w:rPr>
        <w:t>.</w:t>
      </w:r>
    </w:p>
    <w:p w14:paraId="437CF436" w14:textId="1E619DAA" w:rsidR="6DC18AB9" w:rsidRPr="00EB552E" w:rsidRDefault="00A56926" w:rsidP="7F967D9A">
      <w:pPr>
        <w:rPr>
          <w:rFonts w:ascii="Calibri" w:eastAsia="Calibri" w:hAnsi="Calibri" w:cs="Calibri"/>
          <w:sz w:val="22"/>
          <w:szCs w:val="22"/>
        </w:rPr>
      </w:pPr>
      <w:r w:rsidRPr="00EB552E">
        <w:rPr>
          <w:rFonts w:ascii="Calibri" w:eastAsia="Calibri" w:hAnsi="Calibri" w:cs="Calibri"/>
          <w:sz w:val="22"/>
          <w:szCs w:val="22"/>
        </w:rPr>
        <w:t>OV</w:t>
      </w:r>
      <w:r w:rsidR="6DC18AB9" w:rsidRPr="00EB552E">
        <w:rPr>
          <w:rFonts w:ascii="Calibri" w:eastAsia="Calibri" w:hAnsi="Calibri" w:cs="Calibri"/>
          <w:sz w:val="22"/>
          <w:szCs w:val="22"/>
        </w:rPr>
        <w:t xml:space="preserve">Q4 – Regardless of </w:t>
      </w:r>
      <w:r w:rsidR="006908C3" w:rsidRPr="00EB552E">
        <w:rPr>
          <w:rFonts w:ascii="Calibri" w:eastAsia="Calibri" w:hAnsi="Calibri" w:cs="Calibri"/>
          <w:sz w:val="22"/>
          <w:szCs w:val="22"/>
        </w:rPr>
        <w:t xml:space="preserve">the outcome of </w:t>
      </w:r>
      <w:r w:rsidR="6DC18AB9" w:rsidRPr="00EB552E">
        <w:rPr>
          <w:rFonts w:ascii="Calibri" w:eastAsia="Calibri" w:hAnsi="Calibri" w:cs="Calibri"/>
          <w:sz w:val="22"/>
          <w:szCs w:val="22"/>
        </w:rPr>
        <w:t>Government’s strategic decision</w:t>
      </w:r>
      <w:r w:rsidR="00175112" w:rsidRPr="00EB552E">
        <w:rPr>
          <w:rFonts w:ascii="Calibri" w:eastAsia="Calibri" w:hAnsi="Calibri" w:cs="Calibri"/>
          <w:sz w:val="22"/>
          <w:szCs w:val="22"/>
        </w:rPr>
        <w:t xml:space="preserve"> in 2026</w:t>
      </w:r>
      <w:r w:rsidR="6DC18AB9" w:rsidRPr="00EB552E">
        <w:rPr>
          <w:rFonts w:ascii="Calibri" w:eastAsia="Calibri" w:hAnsi="Calibri" w:cs="Calibri"/>
          <w:sz w:val="22"/>
          <w:szCs w:val="22"/>
        </w:rPr>
        <w:t>,</w:t>
      </w:r>
      <w:r w:rsidR="00175112" w:rsidRPr="00EB552E">
        <w:rPr>
          <w:rFonts w:ascii="Calibri" w:eastAsia="Calibri" w:hAnsi="Calibri" w:cs="Calibri"/>
          <w:sz w:val="22"/>
          <w:szCs w:val="22"/>
        </w:rPr>
        <w:t xml:space="preserve"> Government has indicated that</w:t>
      </w:r>
      <w:r w:rsidR="6DC18AB9" w:rsidRPr="00EB552E">
        <w:rPr>
          <w:rFonts w:ascii="Calibri" w:eastAsia="Calibri" w:hAnsi="Calibri" w:cs="Calibri"/>
          <w:sz w:val="22"/>
          <w:szCs w:val="22"/>
        </w:rPr>
        <w:t xml:space="preserve"> hydrogen </w:t>
      </w:r>
      <w:r w:rsidR="00175112" w:rsidRPr="00EB552E">
        <w:rPr>
          <w:rFonts w:ascii="Calibri" w:eastAsia="Calibri" w:hAnsi="Calibri" w:cs="Calibri"/>
          <w:sz w:val="22"/>
          <w:szCs w:val="22"/>
        </w:rPr>
        <w:t>will</w:t>
      </w:r>
      <w:r w:rsidR="6DC18AB9" w:rsidRPr="00EB552E">
        <w:rPr>
          <w:rFonts w:ascii="Calibri" w:eastAsia="Calibri" w:hAnsi="Calibri" w:cs="Calibri"/>
          <w:sz w:val="22"/>
          <w:szCs w:val="22"/>
        </w:rPr>
        <w:t xml:space="preserve"> not be used for heating until the mid-2030s at the earliest. </w:t>
      </w:r>
      <w:r w:rsidR="00175112" w:rsidRPr="00EB552E">
        <w:rPr>
          <w:rFonts w:ascii="Calibri" w:eastAsia="Calibri" w:hAnsi="Calibri" w:cs="Calibri"/>
          <w:sz w:val="22"/>
          <w:szCs w:val="22"/>
        </w:rPr>
        <w:t>Therefore</w:t>
      </w:r>
      <w:r w:rsidR="00504D82" w:rsidRPr="00EB552E">
        <w:rPr>
          <w:rFonts w:ascii="Calibri" w:eastAsia="Calibri" w:hAnsi="Calibri" w:cs="Calibri"/>
          <w:sz w:val="22"/>
          <w:szCs w:val="22"/>
        </w:rPr>
        <w:t>,</w:t>
      </w:r>
      <w:r w:rsidR="00175112" w:rsidRPr="00EB552E">
        <w:rPr>
          <w:rFonts w:ascii="Calibri" w:eastAsia="Calibri" w:hAnsi="Calibri" w:cs="Calibri"/>
          <w:sz w:val="22"/>
          <w:szCs w:val="22"/>
        </w:rPr>
        <w:t xml:space="preserve"> it seems unlikely that the strategic decision will directly </w:t>
      </w:r>
      <w:r w:rsidR="0056664D" w:rsidRPr="00EB552E">
        <w:rPr>
          <w:rFonts w:ascii="Calibri" w:eastAsia="Calibri" w:hAnsi="Calibri" w:cs="Calibri"/>
          <w:sz w:val="22"/>
          <w:szCs w:val="22"/>
        </w:rPr>
        <w:t xml:space="preserve">require </w:t>
      </w:r>
      <w:r w:rsidR="008E2697" w:rsidRPr="00EB552E">
        <w:rPr>
          <w:rFonts w:ascii="Calibri" w:eastAsia="Calibri" w:hAnsi="Calibri" w:cs="Calibri"/>
          <w:sz w:val="22"/>
          <w:szCs w:val="22"/>
        </w:rPr>
        <w:t xml:space="preserve">substantial </w:t>
      </w:r>
      <w:r w:rsidR="00175112" w:rsidRPr="00EB552E">
        <w:rPr>
          <w:rFonts w:ascii="Calibri" w:eastAsia="Calibri" w:hAnsi="Calibri" w:cs="Calibri"/>
          <w:sz w:val="22"/>
          <w:szCs w:val="22"/>
        </w:rPr>
        <w:t xml:space="preserve">costs for networks within the RIIO-3 </w:t>
      </w:r>
      <w:r w:rsidR="008649C1" w:rsidRPr="00EB552E">
        <w:rPr>
          <w:rFonts w:ascii="Calibri" w:eastAsia="Calibri" w:hAnsi="Calibri" w:cs="Calibri"/>
          <w:sz w:val="22"/>
          <w:szCs w:val="22"/>
        </w:rPr>
        <w:t>price control period</w:t>
      </w:r>
      <w:r w:rsidR="00175112" w:rsidRPr="00EB552E">
        <w:rPr>
          <w:rFonts w:ascii="Calibri" w:eastAsia="Calibri" w:hAnsi="Calibri" w:cs="Calibri"/>
          <w:sz w:val="22"/>
          <w:szCs w:val="22"/>
        </w:rPr>
        <w:t>.</w:t>
      </w:r>
      <w:r w:rsidR="00D07556" w:rsidRPr="00EB552E">
        <w:rPr>
          <w:rFonts w:ascii="Calibri" w:eastAsia="Calibri" w:hAnsi="Calibri" w:cs="Calibri"/>
          <w:sz w:val="22"/>
          <w:szCs w:val="22"/>
        </w:rPr>
        <w:t xml:space="preserve"> </w:t>
      </w:r>
      <w:r w:rsidR="00636C46" w:rsidRPr="00EB552E">
        <w:rPr>
          <w:rFonts w:ascii="Calibri" w:eastAsia="Calibri" w:hAnsi="Calibri" w:cs="Calibri"/>
          <w:sz w:val="22"/>
          <w:szCs w:val="22"/>
        </w:rPr>
        <w:t xml:space="preserve">Networks should not be allowed to charge customers for speculative investments based on their assumptions around government decision-making on hydrogen for heating, particularly given </w:t>
      </w:r>
      <w:r w:rsidR="00824B91" w:rsidRPr="00EB552E">
        <w:rPr>
          <w:rFonts w:ascii="Calibri" w:eastAsia="Calibri" w:hAnsi="Calibri" w:cs="Calibri"/>
          <w:sz w:val="22"/>
          <w:szCs w:val="22"/>
        </w:rPr>
        <w:t xml:space="preserve">the strong evidence case that this is not a nationally appropriate solution for heat </w:t>
      </w:r>
      <w:r w:rsidR="00EB00EA" w:rsidRPr="00EB552E">
        <w:rPr>
          <w:rFonts w:ascii="Calibri" w:eastAsia="Calibri" w:hAnsi="Calibri" w:cs="Calibri"/>
          <w:sz w:val="22"/>
          <w:szCs w:val="22"/>
        </w:rPr>
        <w:t>decarbonization</w:t>
      </w:r>
      <w:r w:rsidR="00824B91" w:rsidRPr="00EB552E">
        <w:rPr>
          <w:rFonts w:ascii="Calibri" w:eastAsia="Calibri" w:hAnsi="Calibri" w:cs="Calibri"/>
          <w:sz w:val="22"/>
          <w:szCs w:val="22"/>
        </w:rPr>
        <w:t xml:space="preserve">. </w:t>
      </w:r>
      <w:r w:rsidR="00D07556" w:rsidRPr="00EB552E">
        <w:rPr>
          <w:rFonts w:ascii="Calibri" w:eastAsia="Calibri" w:hAnsi="Calibri" w:cs="Calibri"/>
          <w:sz w:val="22"/>
          <w:szCs w:val="22"/>
        </w:rPr>
        <w:t xml:space="preserve">If </w:t>
      </w:r>
      <w:r w:rsidR="0095127B" w:rsidRPr="00EB552E">
        <w:rPr>
          <w:rFonts w:ascii="Calibri" w:eastAsia="Calibri" w:hAnsi="Calibri" w:cs="Calibri"/>
          <w:sz w:val="22"/>
          <w:szCs w:val="22"/>
        </w:rPr>
        <w:t xml:space="preserve">networks indicate that costs will be incurred, this claim </w:t>
      </w:r>
      <w:proofErr w:type="gramStart"/>
      <w:r w:rsidR="0095127B" w:rsidRPr="00EB552E">
        <w:rPr>
          <w:rFonts w:ascii="Calibri" w:eastAsia="Calibri" w:hAnsi="Calibri" w:cs="Calibri"/>
          <w:sz w:val="22"/>
          <w:szCs w:val="22"/>
        </w:rPr>
        <w:t>would</w:t>
      </w:r>
      <w:proofErr w:type="gramEnd"/>
      <w:r w:rsidR="0095127B" w:rsidRPr="00EB552E">
        <w:rPr>
          <w:rFonts w:ascii="Calibri" w:eastAsia="Calibri" w:hAnsi="Calibri" w:cs="Calibri"/>
          <w:sz w:val="22"/>
          <w:szCs w:val="22"/>
        </w:rPr>
        <w:t xml:space="preserve"> merit substantial scrutiny from Ofgem to ensure </w:t>
      </w:r>
      <w:r w:rsidR="00E96698" w:rsidRPr="00EB552E">
        <w:rPr>
          <w:rFonts w:ascii="Calibri" w:eastAsia="Calibri" w:hAnsi="Calibri" w:cs="Calibri"/>
          <w:sz w:val="22"/>
          <w:szCs w:val="22"/>
        </w:rPr>
        <w:t>any costs offer value for consumers. A</w:t>
      </w:r>
      <w:r w:rsidR="00D07556" w:rsidRPr="00EB552E">
        <w:rPr>
          <w:rFonts w:ascii="Calibri" w:eastAsia="Calibri" w:hAnsi="Calibri" w:cs="Calibri"/>
          <w:sz w:val="22"/>
          <w:szCs w:val="22"/>
        </w:rPr>
        <w:t xml:space="preserve"> re-opener would be the most appropriate mechanism </w:t>
      </w:r>
      <w:r w:rsidR="0095127B" w:rsidRPr="00EB552E">
        <w:rPr>
          <w:rFonts w:ascii="Calibri" w:eastAsia="Calibri" w:hAnsi="Calibri" w:cs="Calibri"/>
          <w:sz w:val="22"/>
          <w:szCs w:val="22"/>
        </w:rPr>
        <w:t>for this.</w:t>
      </w:r>
    </w:p>
    <w:p w14:paraId="17352991" w14:textId="77777777" w:rsidR="00E76D90" w:rsidRDefault="00F60727" w:rsidP="7F967D9A">
      <w:pPr>
        <w:rPr>
          <w:rFonts w:ascii="Calibri" w:eastAsia="Calibri" w:hAnsi="Calibri" w:cs="Calibri"/>
          <w:sz w:val="22"/>
          <w:szCs w:val="22"/>
        </w:rPr>
      </w:pPr>
      <w:r w:rsidRPr="00EB552E">
        <w:rPr>
          <w:rFonts w:ascii="Calibri" w:eastAsia="Calibri" w:hAnsi="Calibri" w:cs="Calibri"/>
          <w:sz w:val="22"/>
          <w:szCs w:val="22"/>
        </w:rPr>
        <w:t xml:space="preserve">Whilst Government has yet to formally make a strategic decision on the role of hydrogen for domestic heating, there is a wide body of evidence to suggest this role will be limited or non-existent. This includes </w:t>
      </w:r>
      <w:r w:rsidR="00E76D90">
        <w:rPr>
          <w:rFonts w:ascii="Calibri" w:eastAsia="Calibri" w:hAnsi="Calibri" w:cs="Calibri"/>
          <w:sz w:val="22"/>
          <w:szCs w:val="22"/>
        </w:rPr>
        <w:t xml:space="preserve">substantial </w:t>
      </w:r>
      <w:r w:rsidRPr="00EB552E">
        <w:rPr>
          <w:rFonts w:ascii="Calibri" w:eastAsia="Calibri" w:hAnsi="Calibri" w:cs="Calibri"/>
          <w:sz w:val="22"/>
          <w:szCs w:val="22"/>
        </w:rPr>
        <w:t>independent research</w:t>
      </w:r>
      <w:r w:rsidR="00F93104">
        <w:rPr>
          <w:rStyle w:val="FootnoteReference"/>
          <w:rFonts w:ascii="Calibri" w:eastAsia="Calibri" w:hAnsi="Calibri" w:cs="Calibri"/>
          <w:sz w:val="22"/>
          <w:szCs w:val="22"/>
        </w:rPr>
        <w:footnoteReference w:id="4"/>
      </w:r>
      <w:r w:rsidRPr="00EB552E">
        <w:rPr>
          <w:rFonts w:ascii="Calibri" w:eastAsia="Calibri" w:hAnsi="Calibri" w:cs="Calibri"/>
          <w:sz w:val="22"/>
          <w:szCs w:val="22"/>
        </w:rPr>
        <w:t xml:space="preserve"> as well as statements by Government ministers</w:t>
      </w:r>
      <w:r w:rsidRPr="00EB552E">
        <w:rPr>
          <w:rStyle w:val="FootnoteReference"/>
          <w:rFonts w:ascii="Calibri" w:eastAsia="Calibri" w:hAnsi="Calibri" w:cs="Calibri"/>
          <w:sz w:val="22"/>
          <w:szCs w:val="22"/>
        </w:rPr>
        <w:footnoteReference w:id="5"/>
      </w:r>
      <w:r w:rsidRPr="00EB552E">
        <w:rPr>
          <w:rFonts w:ascii="Calibri" w:eastAsia="Calibri" w:hAnsi="Calibri" w:cs="Calibri"/>
          <w:sz w:val="22"/>
          <w:szCs w:val="22"/>
        </w:rPr>
        <w:t>.</w:t>
      </w:r>
    </w:p>
    <w:p w14:paraId="56D74B42" w14:textId="48AB8F9B" w:rsidR="00E603CD" w:rsidRDefault="00877A84" w:rsidP="740363DB">
      <w:pPr>
        <w:rPr>
          <w:rFonts w:ascii="Calibri" w:eastAsia="Calibri" w:hAnsi="Calibri" w:cs="Calibri"/>
          <w:sz w:val="22"/>
          <w:szCs w:val="22"/>
        </w:rPr>
      </w:pPr>
      <w:r w:rsidRPr="740363DB">
        <w:rPr>
          <w:rFonts w:ascii="Calibri" w:eastAsia="Calibri" w:hAnsi="Calibri" w:cs="Calibri"/>
          <w:sz w:val="22"/>
          <w:szCs w:val="22"/>
        </w:rPr>
        <w:t xml:space="preserve">Research by the Committee on Climate Change confirmed </w:t>
      </w:r>
      <w:r w:rsidR="00D06D95" w:rsidRPr="740363DB">
        <w:rPr>
          <w:rFonts w:ascii="Calibri" w:eastAsia="Calibri" w:hAnsi="Calibri" w:cs="Calibri"/>
          <w:sz w:val="22"/>
          <w:szCs w:val="22"/>
        </w:rPr>
        <w:t>sunk costs associated with the gas grid do not automatically mean it will be low cost to switch over to hydrogen</w:t>
      </w:r>
      <w:r w:rsidR="0066148B">
        <w:rPr>
          <w:rStyle w:val="FootnoteReference"/>
          <w:rFonts w:ascii="Calibri" w:eastAsia="Calibri" w:hAnsi="Calibri" w:cs="Calibri"/>
          <w:sz w:val="22"/>
          <w:szCs w:val="22"/>
        </w:rPr>
        <w:footnoteReference w:id="6"/>
      </w:r>
      <w:r w:rsidR="00D06D95" w:rsidRPr="740363DB">
        <w:rPr>
          <w:rFonts w:ascii="Calibri" w:eastAsia="Calibri" w:hAnsi="Calibri" w:cs="Calibri"/>
          <w:sz w:val="22"/>
          <w:szCs w:val="22"/>
        </w:rPr>
        <w:t>.</w:t>
      </w:r>
      <w:r w:rsidR="006D5504" w:rsidRPr="740363DB">
        <w:rPr>
          <w:rFonts w:ascii="Calibri" w:eastAsia="Calibri" w:hAnsi="Calibri" w:cs="Calibri"/>
          <w:sz w:val="22"/>
          <w:szCs w:val="22"/>
        </w:rPr>
        <w:t xml:space="preserve"> Furthermore, extensive research</w:t>
      </w:r>
      <w:r w:rsidR="00694685" w:rsidRPr="740363DB">
        <w:rPr>
          <w:rFonts w:ascii="Calibri" w:eastAsia="Calibri" w:hAnsi="Calibri" w:cs="Calibri"/>
          <w:sz w:val="22"/>
          <w:szCs w:val="22"/>
        </w:rPr>
        <w:t xml:space="preserve"> suggests that hydrogen costs will inherently be higher than those of natural </w:t>
      </w:r>
      <w:proofErr w:type="gramStart"/>
      <w:r w:rsidR="00694685" w:rsidRPr="740363DB">
        <w:rPr>
          <w:rFonts w:ascii="Calibri" w:eastAsia="Calibri" w:hAnsi="Calibri" w:cs="Calibri"/>
          <w:sz w:val="22"/>
          <w:szCs w:val="22"/>
        </w:rPr>
        <w:t>gas</w:t>
      </w:r>
      <w:r w:rsidR="00643733" w:rsidRPr="740363DB">
        <w:rPr>
          <w:rFonts w:ascii="Calibri" w:eastAsia="Calibri" w:hAnsi="Calibri" w:cs="Calibri"/>
          <w:sz w:val="22"/>
          <w:szCs w:val="22"/>
        </w:rPr>
        <w:t>, and</w:t>
      </w:r>
      <w:proofErr w:type="gramEnd"/>
      <w:r w:rsidR="00643733" w:rsidRPr="740363DB">
        <w:rPr>
          <w:rFonts w:ascii="Calibri" w:eastAsia="Calibri" w:hAnsi="Calibri" w:cs="Calibri"/>
          <w:sz w:val="22"/>
          <w:szCs w:val="22"/>
        </w:rPr>
        <w:t xml:space="preserve"> are unlikely to offer a cost competitive solution for domestic heating</w:t>
      </w:r>
      <w:r w:rsidR="00643733">
        <w:rPr>
          <w:rStyle w:val="FootnoteReference"/>
          <w:rFonts w:ascii="Calibri" w:eastAsia="Calibri" w:hAnsi="Calibri" w:cs="Calibri"/>
          <w:sz w:val="22"/>
          <w:szCs w:val="22"/>
        </w:rPr>
        <w:footnoteReference w:id="7"/>
      </w:r>
      <w:r w:rsidR="00643733" w:rsidRPr="740363DB">
        <w:rPr>
          <w:rFonts w:ascii="Calibri" w:eastAsia="Calibri" w:hAnsi="Calibri" w:cs="Calibri"/>
          <w:sz w:val="22"/>
          <w:szCs w:val="22"/>
        </w:rPr>
        <w:t>.</w:t>
      </w:r>
      <w:r w:rsidR="2A18A6BA" w:rsidRPr="740363DB">
        <w:rPr>
          <w:rFonts w:ascii="Calibri" w:eastAsia="Calibri" w:hAnsi="Calibri" w:cs="Calibri"/>
          <w:sz w:val="22"/>
          <w:szCs w:val="22"/>
        </w:rPr>
        <w:t xml:space="preserve"> As a result, the use of hydrogen for heating would likely have a negative impact on fuel poverty.</w:t>
      </w:r>
    </w:p>
    <w:p w14:paraId="58F2FC8B" w14:textId="00B11FCF" w:rsidR="00E603CD" w:rsidRDefault="00F60727" w:rsidP="7F967D9A">
      <w:pPr>
        <w:rPr>
          <w:rFonts w:ascii="Calibri" w:eastAsia="Calibri" w:hAnsi="Calibri" w:cs="Calibri"/>
          <w:sz w:val="22"/>
          <w:szCs w:val="22"/>
        </w:rPr>
      </w:pPr>
      <w:proofErr w:type="gramStart"/>
      <w:r w:rsidRPr="740363DB">
        <w:rPr>
          <w:rFonts w:ascii="Calibri" w:eastAsia="Calibri" w:hAnsi="Calibri" w:cs="Calibri"/>
          <w:sz w:val="22"/>
          <w:szCs w:val="22"/>
        </w:rPr>
        <w:t>The majority of</w:t>
      </w:r>
      <w:proofErr w:type="gramEnd"/>
      <w:r w:rsidRPr="740363DB">
        <w:rPr>
          <w:rFonts w:ascii="Calibri" w:eastAsia="Calibri" w:hAnsi="Calibri" w:cs="Calibri"/>
          <w:sz w:val="22"/>
          <w:szCs w:val="22"/>
        </w:rPr>
        <w:t xml:space="preserve"> gas distribution networks will</w:t>
      </w:r>
      <w:r w:rsidR="00235034" w:rsidRPr="740363DB">
        <w:rPr>
          <w:rFonts w:ascii="Calibri" w:eastAsia="Calibri" w:hAnsi="Calibri" w:cs="Calibri"/>
          <w:sz w:val="22"/>
          <w:szCs w:val="22"/>
        </w:rPr>
        <w:t xml:space="preserve"> therefore</w:t>
      </w:r>
      <w:r w:rsidRPr="740363DB">
        <w:rPr>
          <w:rFonts w:ascii="Calibri" w:eastAsia="Calibri" w:hAnsi="Calibri" w:cs="Calibri"/>
          <w:sz w:val="22"/>
          <w:szCs w:val="22"/>
        </w:rPr>
        <w:t xml:space="preserve"> likely need to be decommissioned in the long-term, rather than being repurposed. Gas networks will need to </w:t>
      </w:r>
      <w:proofErr w:type="gramStart"/>
      <w:r w:rsidR="00235034" w:rsidRPr="740363DB">
        <w:rPr>
          <w:rFonts w:ascii="Calibri" w:eastAsia="Calibri" w:hAnsi="Calibri" w:cs="Calibri"/>
          <w:sz w:val="22"/>
          <w:szCs w:val="22"/>
        </w:rPr>
        <w:t>plan ahead</w:t>
      </w:r>
      <w:proofErr w:type="gramEnd"/>
      <w:r w:rsidR="00235034" w:rsidRPr="740363DB">
        <w:rPr>
          <w:rFonts w:ascii="Calibri" w:eastAsia="Calibri" w:hAnsi="Calibri" w:cs="Calibri"/>
          <w:sz w:val="22"/>
          <w:szCs w:val="22"/>
        </w:rPr>
        <w:t xml:space="preserve"> strategically and proactively</w:t>
      </w:r>
      <w:r w:rsidRPr="740363DB">
        <w:rPr>
          <w:rFonts w:ascii="Calibri" w:eastAsia="Calibri" w:hAnsi="Calibri" w:cs="Calibri"/>
          <w:sz w:val="22"/>
          <w:szCs w:val="22"/>
        </w:rPr>
        <w:t xml:space="preserve"> for this transition to avoid stranded assets in the future. If networks bury their heads in the sand, this will lead to higher costs for consumers both now and the future.</w:t>
      </w:r>
      <w:r w:rsidR="00E51A43" w:rsidRPr="740363DB">
        <w:rPr>
          <w:rFonts w:ascii="Calibri" w:eastAsia="Calibri" w:hAnsi="Calibri" w:cs="Calibri"/>
          <w:sz w:val="22"/>
          <w:szCs w:val="22"/>
        </w:rPr>
        <w:t xml:space="preserve"> </w:t>
      </w:r>
    </w:p>
    <w:p w14:paraId="11C09AFD" w14:textId="2E3F2115" w:rsidR="05B44E5C" w:rsidRPr="00EB552E" w:rsidRDefault="00A56926" w:rsidP="7F967D9A">
      <w:pPr>
        <w:rPr>
          <w:rFonts w:ascii="Calibri" w:eastAsia="Calibri" w:hAnsi="Calibri" w:cs="Calibri"/>
          <w:sz w:val="22"/>
          <w:szCs w:val="22"/>
        </w:rPr>
      </w:pPr>
      <w:r w:rsidRPr="00EB552E">
        <w:rPr>
          <w:rFonts w:ascii="Calibri" w:eastAsia="Calibri" w:hAnsi="Calibri" w:cs="Calibri"/>
          <w:sz w:val="22"/>
          <w:szCs w:val="22"/>
        </w:rPr>
        <w:t>OV</w:t>
      </w:r>
      <w:r w:rsidR="05B44E5C" w:rsidRPr="00EB552E">
        <w:rPr>
          <w:rFonts w:ascii="Calibri" w:eastAsia="Calibri" w:hAnsi="Calibri" w:cs="Calibri"/>
          <w:sz w:val="22"/>
          <w:szCs w:val="22"/>
        </w:rPr>
        <w:t>Q5 – Strongly support. Gas networks face a significant conflict of interest and historically the evidence they ha</w:t>
      </w:r>
      <w:r w:rsidR="00A14349" w:rsidRPr="00EB552E">
        <w:rPr>
          <w:rFonts w:ascii="Calibri" w:eastAsia="Calibri" w:hAnsi="Calibri" w:cs="Calibri"/>
          <w:sz w:val="22"/>
          <w:szCs w:val="22"/>
        </w:rPr>
        <w:t>ve</w:t>
      </w:r>
      <w:r w:rsidR="05B44E5C" w:rsidRPr="00EB552E">
        <w:rPr>
          <w:rFonts w:ascii="Calibri" w:eastAsia="Calibri" w:hAnsi="Calibri" w:cs="Calibri"/>
          <w:sz w:val="22"/>
          <w:szCs w:val="22"/>
        </w:rPr>
        <w:t xml:space="preserve"> produced has been highly partial and </w:t>
      </w:r>
      <w:r w:rsidR="00A14349" w:rsidRPr="00EB552E">
        <w:rPr>
          <w:rFonts w:ascii="Calibri" w:eastAsia="Calibri" w:hAnsi="Calibri" w:cs="Calibri"/>
          <w:sz w:val="22"/>
          <w:szCs w:val="22"/>
        </w:rPr>
        <w:t xml:space="preserve">of </w:t>
      </w:r>
      <w:r w:rsidR="05B44E5C" w:rsidRPr="00EB552E">
        <w:rPr>
          <w:rFonts w:ascii="Calibri" w:eastAsia="Calibri" w:hAnsi="Calibri" w:cs="Calibri"/>
          <w:sz w:val="22"/>
          <w:szCs w:val="22"/>
        </w:rPr>
        <w:t xml:space="preserve">poor quality. </w:t>
      </w:r>
      <w:r w:rsidR="0C1AE4C0" w:rsidRPr="00EB552E">
        <w:rPr>
          <w:rFonts w:ascii="Calibri" w:eastAsia="Calibri" w:hAnsi="Calibri" w:cs="Calibri"/>
          <w:sz w:val="22"/>
          <w:szCs w:val="22"/>
        </w:rPr>
        <w:t>Further funding would not offer good value for consumers.</w:t>
      </w:r>
      <w:r w:rsidR="003D6EC3" w:rsidRPr="00EB552E">
        <w:rPr>
          <w:rFonts w:ascii="Calibri" w:eastAsia="Calibri" w:hAnsi="Calibri" w:cs="Calibri"/>
          <w:sz w:val="22"/>
          <w:szCs w:val="22"/>
        </w:rPr>
        <w:t xml:space="preserve"> Independent sources of evidence </w:t>
      </w:r>
      <w:r w:rsidR="0098595D" w:rsidRPr="00EB552E">
        <w:rPr>
          <w:rFonts w:ascii="Calibri" w:eastAsia="Calibri" w:hAnsi="Calibri" w:cs="Calibri"/>
          <w:sz w:val="22"/>
          <w:szCs w:val="22"/>
        </w:rPr>
        <w:t xml:space="preserve">likely </w:t>
      </w:r>
      <w:r w:rsidR="003D6EC3" w:rsidRPr="00EB552E">
        <w:rPr>
          <w:rFonts w:ascii="Calibri" w:eastAsia="Calibri" w:hAnsi="Calibri" w:cs="Calibri"/>
          <w:sz w:val="22"/>
          <w:szCs w:val="22"/>
        </w:rPr>
        <w:t>offer better value for money.</w:t>
      </w:r>
    </w:p>
    <w:p w14:paraId="6EC6DF3F" w14:textId="16FC0521" w:rsidR="30B97D83" w:rsidRDefault="5B276F90" w:rsidP="67BF2BF8">
      <w:pPr>
        <w:rPr>
          <w:rFonts w:ascii="Calibri" w:eastAsia="Calibri" w:hAnsi="Calibri" w:cs="Calibri"/>
          <w:sz w:val="22"/>
          <w:szCs w:val="22"/>
        </w:rPr>
      </w:pPr>
      <w:r w:rsidRPr="67BF2BF8">
        <w:rPr>
          <w:rFonts w:ascii="Calibri" w:eastAsia="Calibri" w:hAnsi="Calibri" w:cs="Calibri"/>
          <w:sz w:val="22"/>
          <w:szCs w:val="22"/>
        </w:rPr>
        <w:t>OV</w:t>
      </w:r>
      <w:r w:rsidR="1EFE0297" w:rsidRPr="67BF2BF8">
        <w:rPr>
          <w:rFonts w:ascii="Calibri" w:eastAsia="Calibri" w:hAnsi="Calibri" w:cs="Calibri"/>
          <w:sz w:val="22"/>
          <w:szCs w:val="22"/>
        </w:rPr>
        <w:t xml:space="preserve">Q6 – </w:t>
      </w:r>
      <w:r w:rsidR="271E3D79" w:rsidRPr="67BF2BF8">
        <w:rPr>
          <w:rFonts w:ascii="Calibri" w:eastAsia="Calibri" w:hAnsi="Calibri" w:cs="Calibri"/>
          <w:sz w:val="22"/>
          <w:szCs w:val="22"/>
        </w:rPr>
        <w:t>We agree that Ofgem should enable some anticipatory investment in future decommissioning liabilities, to spread the burden of expected future decommissioning expenses over current and future generations, in line with the approach taken to regulatory depreciation. Networks should be required to report on potential decommissioning costs associated with network developments, and to consider decommissioning when calculating depreciation.</w:t>
      </w:r>
    </w:p>
    <w:p w14:paraId="6F426199" w14:textId="2C448E88" w:rsidR="30B97D83" w:rsidRDefault="30B97D83" w:rsidP="72E95B8E">
      <w:pPr>
        <w:rPr>
          <w:rFonts w:ascii="Calibri" w:eastAsia="Calibri" w:hAnsi="Calibri" w:cs="Calibri"/>
          <w:sz w:val="22"/>
          <w:szCs w:val="22"/>
        </w:rPr>
      </w:pPr>
      <w:r w:rsidRPr="67BF2BF8">
        <w:rPr>
          <w:rFonts w:ascii="Calibri" w:eastAsia="Calibri" w:hAnsi="Calibri" w:cs="Calibri"/>
          <w:sz w:val="22"/>
          <w:szCs w:val="22"/>
        </w:rPr>
        <w:t xml:space="preserve">Ofgem should work with Government and the </w:t>
      </w:r>
      <w:r w:rsidR="1F58F62D" w:rsidRPr="67BF2BF8">
        <w:rPr>
          <w:rFonts w:ascii="Calibri" w:eastAsia="Calibri" w:hAnsi="Calibri" w:cs="Calibri"/>
          <w:sz w:val="22"/>
          <w:szCs w:val="22"/>
        </w:rPr>
        <w:t>National Energy</w:t>
      </w:r>
      <w:r w:rsidRPr="67BF2BF8">
        <w:rPr>
          <w:rFonts w:ascii="Calibri" w:eastAsia="Calibri" w:hAnsi="Calibri" w:cs="Calibri"/>
          <w:sz w:val="22"/>
          <w:szCs w:val="22"/>
        </w:rPr>
        <w:t xml:space="preserve"> System Operator to produce a comprehensive long-term plan for gas network transition and decommissioning</w:t>
      </w:r>
      <w:r w:rsidR="17A567DC" w:rsidRPr="67BF2BF8">
        <w:rPr>
          <w:rFonts w:ascii="Calibri" w:eastAsia="Calibri" w:hAnsi="Calibri" w:cs="Calibri"/>
          <w:sz w:val="22"/>
          <w:szCs w:val="22"/>
        </w:rPr>
        <w:t>.</w:t>
      </w:r>
      <w:r w:rsidRPr="67BF2BF8">
        <w:rPr>
          <w:rFonts w:ascii="Calibri" w:eastAsia="Calibri" w:hAnsi="Calibri" w:cs="Calibri"/>
          <w:sz w:val="22"/>
          <w:szCs w:val="22"/>
        </w:rPr>
        <w:t xml:space="preserve"> </w:t>
      </w:r>
      <w:r w:rsidR="17A567DC" w:rsidRPr="67BF2BF8">
        <w:rPr>
          <w:rFonts w:ascii="Calibri" w:eastAsia="Calibri" w:hAnsi="Calibri" w:cs="Calibri"/>
          <w:sz w:val="22"/>
          <w:szCs w:val="22"/>
        </w:rPr>
        <w:t xml:space="preserve">This document </w:t>
      </w:r>
      <w:r w:rsidR="753F3BD6" w:rsidRPr="67BF2BF8">
        <w:rPr>
          <w:rFonts w:ascii="Calibri" w:eastAsia="Calibri" w:hAnsi="Calibri" w:cs="Calibri"/>
          <w:sz w:val="22"/>
          <w:szCs w:val="22"/>
        </w:rPr>
        <w:t xml:space="preserve">should set out a jointly agreed </w:t>
      </w:r>
      <w:r w:rsidR="7BA4E9D7" w:rsidRPr="67BF2BF8">
        <w:rPr>
          <w:rFonts w:ascii="Calibri" w:eastAsia="Calibri" w:hAnsi="Calibri" w:cs="Calibri"/>
          <w:sz w:val="22"/>
          <w:szCs w:val="22"/>
        </w:rPr>
        <w:t xml:space="preserve">approach to </w:t>
      </w:r>
      <w:r w:rsidR="2DEEDD59" w:rsidRPr="67BF2BF8">
        <w:rPr>
          <w:rFonts w:ascii="Calibri" w:eastAsia="Calibri" w:hAnsi="Calibri" w:cs="Calibri"/>
          <w:sz w:val="22"/>
          <w:szCs w:val="22"/>
        </w:rPr>
        <w:t xml:space="preserve">decommissioning </w:t>
      </w:r>
      <w:r w:rsidR="7BA4E9D7" w:rsidRPr="67BF2BF8">
        <w:rPr>
          <w:rFonts w:ascii="Calibri" w:eastAsia="Calibri" w:hAnsi="Calibri" w:cs="Calibri"/>
          <w:sz w:val="22"/>
          <w:szCs w:val="22"/>
        </w:rPr>
        <w:t>gas network assets</w:t>
      </w:r>
      <w:r w:rsidR="48BA22E5" w:rsidRPr="67BF2BF8">
        <w:rPr>
          <w:rFonts w:ascii="Calibri" w:eastAsia="Calibri" w:hAnsi="Calibri" w:cs="Calibri"/>
          <w:sz w:val="22"/>
          <w:szCs w:val="22"/>
        </w:rPr>
        <w:t xml:space="preserve"> </w:t>
      </w:r>
      <w:r w:rsidR="45AE21C3" w:rsidRPr="67BF2BF8">
        <w:rPr>
          <w:rFonts w:ascii="Calibri" w:eastAsia="Calibri" w:hAnsi="Calibri" w:cs="Calibri"/>
          <w:sz w:val="22"/>
          <w:szCs w:val="22"/>
        </w:rPr>
        <w:t xml:space="preserve">and </w:t>
      </w:r>
      <w:r w:rsidR="26D47A69" w:rsidRPr="67BF2BF8">
        <w:rPr>
          <w:rFonts w:ascii="Calibri" w:eastAsia="Calibri" w:hAnsi="Calibri" w:cs="Calibri"/>
          <w:sz w:val="22"/>
          <w:szCs w:val="22"/>
        </w:rPr>
        <w:t>how future decommissioning liabilities will be funded.</w:t>
      </w:r>
    </w:p>
    <w:p w14:paraId="40DAABBA" w14:textId="2772E657" w:rsidR="002A3CBF" w:rsidRDefault="05100709" w:rsidP="7F967D9A">
      <w:pPr>
        <w:rPr>
          <w:rFonts w:ascii="Calibri" w:eastAsia="Calibri" w:hAnsi="Calibri" w:cs="Calibri"/>
          <w:sz w:val="22"/>
          <w:szCs w:val="22"/>
        </w:rPr>
      </w:pPr>
      <w:r w:rsidRPr="72E95B8E">
        <w:rPr>
          <w:rFonts w:ascii="Calibri" w:eastAsia="Calibri" w:hAnsi="Calibri" w:cs="Calibri"/>
          <w:sz w:val="22"/>
          <w:szCs w:val="22"/>
        </w:rPr>
        <w:t>If decommissioning costs are</w:t>
      </w:r>
      <w:r w:rsidR="0594392B" w:rsidRPr="72E95B8E">
        <w:rPr>
          <w:rFonts w:ascii="Calibri" w:eastAsia="Calibri" w:hAnsi="Calibri" w:cs="Calibri"/>
          <w:sz w:val="22"/>
          <w:szCs w:val="22"/>
        </w:rPr>
        <w:t xml:space="preserve"> to be</w:t>
      </w:r>
      <w:r w:rsidRPr="72E95B8E">
        <w:rPr>
          <w:rFonts w:ascii="Calibri" w:eastAsia="Calibri" w:hAnsi="Calibri" w:cs="Calibri"/>
          <w:sz w:val="22"/>
          <w:szCs w:val="22"/>
        </w:rPr>
        <w:t xml:space="preserve"> borne by gas consumers, Ofgem should consider the distributional impacts of this and consider how</w:t>
      </w:r>
      <w:r w:rsidR="009B0D20">
        <w:rPr>
          <w:rFonts w:ascii="Calibri" w:eastAsia="Calibri" w:hAnsi="Calibri" w:cs="Calibri"/>
          <w:sz w:val="22"/>
          <w:szCs w:val="22"/>
        </w:rPr>
        <w:t xml:space="preserve"> the impact on vulnerable </w:t>
      </w:r>
      <w:r w:rsidR="008148C3">
        <w:rPr>
          <w:rFonts w:ascii="Calibri" w:eastAsia="Calibri" w:hAnsi="Calibri" w:cs="Calibri"/>
          <w:sz w:val="22"/>
          <w:szCs w:val="22"/>
        </w:rPr>
        <w:t xml:space="preserve">and fuel poor </w:t>
      </w:r>
      <w:r w:rsidR="009B0D20">
        <w:rPr>
          <w:rFonts w:ascii="Calibri" w:eastAsia="Calibri" w:hAnsi="Calibri" w:cs="Calibri"/>
          <w:sz w:val="22"/>
          <w:szCs w:val="22"/>
        </w:rPr>
        <w:t>consumers</w:t>
      </w:r>
      <w:r w:rsidRPr="72E95B8E">
        <w:rPr>
          <w:rFonts w:ascii="Calibri" w:eastAsia="Calibri" w:hAnsi="Calibri" w:cs="Calibri"/>
          <w:sz w:val="22"/>
          <w:szCs w:val="22"/>
        </w:rPr>
        <w:t xml:space="preserve"> could be mitigated, for example </w:t>
      </w:r>
      <w:r w:rsidR="646279A1" w:rsidRPr="72E95B8E">
        <w:rPr>
          <w:rFonts w:ascii="Calibri" w:eastAsia="Calibri" w:hAnsi="Calibri" w:cs="Calibri"/>
          <w:sz w:val="22"/>
          <w:szCs w:val="22"/>
        </w:rPr>
        <w:t>via social tariffs.</w:t>
      </w:r>
    </w:p>
    <w:p w14:paraId="01A203FC" w14:textId="65B2B048" w:rsidR="00621B47" w:rsidRPr="00EB552E" w:rsidRDefault="00621B47" w:rsidP="7F967D9A">
      <w:pPr>
        <w:rPr>
          <w:rFonts w:ascii="Calibri" w:eastAsia="Calibri" w:hAnsi="Calibri" w:cs="Calibri"/>
          <w:b/>
          <w:bCs/>
          <w:sz w:val="22"/>
          <w:szCs w:val="22"/>
        </w:rPr>
      </w:pPr>
      <w:r w:rsidRPr="67BF2BF8">
        <w:rPr>
          <w:rFonts w:ascii="Calibri" w:eastAsia="Calibri" w:hAnsi="Calibri" w:cs="Calibri"/>
          <w:b/>
          <w:bCs/>
          <w:sz w:val="22"/>
          <w:szCs w:val="22"/>
        </w:rPr>
        <w:t>Scenarios and Planning Pathways</w:t>
      </w:r>
    </w:p>
    <w:p w14:paraId="63E209E4" w14:textId="77777777" w:rsidR="009D31B8" w:rsidRDefault="00A56926" w:rsidP="7F967D9A">
      <w:pPr>
        <w:rPr>
          <w:rFonts w:ascii="Calibri" w:eastAsia="Calibri" w:hAnsi="Calibri" w:cs="Calibri"/>
          <w:sz w:val="22"/>
          <w:szCs w:val="22"/>
        </w:rPr>
      </w:pPr>
      <w:r w:rsidRPr="740363DB">
        <w:rPr>
          <w:rFonts w:ascii="Calibri" w:eastAsia="Calibri" w:hAnsi="Calibri" w:cs="Calibri"/>
          <w:sz w:val="22"/>
          <w:szCs w:val="22"/>
        </w:rPr>
        <w:t>OV</w:t>
      </w:r>
      <w:r w:rsidR="6B5797C9" w:rsidRPr="740363DB">
        <w:rPr>
          <w:rFonts w:ascii="Calibri" w:eastAsia="Calibri" w:hAnsi="Calibri" w:cs="Calibri"/>
          <w:sz w:val="22"/>
          <w:szCs w:val="22"/>
        </w:rPr>
        <w:t>Q7 – Yes</w:t>
      </w:r>
      <w:r w:rsidR="00621B47" w:rsidRPr="740363DB">
        <w:rPr>
          <w:rFonts w:ascii="Calibri" w:eastAsia="Calibri" w:hAnsi="Calibri" w:cs="Calibri"/>
          <w:sz w:val="22"/>
          <w:szCs w:val="22"/>
        </w:rPr>
        <w:t xml:space="preserve">, the Future Energy Scenario (FES) framework is the best </w:t>
      </w:r>
      <w:r w:rsidR="5621F12F" w:rsidRPr="740363DB">
        <w:rPr>
          <w:rFonts w:ascii="Calibri" w:eastAsia="Calibri" w:hAnsi="Calibri" w:cs="Calibri"/>
          <w:sz w:val="22"/>
          <w:szCs w:val="22"/>
        </w:rPr>
        <w:t xml:space="preserve">currently </w:t>
      </w:r>
      <w:r w:rsidR="00621B47" w:rsidRPr="740363DB">
        <w:rPr>
          <w:rFonts w:ascii="Calibri" w:eastAsia="Calibri" w:hAnsi="Calibri" w:cs="Calibri"/>
          <w:sz w:val="22"/>
          <w:szCs w:val="22"/>
        </w:rPr>
        <w:t>available</w:t>
      </w:r>
      <w:r w:rsidR="00321279" w:rsidRPr="740363DB">
        <w:rPr>
          <w:rFonts w:ascii="Calibri" w:eastAsia="Calibri" w:hAnsi="Calibri" w:cs="Calibri"/>
          <w:sz w:val="22"/>
          <w:szCs w:val="22"/>
        </w:rPr>
        <w:t xml:space="preserve"> set of scenarios.</w:t>
      </w:r>
      <w:r w:rsidR="00C413C9" w:rsidRPr="740363DB">
        <w:rPr>
          <w:rFonts w:ascii="Calibri" w:eastAsia="Calibri" w:hAnsi="Calibri" w:cs="Calibri"/>
          <w:sz w:val="22"/>
          <w:szCs w:val="22"/>
        </w:rPr>
        <w:t xml:space="preserve"> However, </w:t>
      </w:r>
      <w:r w:rsidR="00FC6888" w:rsidRPr="740363DB">
        <w:rPr>
          <w:rFonts w:ascii="Calibri" w:eastAsia="Calibri" w:hAnsi="Calibri" w:cs="Calibri"/>
          <w:sz w:val="22"/>
          <w:szCs w:val="22"/>
        </w:rPr>
        <w:t xml:space="preserve">Ofgem should also review business plans following the publication of the </w:t>
      </w:r>
      <w:r w:rsidR="00337A85" w:rsidRPr="740363DB">
        <w:rPr>
          <w:rFonts w:ascii="Calibri" w:eastAsia="Calibri" w:hAnsi="Calibri" w:cs="Calibri"/>
          <w:sz w:val="22"/>
          <w:szCs w:val="22"/>
        </w:rPr>
        <w:t>Strategic Spatial Energy Plan</w:t>
      </w:r>
      <w:r w:rsidR="00F92D68" w:rsidRPr="740363DB">
        <w:rPr>
          <w:rFonts w:ascii="Calibri" w:eastAsia="Calibri" w:hAnsi="Calibri" w:cs="Calibri"/>
          <w:sz w:val="22"/>
          <w:szCs w:val="22"/>
        </w:rPr>
        <w:t xml:space="preserve"> in 2025, and again following the publication of the</w:t>
      </w:r>
      <w:r w:rsidR="00337A85" w:rsidRPr="740363DB">
        <w:rPr>
          <w:rFonts w:ascii="Calibri" w:eastAsia="Calibri" w:hAnsi="Calibri" w:cs="Calibri"/>
          <w:sz w:val="22"/>
          <w:szCs w:val="22"/>
        </w:rPr>
        <w:t xml:space="preserve"> Centralised Strategic Network Plan</w:t>
      </w:r>
      <w:r w:rsidR="00F92D68" w:rsidRPr="740363DB">
        <w:rPr>
          <w:rFonts w:ascii="Calibri" w:eastAsia="Calibri" w:hAnsi="Calibri" w:cs="Calibri"/>
          <w:sz w:val="22"/>
          <w:szCs w:val="22"/>
        </w:rPr>
        <w:t xml:space="preserve"> </w:t>
      </w:r>
      <w:r w:rsidR="00600E58" w:rsidRPr="740363DB">
        <w:rPr>
          <w:rFonts w:ascii="Calibri" w:eastAsia="Calibri" w:hAnsi="Calibri" w:cs="Calibri"/>
          <w:sz w:val="22"/>
          <w:szCs w:val="22"/>
        </w:rPr>
        <w:t>in 2026.</w:t>
      </w:r>
      <w:r w:rsidR="00A3127A" w:rsidRPr="740363DB">
        <w:rPr>
          <w:rFonts w:ascii="Calibri" w:eastAsia="Calibri" w:hAnsi="Calibri" w:cs="Calibri"/>
          <w:sz w:val="22"/>
          <w:szCs w:val="22"/>
        </w:rPr>
        <w:t xml:space="preserve"> Ofgem should </w:t>
      </w:r>
      <w:r w:rsidR="00D35E81" w:rsidRPr="740363DB">
        <w:rPr>
          <w:rFonts w:ascii="Calibri" w:eastAsia="Calibri" w:hAnsi="Calibri" w:cs="Calibri"/>
          <w:sz w:val="22"/>
          <w:szCs w:val="22"/>
        </w:rPr>
        <w:t xml:space="preserve">ensure that appropriate mechanisms are in place to respond if gas demand decreases more rapidly than </w:t>
      </w:r>
      <w:r w:rsidR="005A6DBB" w:rsidRPr="740363DB">
        <w:rPr>
          <w:rFonts w:ascii="Calibri" w:eastAsia="Calibri" w:hAnsi="Calibri" w:cs="Calibri"/>
          <w:sz w:val="22"/>
          <w:szCs w:val="22"/>
        </w:rPr>
        <w:t>forecast within the current FES.</w:t>
      </w:r>
    </w:p>
    <w:p w14:paraId="2DE0C2F0" w14:textId="320423E6" w:rsidR="6B5797C9" w:rsidRPr="00EB552E" w:rsidRDefault="00A56926" w:rsidP="7F967D9A">
      <w:pPr>
        <w:rPr>
          <w:rFonts w:ascii="Calibri" w:eastAsia="Calibri" w:hAnsi="Calibri" w:cs="Calibri"/>
          <w:sz w:val="22"/>
          <w:szCs w:val="22"/>
        </w:rPr>
      </w:pPr>
      <w:r w:rsidRPr="740363DB">
        <w:rPr>
          <w:rFonts w:ascii="Calibri" w:eastAsia="Calibri" w:hAnsi="Calibri" w:cs="Calibri"/>
          <w:sz w:val="22"/>
          <w:szCs w:val="22"/>
        </w:rPr>
        <w:t>OV</w:t>
      </w:r>
      <w:r w:rsidR="6B5797C9" w:rsidRPr="740363DB">
        <w:rPr>
          <w:rFonts w:ascii="Calibri" w:eastAsia="Calibri" w:hAnsi="Calibri" w:cs="Calibri"/>
          <w:sz w:val="22"/>
          <w:szCs w:val="22"/>
        </w:rPr>
        <w:t xml:space="preserve">Q8 – </w:t>
      </w:r>
      <w:r w:rsidR="003C2702" w:rsidRPr="740363DB">
        <w:rPr>
          <w:rFonts w:ascii="Calibri" w:eastAsia="Calibri" w:hAnsi="Calibri" w:cs="Calibri"/>
          <w:sz w:val="22"/>
          <w:szCs w:val="22"/>
        </w:rPr>
        <w:t xml:space="preserve">Yes. </w:t>
      </w:r>
      <w:r w:rsidR="004E5384" w:rsidRPr="740363DB">
        <w:rPr>
          <w:rFonts w:ascii="Calibri" w:eastAsia="Calibri" w:hAnsi="Calibri" w:cs="Calibri"/>
          <w:sz w:val="22"/>
          <w:szCs w:val="22"/>
        </w:rPr>
        <w:t xml:space="preserve">The Leading the Way scenario is the most appropriate </w:t>
      </w:r>
      <w:r w:rsidR="00C15F32" w:rsidRPr="740363DB">
        <w:rPr>
          <w:rFonts w:ascii="Calibri" w:eastAsia="Calibri" w:hAnsi="Calibri" w:cs="Calibri"/>
          <w:sz w:val="22"/>
          <w:szCs w:val="22"/>
        </w:rPr>
        <w:t xml:space="preserve">pathway </w:t>
      </w:r>
      <w:r w:rsidR="004E5384" w:rsidRPr="740363DB">
        <w:rPr>
          <w:rFonts w:ascii="Calibri" w:eastAsia="Calibri" w:hAnsi="Calibri" w:cs="Calibri"/>
          <w:sz w:val="22"/>
          <w:szCs w:val="22"/>
        </w:rPr>
        <w:t>to be used</w:t>
      </w:r>
      <w:r w:rsidR="00C15F32" w:rsidRPr="740363DB">
        <w:rPr>
          <w:rFonts w:ascii="Calibri" w:eastAsia="Calibri" w:hAnsi="Calibri" w:cs="Calibri"/>
          <w:sz w:val="22"/>
          <w:szCs w:val="22"/>
        </w:rPr>
        <w:t xml:space="preserve"> for planning purposes.</w:t>
      </w:r>
      <w:r w:rsidR="004E5384" w:rsidRPr="740363DB">
        <w:rPr>
          <w:rFonts w:ascii="Calibri" w:eastAsia="Calibri" w:hAnsi="Calibri" w:cs="Calibri"/>
          <w:sz w:val="22"/>
          <w:szCs w:val="22"/>
        </w:rPr>
        <w:t xml:space="preserve"> </w:t>
      </w:r>
      <w:proofErr w:type="gramStart"/>
      <w:r w:rsidR="00C15F32" w:rsidRPr="740363DB">
        <w:rPr>
          <w:rFonts w:ascii="Calibri" w:eastAsia="Calibri" w:hAnsi="Calibri" w:cs="Calibri"/>
          <w:sz w:val="22"/>
          <w:szCs w:val="22"/>
        </w:rPr>
        <w:t>In particular, it</w:t>
      </w:r>
      <w:proofErr w:type="gramEnd"/>
      <w:r w:rsidR="00C15F32" w:rsidRPr="740363DB">
        <w:rPr>
          <w:rFonts w:ascii="Calibri" w:eastAsia="Calibri" w:hAnsi="Calibri" w:cs="Calibri"/>
          <w:sz w:val="22"/>
          <w:szCs w:val="22"/>
        </w:rPr>
        <w:t xml:space="preserve"> is important that the planning </w:t>
      </w:r>
      <w:r w:rsidR="6B5797C9" w:rsidRPr="740363DB">
        <w:rPr>
          <w:rFonts w:ascii="Calibri" w:eastAsia="Calibri" w:hAnsi="Calibri" w:cs="Calibri"/>
          <w:sz w:val="22"/>
          <w:szCs w:val="22"/>
        </w:rPr>
        <w:t>pathway selected should be compatible with achieving Net Zero by 2050, given Ofgem’s responsibility to ensure networks develop in a way which is compatible with the UK’s legally binding Net Zero targets.</w:t>
      </w:r>
      <w:r w:rsidR="00E51A43" w:rsidRPr="740363DB">
        <w:rPr>
          <w:rFonts w:ascii="Calibri" w:eastAsia="Calibri" w:hAnsi="Calibri" w:cs="Calibri"/>
          <w:sz w:val="22"/>
          <w:szCs w:val="22"/>
        </w:rPr>
        <w:t xml:space="preserve"> Ofgem should </w:t>
      </w:r>
      <w:r w:rsidR="00B370BB" w:rsidRPr="740363DB">
        <w:rPr>
          <w:rFonts w:ascii="Calibri" w:eastAsia="Calibri" w:hAnsi="Calibri" w:cs="Calibri"/>
          <w:sz w:val="22"/>
          <w:szCs w:val="22"/>
        </w:rPr>
        <w:t xml:space="preserve">also </w:t>
      </w:r>
      <w:r w:rsidR="00E51A43" w:rsidRPr="740363DB">
        <w:rPr>
          <w:rFonts w:ascii="Calibri" w:eastAsia="Calibri" w:hAnsi="Calibri" w:cs="Calibri"/>
          <w:sz w:val="22"/>
          <w:szCs w:val="22"/>
        </w:rPr>
        <w:t>work with Government</w:t>
      </w:r>
      <w:r w:rsidR="00B370BB" w:rsidRPr="740363DB">
        <w:rPr>
          <w:rFonts w:ascii="Calibri" w:eastAsia="Calibri" w:hAnsi="Calibri" w:cs="Calibri"/>
          <w:sz w:val="22"/>
          <w:szCs w:val="22"/>
        </w:rPr>
        <w:t xml:space="preserve"> and the Future System Operator</w:t>
      </w:r>
      <w:r w:rsidR="00E51A43" w:rsidRPr="740363DB">
        <w:rPr>
          <w:rFonts w:ascii="Calibri" w:eastAsia="Calibri" w:hAnsi="Calibri" w:cs="Calibri"/>
          <w:sz w:val="22"/>
          <w:szCs w:val="22"/>
        </w:rPr>
        <w:t xml:space="preserve"> to produce a comprehensive long-term </w:t>
      </w:r>
      <w:r w:rsidR="00B370BB" w:rsidRPr="740363DB">
        <w:rPr>
          <w:rFonts w:ascii="Calibri" w:eastAsia="Calibri" w:hAnsi="Calibri" w:cs="Calibri"/>
          <w:sz w:val="22"/>
          <w:szCs w:val="22"/>
        </w:rPr>
        <w:t>plan</w:t>
      </w:r>
      <w:r w:rsidR="00E51A43" w:rsidRPr="740363DB">
        <w:rPr>
          <w:rFonts w:ascii="Calibri" w:eastAsia="Calibri" w:hAnsi="Calibri" w:cs="Calibri"/>
          <w:sz w:val="22"/>
          <w:szCs w:val="22"/>
        </w:rPr>
        <w:t xml:space="preserve"> for gas network transition and decommissioning.</w:t>
      </w:r>
    </w:p>
    <w:p w14:paraId="24B5428C" w14:textId="1D860712" w:rsidR="0074032C" w:rsidRPr="00EB552E" w:rsidRDefault="00A56926" w:rsidP="7F967D9A">
      <w:pPr>
        <w:rPr>
          <w:rFonts w:ascii="Calibri" w:eastAsia="Calibri" w:hAnsi="Calibri" w:cs="Calibri"/>
          <w:sz w:val="22"/>
          <w:szCs w:val="22"/>
        </w:rPr>
      </w:pPr>
      <w:r w:rsidRPr="00EB552E">
        <w:rPr>
          <w:rFonts w:ascii="Calibri" w:eastAsia="Calibri" w:hAnsi="Calibri" w:cs="Calibri"/>
          <w:sz w:val="22"/>
          <w:szCs w:val="22"/>
        </w:rPr>
        <w:t>OV</w:t>
      </w:r>
      <w:r w:rsidR="6B5797C9" w:rsidRPr="00EB552E">
        <w:rPr>
          <w:rFonts w:ascii="Calibri" w:eastAsia="Calibri" w:hAnsi="Calibri" w:cs="Calibri"/>
          <w:sz w:val="22"/>
          <w:szCs w:val="22"/>
        </w:rPr>
        <w:t>Q9 – No. Falling Short should not be considered, as Ofgem is responsible for ensuring that network development is compatible with Net Zero by 2050.</w:t>
      </w:r>
    </w:p>
    <w:p w14:paraId="6B9DEF30" w14:textId="4CF9C2DC" w:rsidR="6B5797C9" w:rsidRPr="00EB552E" w:rsidRDefault="000A00BC" w:rsidP="7F967D9A">
      <w:pPr>
        <w:rPr>
          <w:rFonts w:ascii="Calibri" w:eastAsia="Calibri" w:hAnsi="Calibri" w:cs="Calibri"/>
          <w:sz w:val="22"/>
          <w:szCs w:val="22"/>
        </w:rPr>
      </w:pPr>
      <w:r w:rsidRPr="00EB552E">
        <w:rPr>
          <w:rFonts w:ascii="Calibri" w:eastAsia="Calibri" w:hAnsi="Calibri" w:cs="Calibri"/>
          <w:sz w:val="22"/>
          <w:szCs w:val="22"/>
        </w:rPr>
        <w:t xml:space="preserve">The Leading the Way scenario is the most appropriate pathway to be used for planning purposes. </w:t>
      </w:r>
      <w:proofErr w:type="gramStart"/>
      <w:r w:rsidRPr="00EB552E">
        <w:rPr>
          <w:rFonts w:ascii="Calibri" w:eastAsia="Calibri" w:hAnsi="Calibri" w:cs="Calibri"/>
          <w:sz w:val="22"/>
          <w:szCs w:val="22"/>
        </w:rPr>
        <w:t>In particular, it</w:t>
      </w:r>
      <w:proofErr w:type="gramEnd"/>
      <w:r w:rsidRPr="00EB552E">
        <w:rPr>
          <w:rFonts w:ascii="Calibri" w:eastAsia="Calibri" w:hAnsi="Calibri" w:cs="Calibri"/>
          <w:sz w:val="22"/>
          <w:szCs w:val="22"/>
        </w:rPr>
        <w:t xml:space="preserve"> is important that the planning pathway selected should be compatible with achieving Net Zero by 2050, given Ofgem’s responsibility to ensure networks develop in a way which is compatible with the UK’s legally binding Net Zero targets.</w:t>
      </w:r>
    </w:p>
    <w:p w14:paraId="4E2EB3A1" w14:textId="7E4F8D03" w:rsidR="000A00BC" w:rsidRPr="00EB552E" w:rsidRDefault="000A00BC" w:rsidP="7F967D9A">
      <w:pPr>
        <w:rPr>
          <w:rFonts w:ascii="Calibri" w:eastAsia="Calibri" w:hAnsi="Calibri" w:cs="Calibri"/>
          <w:sz w:val="22"/>
          <w:szCs w:val="22"/>
        </w:rPr>
      </w:pPr>
      <w:r w:rsidRPr="740363DB">
        <w:rPr>
          <w:rFonts w:ascii="Calibri" w:eastAsia="Calibri" w:hAnsi="Calibri" w:cs="Calibri"/>
          <w:sz w:val="22"/>
          <w:szCs w:val="22"/>
        </w:rPr>
        <w:t>Using different scenarios to plan for electricity and gas could lead to contradictory investments</w:t>
      </w:r>
      <w:r w:rsidR="370BC964" w:rsidRPr="740363DB">
        <w:rPr>
          <w:rFonts w:ascii="Calibri" w:eastAsia="Calibri" w:hAnsi="Calibri" w:cs="Calibri"/>
          <w:sz w:val="22"/>
          <w:szCs w:val="22"/>
        </w:rPr>
        <w:t>, incurring unnecessary costs for consumers</w:t>
      </w:r>
      <w:r w:rsidR="0074032C" w:rsidRPr="740363DB">
        <w:rPr>
          <w:rFonts w:ascii="Calibri" w:eastAsia="Calibri" w:hAnsi="Calibri" w:cs="Calibri"/>
          <w:sz w:val="22"/>
          <w:szCs w:val="22"/>
        </w:rPr>
        <w:t>.</w:t>
      </w:r>
    </w:p>
    <w:p w14:paraId="1D058A7E" w14:textId="0B84BC03" w:rsidR="52CAB67E" w:rsidRDefault="52CAB67E">
      <w:pPr>
        <w:rPr>
          <w:rFonts w:ascii="Calibri" w:eastAsia="Calibri" w:hAnsi="Calibri" w:cs="Calibri"/>
          <w:sz w:val="22"/>
          <w:szCs w:val="22"/>
        </w:rPr>
      </w:pPr>
      <w:r w:rsidRPr="740363DB">
        <w:rPr>
          <w:rFonts w:ascii="Calibri" w:eastAsia="Calibri" w:hAnsi="Calibri" w:cs="Calibri"/>
          <w:sz w:val="22"/>
          <w:szCs w:val="22"/>
        </w:rPr>
        <w:t xml:space="preserve">Gas networks face substantial conflicts of interest when developing </w:t>
      </w:r>
      <w:proofErr w:type="gramStart"/>
      <w:r w:rsidRPr="740363DB">
        <w:rPr>
          <w:rFonts w:ascii="Calibri" w:eastAsia="Calibri" w:hAnsi="Calibri" w:cs="Calibri"/>
          <w:sz w:val="22"/>
          <w:szCs w:val="22"/>
        </w:rPr>
        <w:t>scenarios, and</w:t>
      </w:r>
      <w:proofErr w:type="gramEnd"/>
      <w:r w:rsidRPr="740363DB">
        <w:rPr>
          <w:rFonts w:ascii="Calibri" w:eastAsia="Calibri" w:hAnsi="Calibri" w:cs="Calibri"/>
          <w:sz w:val="22"/>
          <w:szCs w:val="22"/>
        </w:rPr>
        <w:t xml:space="preserve"> should not play a role in the development of scenarios. The National Energy System Operator </w:t>
      </w:r>
      <w:r w:rsidR="1CC4D261" w:rsidRPr="740363DB">
        <w:rPr>
          <w:rFonts w:ascii="Calibri" w:eastAsia="Calibri" w:hAnsi="Calibri" w:cs="Calibri"/>
          <w:sz w:val="22"/>
          <w:szCs w:val="22"/>
        </w:rPr>
        <w:t>and Ofgem should lead the development of all common scenarios.</w:t>
      </w:r>
    </w:p>
    <w:p w14:paraId="1DEA85ED" w14:textId="37E175F0" w:rsidR="001A6CE4" w:rsidRPr="00EB552E" w:rsidRDefault="00A56926" w:rsidP="7F967D9A">
      <w:pPr>
        <w:rPr>
          <w:rFonts w:ascii="Calibri" w:eastAsia="Calibri" w:hAnsi="Calibri" w:cs="Calibri"/>
          <w:sz w:val="22"/>
          <w:szCs w:val="22"/>
        </w:rPr>
      </w:pPr>
      <w:r w:rsidRPr="740363DB">
        <w:rPr>
          <w:rFonts w:ascii="Calibri" w:eastAsia="Calibri" w:hAnsi="Calibri" w:cs="Calibri"/>
          <w:sz w:val="22"/>
          <w:szCs w:val="22"/>
        </w:rPr>
        <w:t>OV</w:t>
      </w:r>
      <w:r w:rsidR="6B5797C9" w:rsidRPr="740363DB">
        <w:rPr>
          <w:rFonts w:ascii="Calibri" w:eastAsia="Calibri" w:hAnsi="Calibri" w:cs="Calibri"/>
          <w:sz w:val="22"/>
          <w:szCs w:val="22"/>
        </w:rPr>
        <w:t xml:space="preserve">Q10 – No. Neither option is appropriate, as Falling Short is not compatible with Net Zero by 2050, and gas networks face </w:t>
      </w:r>
      <w:r w:rsidR="00CF614A" w:rsidRPr="740363DB">
        <w:rPr>
          <w:rFonts w:ascii="Calibri" w:eastAsia="Calibri" w:hAnsi="Calibri" w:cs="Calibri"/>
          <w:sz w:val="22"/>
          <w:szCs w:val="22"/>
        </w:rPr>
        <w:t>substantial</w:t>
      </w:r>
      <w:r w:rsidR="6B5797C9" w:rsidRPr="740363DB">
        <w:rPr>
          <w:rFonts w:ascii="Calibri" w:eastAsia="Calibri" w:hAnsi="Calibri" w:cs="Calibri"/>
          <w:sz w:val="22"/>
          <w:szCs w:val="22"/>
        </w:rPr>
        <w:t xml:space="preserve"> conflicts of interest in developing a</w:t>
      </w:r>
      <w:r w:rsidR="1914719A" w:rsidRPr="740363DB">
        <w:rPr>
          <w:rFonts w:ascii="Calibri" w:eastAsia="Calibri" w:hAnsi="Calibri" w:cs="Calibri"/>
          <w:sz w:val="22"/>
          <w:szCs w:val="22"/>
        </w:rPr>
        <w:t>n alternative</w:t>
      </w:r>
      <w:r w:rsidR="6B5797C9" w:rsidRPr="740363DB">
        <w:rPr>
          <w:rFonts w:ascii="Calibri" w:eastAsia="Calibri" w:hAnsi="Calibri" w:cs="Calibri"/>
          <w:sz w:val="22"/>
          <w:szCs w:val="22"/>
        </w:rPr>
        <w:t xml:space="preserve"> scenario.</w:t>
      </w:r>
    </w:p>
    <w:p w14:paraId="6C032E8C" w14:textId="7F4D7429" w:rsidR="007054B4" w:rsidRPr="00EB552E" w:rsidRDefault="00E75C24" w:rsidP="0F37E852">
      <w:pPr>
        <w:rPr>
          <w:rFonts w:ascii="Calibri" w:eastAsia="Calibri" w:hAnsi="Calibri" w:cs="Calibri"/>
          <w:sz w:val="22"/>
          <w:szCs w:val="22"/>
        </w:rPr>
      </w:pPr>
      <w:r w:rsidRPr="00EB552E">
        <w:rPr>
          <w:rFonts w:ascii="Calibri" w:eastAsia="Calibri" w:hAnsi="Calibri" w:cs="Calibri"/>
          <w:sz w:val="22"/>
          <w:szCs w:val="22"/>
        </w:rPr>
        <w:t>T</w:t>
      </w:r>
      <w:r w:rsidR="00A67718" w:rsidRPr="00EB552E">
        <w:rPr>
          <w:rFonts w:ascii="Calibri" w:eastAsia="Calibri" w:hAnsi="Calibri" w:cs="Calibri"/>
          <w:sz w:val="22"/>
          <w:szCs w:val="22"/>
        </w:rPr>
        <w:t xml:space="preserve">he “Leading the Way” scenario </w:t>
      </w:r>
      <w:r w:rsidR="001A6CE4" w:rsidRPr="00EB552E">
        <w:rPr>
          <w:rFonts w:ascii="Calibri" w:eastAsia="Calibri" w:hAnsi="Calibri" w:cs="Calibri"/>
          <w:sz w:val="22"/>
          <w:szCs w:val="22"/>
        </w:rPr>
        <w:t xml:space="preserve">should be the lead scenario for planning purposes, to ensure consistency between electricity and gas investments. </w:t>
      </w:r>
      <w:r w:rsidR="00F21B87" w:rsidRPr="00EB552E">
        <w:rPr>
          <w:rFonts w:ascii="Calibri" w:eastAsia="Calibri" w:hAnsi="Calibri" w:cs="Calibri"/>
          <w:sz w:val="22"/>
          <w:szCs w:val="22"/>
        </w:rPr>
        <w:t xml:space="preserve">When considering more conservative </w:t>
      </w:r>
      <w:r w:rsidR="003C0D96" w:rsidRPr="00EB552E">
        <w:rPr>
          <w:rFonts w:ascii="Calibri" w:eastAsia="Calibri" w:hAnsi="Calibri" w:cs="Calibri"/>
          <w:sz w:val="22"/>
          <w:szCs w:val="22"/>
        </w:rPr>
        <w:t>planning</w:t>
      </w:r>
      <w:r w:rsidR="00F21B87" w:rsidRPr="00EB552E">
        <w:rPr>
          <w:rFonts w:ascii="Calibri" w:eastAsia="Calibri" w:hAnsi="Calibri" w:cs="Calibri"/>
          <w:sz w:val="22"/>
          <w:szCs w:val="22"/>
        </w:rPr>
        <w:t xml:space="preserve"> options, </w:t>
      </w:r>
      <w:r w:rsidR="007054B4" w:rsidRPr="00EB552E">
        <w:rPr>
          <w:rFonts w:ascii="Calibri" w:eastAsia="Calibri" w:hAnsi="Calibri" w:cs="Calibri"/>
          <w:sz w:val="22"/>
          <w:szCs w:val="22"/>
        </w:rPr>
        <w:t xml:space="preserve">Ofgem should </w:t>
      </w:r>
      <w:r w:rsidR="00F21B87" w:rsidRPr="00EB552E">
        <w:rPr>
          <w:rFonts w:ascii="Calibri" w:eastAsia="Calibri" w:hAnsi="Calibri" w:cs="Calibri"/>
          <w:sz w:val="22"/>
          <w:szCs w:val="22"/>
        </w:rPr>
        <w:t xml:space="preserve">take a more nuanced approach to </w:t>
      </w:r>
      <w:r w:rsidR="004F1627" w:rsidRPr="00EB552E">
        <w:rPr>
          <w:rFonts w:ascii="Calibri" w:eastAsia="Calibri" w:hAnsi="Calibri" w:cs="Calibri"/>
          <w:sz w:val="22"/>
          <w:szCs w:val="22"/>
        </w:rPr>
        <w:t>identifying “no regrets” and “low regrets” options</w:t>
      </w:r>
      <w:r w:rsidR="00505958" w:rsidRPr="00EB552E">
        <w:rPr>
          <w:rFonts w:ascii="Calibri" w:eastAsia="Calibri" w:hAnsi="Calibri" w:cs="Calibri"/>
          <w:sz w:val="22"/>
          <w:szCs w:val="22"/>
        </w:rPr>
        <w:t xml:space="preserve"> rather than adopting a scenario which is inconsistent with falling gas demand and fails to </w:t>
      </w:r>
      <w:r w:rsidR="00DC7653" w:rsidRPr="00EB552E">
        <w:rPr>
          <w:rFonts w:ascii="Calibri" w:eastAsia="Calibri" w:hAnsi="Calibri" w:cs="Calibri"/>
          <w:sz w:val="22"/>
          <w:szCs w:val="22"/>
        </w:rPr>
        <w:t xml:space="preserve">comply with </w:t>
      </w:r>
      <w:r w:rsidR="00505958" w:rsidRPr="00EB552E">
        <w:rPr>
          <w:rFonts w:ascii="Calibri" w:eastAsia="Calibri" w:hAnsi="Calibri" w:cs="Calibri"/>
          <w:sz w:val="22"/>
          <w:szCs w:val="22"/>
        </w:rPr>
        <w:t>Net Zero.</w:t>
      </w:r>
    </w:p>
    <w:p w14:paraId="17A731F1" w14:textId="109897C8" w:rsidR="00227EBC" w:rsidRPr="00EB552E" w:rsidRDefault="00AA0726" w:rsidP="0F37E852">
      <w:pPr>
        <w:rPr>
          <w:rFonts w:ascii="Calibri" w:eastAsia="Calibri" w:hAnsi="Calibri" w:cs="Calibri"/>
          <w:sz w:val="22"/>
          <w:szCs w:val="22"/>
        </w:rPr>
      </w:pPr>
      <w:r w:rsidRPr="740363DB">
        <w:rPr>
          <w:rFonts w:ascii="Calibri" w:eastAsia="Calibri" w:hAnsi="Calibri" w:cs="Calibri"/>
          <w:sz w:val="22"/>
          <w:szCs w:val="22"/>
        </w:rPr>
        <w:t>It would be disappointing if no FES scenario is deemed appropriate</w:t>
      </w:r>
      <w:r w:rsidR="00636409" w:rsidRPr="740363DB">
        <w:rPr>
          <w:rFonts w:ascii="Calibri" w:eastAsia="Calibri" w:hAnsi="Calibri" w:cs="Calibri"/>
          <w:sz w:val="22"/>
          <w:szCs w:val="22"/>
        </w:rPr>
        <w:t>. If this is the case,</w:t>
      </w:r>
      <w:r w:rsidR="002826AE" w:rsidRPr="740363DB">
        <w:rPr>
          <w:rFonts w:ascii="Calibri" w:eastAsia="Calibri" w:hAnsi="Calibri" w:cs="Calibri"/>
          <w:sz w:val="22"/>
          <w:szCs w:val="22"/>
        </w:rPr>
        <w:t xml:space="preserve"> it is</w:t>
      </w:r>
      <w:r w:rsidR="00636409" w:rsidRPr="740363DB">
        <w:rPr>
          <w:rFonts w:ascii="Calibri" w:eastAsia="Calibri" w:hAnsi="Calibri" w:cs="Calibri"/>
          <w:sz w:val="22"/>
          <w:szCs w:val="22"/>
        </w:rPr>
        <w:t xml:space="preserve"> the </w:t>
      </w:r>
      <w:r w:rsidR="2819A1FF" w:rsidRPr="740363DB">
        <w:rPr>
          <w:rFonts w:ascii="Calibri" w:eastAsia="Calibri" w:hAnsi="Calibri" w:cs="Calibri"/>
          <w:sz w:val="22"/>
          <w:szCs w:val="22"/>
        </w:rPr>
        <w:t>N</w:t>
      </w:r>
      <w:r w:rsidR="00636409" w:rsidRPr="740363DB">
        <w:rPr>
          <w:rFonts w:ascii="Calibri" w:eastAsia="Calibri" w:hAnsi="Calibri" w:cs="Calibri"/>
          <w:sz w:val="22"/>
          <w:szCs w:val="22"/>
        </w:rPr>
        <w:t xml:space="preserve">ESO </w:t>
      </w:r>
      <w:r w:rsidR="002826AE" w:rsidRPr="740363DB">
        <w:rPr>
          <w:rFonts w:ascii="Calibri" w:eastAsia="Calibri" w:hAnsi="Calibri" w:cs="Calibri"/>
          <w:sz w:val="22"/>
          <w:szCs w:val="22"/>
        </w:rPr>
        <w:t xml:space="preserve">which </w:t>
      </w:r>
      <w:r w:rsidR="00636409" w:rsidRPr="740363DB">
        <w:rPr>
          <w:rFonts w:ascii="Calibri" w:eastAsia="Calibri" w:hAnsi="Calibri" w:cs="Calibri"/>
          <w:sz w:val="22"/>
          <w:szCs w:val="22"/>
        </w:rPr>
        <w:t xml:space="preserve">should </w:t>
      </w:r>
      <w:r w:rsidR="00F16677" w:rsidRPr="740363DB">
        <w:rPr>
          <w:rFonts w:ascii="Calibri" w:eastAsia="Calibri" w:hAnsi="Calibri" w:cs="Calibri"/>
          <w:sz w:val="22"/>
          <w:szCs w:val="22"/>
        </w:rPr>
        <w:t>asked to propose</w:t>
      </w:r>
      <w:r w:rsidR="00636409" w:rsidRPr="740363DB">
        <w:rPr>
          <w:rFonts w:ascii="Calibri" w:eastAsia="Calibri" w:hAnsi="Calibri" w:cs="Calibri"/>
          <w:sz w:val="22"/>
          <w:szCs w:val="22"/>
        </w:rPr>
        <w:t xml:space="preserve"> an appropriate scenario</w:t>
      </w:r>
      <w:r w:rsidR="00F16677" w:rsidRPr="740363DB">
        <w:rPr>
          <w:rFonts w:ascii="Calibri" w:eastAsia="Calibri" w:hAnsi="Calibri" w:cs="Calibri"/>
          <w:sz w:val="22"/>
          <w:szCs w:val="22"/>
        </w:rPr>
        <w:t>, rather than the gas networks</w:t>
      </w:r>
      <w:r w:rsidR="00636409" w:rsidRPr="740363DB">
        <w:rPr>
          <w:rFonts w:ascii="Calibri" w:eastAsia="Calibri" w:hAnsi="Calibri" w:cs="Calibri"/>
          <w:sz w:val="22"/>
          <w:szCs w:val="22"/>
        </w:rPr>
        <w:t xml:space="preserve">. </w:t>
      </w:r>
      <w:r w:rsidRPr="740363DB">
        <w:rPr>
          <w:rFonts w:ascii="Calibri" w:eastAsia="Calibri" w:hAnsi="Calibri" w:cs="Calibri"/>
          <w:sz w:val="22"/>
          <w:szCs w:val="22"/>
        </w:rPr>
        <w:t xml:space="preserve"> </w:t>
      </w:r>
      <w:r w:rsidR="004B7025" w:rsidRPr="740363DB">
        <w:rPr>
          <w:rFonts w:ascii="Calibri" w:eastAsia="Calibri" w:hAnsi="Calibri" w:cs="Calibri"/>
          <w:sz w:val="22"/>
          <w:szCs w:val="22"/>
        </w:rPr>
        <w:t>If Ofgem were to ask gas networks to develop their own alternative scenario, this could be taken as a sign that</w:t>
      </w:r>
      <w:r w:rsidR="002826AE" w:rsidRPr="740363DB">
        <w:rPr>
          <w:rFonts w:ascii="Calibri" w:eastAsia="Calibri" w:hAnsi="Calibri" w:cs="Calibri"/>
          <w:sz w:val="22"/>
          <w:szCs w:val="22"/>
        </w:rPr>
        <w:t xml:space="preserve"> Ofgem does not see the FES</w:t>
      </w:r>
      <w:r w:rsidR="00783AB3" w:rsidRPr="740363DB">
        <w:rPr>
          <w:rFonts w:ascii="Calibri" w:eastAsia="Calibri" w:hAnsi="Calibri" w:cs="Calibri"/>
          <w:sz w:val="22"/>
          <w:szCs w:val="22"/>
        </w:rPr>
        <w:t xml:space="preserve"> scenarios as fit for purpose</w:t>
      </w:r>
      <w:r w:rsidR="00227EBC" w:rsidRPr="740363DB">
        <w:rPr>
          <w:rFonts w:ascii="Calibri" w:eastAsia="Calibri" w:hAnsi="Calibri" w:cs="Calibri"/>
          <w:sz w:val="22"/>
          <w:szCs w:val="22"/>
        </w:rPr>
        <w:t>.</w:t>
      </w:r>
    </w:p>
    <w:p w14:paraId="144BD307" w14:textId="42F44B5C" w:rsidR="2A5CD89B" w:rsidRPr="00EB552E" w:rsidRDefault="2A5CD89B" w:rsidP="0F37E852">
      <w:pPr>
        <w:rPr>
          <w:rFonts w:ascii="Calibri" w:eastAsia="Calibri" w:hAnsi="Calibri" w:cs="Calibri"/>
          <w:sz w:val="22"/>
          <w:szCs w:val="22"/>
        </w:rPr>
      </w:pPr>
      <w:r w:rsidRPr="67BF2BF8">
        <w:rPr>
          <w:rFonts w:ascii="Calibri" w:eastAsia="Calibri" w:hAnsi="Calibri" w:cs="Calibri"/>
          <w:b/>
          <w:bCs/>
          <w:sz w:val="22"/>
          <w:szCs w:val="22"/>
        </w:rPr>
        <w:t>Uncertainty and re-openers</w:t>
      </w:r>
    </w:p>
    <w:p w14:paraId="10D46972" w14:textId="159CDC32" w:rsidR="2A5CD89B" w:rsidRPr="00EB552E" w:rsidRDefault="00A56926" w:rsidP="0F37E852">
      <w:pPr>
        <w:rPr>
          <w:rFonts w:ascii="Calibri" w:eastAsia="Calibri" w:hAnsi="Calibri" w:cs="Calibri"/>
          <w:sz w:val="22"/>
          <w:szCs w:val="22"/>
        </w:rPr>
      </w:pPr>
      <w:r w:rsidRPr="00EB552E">
        <w:rPr>
          <w:rFonts w:ascii="Calibri" w:eastAsia="Calibri" w:hAnsi="Calibri" w:cs="Calibri"/>
          <w:sz w:val="22"/>
          <w:szCs w:val="22"/>
        </w:rPr>
        <w:t>OV</w:t>
      </w:r>
      <w:r w:rsidR="2A5CD89B" w:rsidRPr="00EB552E">
        <w:rPr>
          <w:rFonts w:ascii="Calibri" w:eastAsia="Calibri" w:hAnsi="Calibri" w:cs="Calibri"/>
          <w:sz w:val="22"/>
          <w:szCs w:val="22"/>
        </w:rPr>
        <w:t xml:space="preserve">Q35 – Yes. The re-opener approach allows Ofgem to maintain appropriate flexibility to respond to Government policy </w:t>
      </w:r>
      <w:proofErr w:type="gramStart"/>
      <w:r w:rsidR="2A5CD89B" w:rsidRPr="00EB552E">
        <w:rPr>
          <w:rFonts w:ascii="Calibri" w:eastAsia="Calibri" w:hAnsi="Calibri" w:cs="Calibri"/>
          <w:sz w:val="22"/>
          <w:szCs w:val="22"/>
        </w:rPr>
        <w:t>changes, and</w:t>
      </w:r>
      <w:proofErr w:type="gramEnd"/>
      <w:r w:rsidR="2A5CD89B" w:rsidRPr="00EB552E">
        <w:rPr>
          <w:rFonts w:ascii="Calibri" w:eastAsia="Calibri" w:hAnsi="Calibri" w:cs="Calibri"/>
          <w:sz w:val="22"/>
          <w:szCs w:val="22"/>
        </w:rPr>
        <w:t xml:space="preserve"> mitigates the need </w:t>
      </w:r>
      <w:r w:rsidR="66C889F3" w:rsidRPr="00EB552E">
        <w:rPr>
          <w:rFonts w:ascii="Calibri" w:eastAsia="Calibri" w:hAnsi="Calibri" w:cs="Calibri"/>
          <w:sz w:val="22"/>
          <w:szCs w:val="22"/>
        </w:rPr>
        <w:t xml:space="preserve">for allowances to include scope for unlikely or uncertain expenditure. </w:t>
      </w:r>
      <w:proofErr w:type="gramStart"/>
      <w:r w:rsidR="66C889F3" w:rsidRPr="00EB552E">
        <w:rPr>
          <w:rFonts w:ascii="Calibri" w:eastAsia="Calibri" w:hAnsi="Calibri" w:cs="Calibri"/>
          <w:sz w:val="22"/>
          <w:szCs w:val="22"/>
        </w:rPr>
        <w:t>Therefore</w:t>
      </w:r>
      <w:proofErr w:type="gramEnd"/>
      <w:r w:rsidR="66C889F3" w:rsidRPr="00EB552E">
        <w:rPr>
          <w:rFonts w:ascii="Calibri" w:eastAsia="Calibri" w:hAnsi="Calibri" w:cs="Calibri"/>
          <w:sz w:val="22"/>
          <w:szCs w:val="22"/>
        </w:rPr>
        <w:t xml:space="preserve"> the re-opener approach helps to ensure good value for energy consumers. </w:t>
      </w:r>
      <w:r w:rsidR="00783AB3" w:rsidRPr="00EB552E">
        <w:rPr>
          <w:rFonts w:ascii="Calibri" w:eastAsia="Calibri" w:hAnsi="Calibri" w:cs="Calibri"/>
          <w:sz w:val="22"/>
          <w:szCs w:val="22"/>
        </w:rPr>
        <w:t xml:space="preserve">Re-openers also help </w:t>
      </w:r>
      <w:r w:rsidR="66C889F3" w:rsidRPr="00EB552E">
        <w:rPr>
          <w:rFonts w:ascii="Calibri" w:eastAsia="Calibri" w:hAnsi="Calibri" w:cs="Calibri"/>
          <w:sz w:val="22"/>
          <w:szCs w:val="22"/>
        </w:rPr>
        <w:t>to avoid excessive</w:t>
      </w:r>
      <w:r w:rsidR="4C8192F0" w:rsidRPr="00EB552E">
        <w:rPr>
          <w:rFonts w:ascii="Calibri" w:eastAsia="Calibri" w:hAnsi="Calibri" w:cs="Calibri"/>
          <w:sz w:val="22"/>
          <w:szCs w:val="22"/>
        </w:rPr>
        <w:t xml:space="preserve"> allocations where an unlikely or uncertain expenditure does not </w:t>
      </w:r>
      <w:r w:rsidR="00783AB3" w:rsidRPr="00EB552E">
        <w:rPr>
          <w:rFonts w:ascii="Calibri" w:eastAsia="Calibri" w:hAnsi="Calibri" w:cs="Calibri"/>
          <w:sz w:val="22"/>
          <w:szCs w:val="22"/>
        </w:rPr>
        <w:t>materialize.</w:t>
      </w:r>
    </w:p>
    <w:p w14:paraId="521D9EF8" w14:textId="3DB81566" w:rsidR="1F8B0AE3" w:rsidRPr="00EB552E" w:rsidRDefault="00A56926" w:rsidP="0F37E852">
      <w:pPr>
        <w:rPr>
          <w:rFonts w:ascii="Calibri" w:eastAsia="Calibri" w:hAnsi="Calibri" w:cs="Calibri"/>
          <w:sz w:val="22"/>
          <w:szCs w:val="22"/>
        </w:rPr>
      </w:pPr>
      <w:r w:rsidRPr="00EB552E">
        <w:rPr>
          <w:rFonts w:ascii="Calibri" w:eastAsia="Calibri" w:hAnsi="Calibri" w:cs="Calibri"/>
          <w:sz w:val="22"/>
          <w:szCs w:val="22"/>
        </w:rPr>
        <w:t>OV</w:t>
      </w:r>
      <w:r w:rsidR="1F8B0AE3" w:rsidRPr="00EB552E">
        <w:rPr>
          <w:rFonts w:ascii="Calibri" w:eastAsia="Calibri" w:hAnsi="Calibri" w:cs="Calibri"/>
          <w:sz w:val="22"/>
          <w:szCs w:val="22"/>
        </w:rPr>
        <w:t>Q36 – We do not support the proposal for</w:t>
      </w:r>
      <w:r w:rsidR="1A1E9FA9" w:rsidRPr="00EB552E">
        <w:rPr>
          <w:rFonts w:ascii="Calibri" w:eastAsia="Calibri" w:hAnsi="Calibri" w:cs="Calibri"/>
          <w:sz w:val="22"/>
          <w:szCs w:val="22"/>
        </w:rPr>
        <w:t xml:space="preserve"> </w:t>
      </w:r>
      <w:r w:rsidR="31AF610F" w:rsidRPr="00EB552E">
        <w:rPr>
          <w:rFonts w:ascii="Calibri" w:eastAsia="Calibri" w:hAnsi="Calibri" w:cs="Calibri"/>
          <w:sz w:val="22"/>
          <w:szCs w:val="22"/>
        </w:rPr>
        <w:t xml:space="preserve">Use It </w:t>
      </w:r>
      <w:proofErr w:type="gramStart"/>
      <w:r w:rsidR="31AF610F" w:rsidRPr="00EB552E">
        <w:rPr>
          <w:rFonts w:ascii="Calibri" w:eastAsia="Calibri" w:hAnsi="Calibri" w:cs="Calibri"/>
          <w:sz w:val="22"/>
          <w:szCs w:val="22"/>
        </w:rPr>
        <w:t>Or</w:t>
      </w:r>
      <w:proofErr w:type="gramEnd"/>
      <w:r w:rsidR="31AF610F" w:rsidRPr="00EB552E">
        <w:rPr>
          <w:rFonts w:ascii="Calibri" w:eastAsia="Calibri" w:hAnsi="Calibri" w:cs="Calibri"/>
          <w:sz w:val="22"/>
          <w:szCs w:val="22"/>
        </w:rPr>
        <w:t xml:space="preserve"> Lose It (</w:t>
      </w:r>
      <w:r w:rsidR="1A1E9FA9" w:rsidRPr="00EB552E">
        <w:rPr>
          <w:rFonts w:ascii="Calibri" w:eastAsia="Calibri" w:hAnsi="Calibri" w:cs="Calibri"/>
          <w:sz w:val="22"/>
          <w:szCs w:val="22"/>
        </w:rPr>
        <w:t>UIOLI</w:t>
      </w:r>
      <w:r w:rsidR="05B413B6" w:rsidRPr="00EB552E">
        <w:rPr>
          <w:rFonts w:ascii="Calibri" w:eastAsia="Calibri" w:hAnsi="Calibri" w:cs="Calibri"/>
          <w:sz w:val="22"/>
          <w:szCs w:val="22"/>
        </w:rPr>
        <w:t>) allowances</w:t>
      </w:r>
      <w:r w:rsidR="1A1E9FA9" w:rsidRPr="00EB552E">
        <w:rPr>
          <w:rFonts w:ascii="Calibri" w:eastAsia="Calibri" w:hAnsi="Calibri" w:cs="Calibri"/>
          <w:sz w:val="22"/>
          <w:szCs w:val="22"/>
        </w:rPr>
        <w:t xml:space="preserve"> to continue for</w:t>
      </w:r>
      <w:r w:rsidR="1F8B0AE3" w:rsidRPr="00EB552E">
        <w:rPr>
          <w:rFonts w:ascii="Calibri" w:eastAsia="Calibri" w:hAnsi="Calibri" w:cs="Calibri"/>
          <w:sz w:val="22"/>
          <w:szCs w:val="22"/>
        </w:rPr>
        <w:t xml:space="preserve"> gas distribution or gas transmission networks.</w:t>
      </w:r>
      <w:r w:rsidR="5E2FF014" w:rsidRPr="00EB552E">
        <w:rPr>
          <w:rFonts w:ascii="Calibri" w:eastAsia="Calibri" w:hAnsi="Calibri" w:cs="Calibri"/>
          <w:sz w:val="22"/>
          <w:szCs w:val="22"/>
        </w:rPr>
        <w:t xml:space="preserve"> The UIOLI allowance reflects a trade-off between the need to allow networks to undertake development work promptly, and the need to ensure allocations offer value for money to consumers.</w:t>
      </w:r>
    </w:p>
    <w:p w14:paraId="400A5CB1" w14:textId="0EF0460C" w:rsidR="291DCFEC" w:rsidRPr="00EB552E" w:rsidRDefault="291DCFEC" w:rsidP="0F37E852">
      <w:pPr>
        <w:rPr>
          <w:rFonts w:ascii="Calibri" w:eastAsia="Calibri" w:hAnsi="Calibri" w:cs="Calibri"/>
          <w:sz w:val="22"/>
          <w:szCs w:val="22"/>
        </w:rPr>
      </w:pPr>
      <w:r w:rsidRPr="00EB552E">
        <w:rPr>
          <w:rFonts w:ascii="Calibri" w:eastAsia="Calibri" w:hAnsi="Calibri" w:cs="Calibri"/>
          <w:sz w:val="22"/>
          <w:szCs w:val="22"/>
        </w:rPr>
        <w:t>As noted in the consultation, t</w:t>
      </w:r>
      <w:r w:rsidR="1F8B0AE3" w:rsidRPr="00EB552E">
        <w:rPr>
          <w:rFonts w:ascii="Calibri" w:eastAsia="Calibri" w:hAnsi="Calibri" w:cs="Calibri"/>
          <w:sz w:val="22"/>
          <w:szCs w:val="22"/>
        </w:rPr>
        <w:t>he RIIO-2 UIOLI allowances for gas networks have largely funded hydrogen related projects</w:t>
      </w:r>
      <w:r w:rsidR="615C1EB9" w:rsidRPr="00EB552E">
        <w:rPr>
          <w:rFonts w:ascii="Calibri" w:eastAsia="Calibri" w:hAnsi="Calibri" w:cs="Calibri"/>
          <w:sz w:val="22"/>
          <w:szCs w:val="22"/>
        </w:rPr>
        <w:t>. I</w:t>
      </w:r>
      <w:r w:rsidR="5A1607FE" w:rsidRPr="00EB552E">
        <w:rPr>
          <w:rFonts w:ascii="Calibri" w:eastAsia="Calibri" w:hAnsi="Calibri" w:cs="Calibri"/>
          <w:sz w:val="22"/>
          <w:szCs w:val="22"/>
        </w:rPr>
        <w:t>t is not clear that these</w:t>
      </w:r>
      <w:r w:rsidR="0EBB4697" w:rsidRPr="00EB552E">
        <w:rPr>
          <w:rFonts w:ascii="Calibri" w:eastAsia="Calibri" w:hAnsi="Calibri" w:cs="Calibri"/>
          <w:sz w:val="22"/>
          <w:szCs w:val="22"/>
        </w:rPr>
        <w:t xml:space="preserve"> have</w:t>
      </w:r>
      <w:r w:rsidR="5A1607FE" w:rsidRPr="00EB552E">
        <w:rPr>
          <w:rFonts w:ascii="Calibri" w:eastAsia="Calibri" w:hAnsi="Calibri" w:cs="Calibri"/>
          <w:sz w:val="22"/>
          <w:szCs w:val="22"/>
        </w:rPr>
        <w:t xml:space="preserve"> offer</w:t>
      </w:r>
      <w:r w:rsidR="43EC6A9E" w:rsidRPr="00EB552E">
        <w:rPr>
          <w:rFonts w:ascii="Calibri" w:eastAsia="Calibri" w:hAnsi="Calibri" w:cs="Calibri"/>
          <w:sz w:val="22"/>
          <w:szCs w:val="22"/>
        </w:rPr>
        <w:t>ed</w:t>
      </w:r>
      <w:r w:rsidR="5A1607FE" w:rsidRPr="00EB552E">
        <w:rPr>
          <w:rFonts w:ascii="Calibri" w:eastAsia="Calibri" w:hAnsi="Calibri" w:cs="Calibri"/>
          <w:sz w:val="22"/>
          <w:szCs w:val="22"/>
        </w:rPr>
        <w:t xml:space="preserve"> value for money for consumers</w:t>
      </w:r>
      <w:r w:rsidR="34B161A4" w:rsidRPr="00EB552E">
        <w:rPr>
          <w:rFonts w:ascii="Calibri" w:eastAsia="Calibri" w:hAnsi="Calibri" w:cs="Calibri"/>
          <w:sz w:val="22"/>
          <w:szCs w:val="22"/>
        </w:rPr>
        <w:t>.</w:t>
      </w:r>
      <w:r w:rsidR="5B79BA77" w:rsidRPr="00EB552E">
        <w:rPr>
          <w:rFonts w:ascii="Calibri" w:eastAsia="Calibri" w:hAnsi="Calibri" w:cs="Calibri"/>
          <w:sz w:val="22"/>
          <w:szCs w:val="22"/>
        </w:rPr>
        <w:t xml:space="preserve"> Given the uncertain nature of the future of the gas networks, further development of these networks merits a highe</w:t>
      </w:r>
      <w:r w:rsidR="69274DCB" w:rsidRPr="00EB552E">
        <w:rPr>
          <w:rFonts w:ascii="Calibri" w:eastAsia="Calibri" w:hAnsi="Calibri" w:cs="Calibri"/>
          <w:sz w:val="22"/>
          <w:szCs w:val="22"/>
        </w:rPr>
        <w:t>r degree of regulatory scrutiny.</w:t>
      </w:r>
      <w:r w:rsidR="34B161A4" w:rsidRPr="00EB552E">
        <w:rPr>
          <w:rFonts w:ascii="Calibri" w:eastAsia="Calibri" w:hAnsi="Calibri" w:cs="Calibri"/>
          <w:sz w:val="22"/>
          <w:szCs w:val="22"/>
        </w:rPr>
        <w:t xml:space="preserve"> </w:t>
      </w:r>
      <w:r w:rsidR="79711241" w:rsidRPr="00EB552E">
        <w:rPr>
          <w:rFonts w:ascii="Calibri" w:eastAsia="Calibri" w:hAnsi="Calibri" w:cs="Calibri"/>
          <w:sz w:val="22"/>
          <w:szCs w:val="22"/>
        </w:rPr>
        <w:t>Gas networks should instead take such proposals forwards through the Net Zero Pre-construction Works and Small Net Zero Projects (NZASP) process outlined in the consultation.</w:t>
      </w:r>
    </w:p>
    <w:p w14:paraId="3B14125D" w14:textId="286066AB" w:rsidR="0B1F6F66" w:rsidRPr="00EB552E" w:rsidRDefault="00A56926" w:rsidP="0F37E852">
      <w:pPr>
        <w:rPr>
          <w:rFonts w:ascii="Calibri" w:eastAsia="Calibri" w:hAnsi="Calibri" w:cs="Calibri"/>
          <w:sz w:val="22"/>
          <w:szCs w:val="22"/>
        </w:rPr>
      </w:pPr>
      <w:r w:rsidRPr="00EB552E">
        <w:rPr>
          <w:rFonts w:ascii="Calibri" w:eastAsia="Calibri" w:hAnsi="Calibri" w:cs="Calibri"/>
          <w:sz w:val="22"/>
          <w:szCs w:val="22"/>
        </w:rPr>
        <w:t>OV</w:t>
      </w:r>
      <w:r w:rsidR="0B1F6F66" w:rsidRPr="00EB552E">
        <w:rPr>
          <w:rFonts w:ascii="Calibri" w:eastAsia="Calibri" w:hAnsi="Calibri" w:cs="Calibri"/>
          <w:sz w:val="22"/>
          <w:szCs w:val="22"/>
        </w:rPr>
        <w:t xml:space="preserve">Q37 &amp; </w:t>
      </w:r>
      <w:r w:rsidRPr="00EB552E">
        <w:rPr>
          <w:rFonts w:ascii="Calibri" w:eastAsia="Calibri" w:hAnsi="Calibri" w:cs="Calibri"/>
          <w:sz w:val="22"/>
          <w:szCs w:val="22"/>
        </w:rPr>
        <w:t>OV</w:t>
      </w:r>
      <w:r w:rsidR="0B1F6F66" w:rsidRPr="00EB552E">
        <w:rPr>
          <w:rFonts w:ascii="Calibri" w:eastAsia="Calibri" w:hAnsi="Calibri" w:cs="Calibri"/>
          <w:sz w:val="22"/>
          <w:szCs w:val="22"/>
        </w:rPr>
        <w:t>Q38 – Yes. We would support the removal of UIOLI allowances for gas networks, and for this form of project to be taken forwards as part of the N</w:t>
      </w:r>
      <w:r w:rsidR="2EF92B72" w:rsidRPr="00EB552E">
        <w:rPr>
          <w:rFonts w:ascii="Calibri" w:eastAsia="Calibri" w:hAnsi="Calibri" w:cs="Calibri"/>
          <w:sz w:val="22"/>
          <w:szCs w:val="22"/>
        </w:rPr>
        <w:t>ZASP re-opener process.</w:t>
      </w:r>
    </w:p>
    <w:p w14:paraId="152E91B4" w14:textId="40891841" w:rsidR="00689A63" w:rsidRPr="005E5451" w:rsidRDefault="00A56926" w:rsidP="0F37E852">
      <w:pPr>
        <w:rPr>
          <w:rFonts w:ascii="Calibri" w:eastAsia="Calibri" w:hAnsi="Calibri" w:cs="Calibri"/>
          <w:sz w:val="22"/>
          <w:szCs w:val="22"/>
        </w:rPr>
      </w:pPr>
      <w:r w:rsidRPr="740363DB">
        <w:rPr>
          <w:rFonts w:ascii="Calibri" w:eastAsia="Calibri" w:hAnsi="Calibri" w:cs="Calibri"/>
          <w:sz w:val="22"/>
          <w:szCs w:val="22"/>
        </w:rPr>
        <w:t>OV</w:t>
      </w:r>
      <w:r w:rsidR="06AFA447" w:rsidRPr="740363DB">
        <w:rPr>
          <w:rFonts w:ascii="Calibri" w:eastAsia="Calibri" w:hAnsi="Calibri" w:cs="Calibri"/>
          <w:sz w:val="22"/>
          <w:szCs w:val="22"/>
        </w:rPr>
        <w:t xml:space="preserve">Q41 - Yes. </w:t>
      </w:r>
      <w:r w:rsidR="001B3107" w:rsidRPr="740363DB">
        <w:rPr>
          <w:rFonts w:ascii="Calibri" w:eastAsia="Calibri" w:hAnsi="Calibri" w:cs="Calibri"/>
          <w:sz w:val="22"/>
          <w:szCs w:val="22"/>
        </w:rPr>
        <w:t xml:space="preserve">However, </w:t>
      </w:r>
      <w:r w:rsidR="06AFA447" w:rsidRPr="740363DB">
        <w:rPr>
          <w:rFonts w:ascii="Calibri" w:eastAsia="Calibri" w:hAnsi="Calibri" w:cs="Calibri"/>
          <w:sz w:val="22"/>
          <w:szCs w:val="22"/>
        </w:rPr>
        <w:t xml:space="preserve">networks should be </w:t>
      </w:r>
      <w:r w:rsidR="001B3107" w:rsidRPr="740363DB">
        <w:rPr>
          <w:rFonts w:ascii="Calibri" w:eastAsia="Calibri" w:hAnsi="Calibri" w:cs="Calibri"/>
          <w:sz w:val="22"/>
          <w:szCs w:val="22"/>
        </w:rPr>
        <w:t xml:space="preserve">expected to </w:t>
      </w:r>
      <w:r w:rsidR="06AFA447" w:rsidRPr="740363DB">
        <w:rPr>
          <w:rFonts w:ascii="Calibri" w:eastAsia="Calibri" w:hAnsi="Calibri" w:cs="Calibri"/>
          <w:sz w:val="22"/>
          <w:szCs w:val="22"/>
        </w:rPr>
        <w:t>proactively horizon scan for potential</w:t>
      </w:r>
      <w:r w:rsidR="001B3107" w:rsidRPr="740363DB">
        <w:rPr>
          <w:rFonts w:ascii="Calibri" w:eastAsia="Calibri" w:hAnsi="Calibri" w:cs="Calibri"/>
          <w:sz w:val="22"/>
          <w:szCs w:val="22"/>
        </w:rPr>
        <w:t xml:space="preserve"> future</w:t>
      </w:r>
      <w:r w:rsidR="06AFA447" w:rsidRPr="740363DB">
        <w:rPr>
          <w:rFonts w:ascii="Calibri" w:eastAsia="Calibri" w:hAnsi="Calibri" w:cs="Calibri"/>
          <w:sz w:val="22"/>
          <w:szCs w:val="22"/>
        </w:rPr>
        <w:t xml:space="preserve"> risks</w:t>
      </w:r>
      <w:r w:rsidR="001B3107" w:rsidRPr="740363DB">
        <w:rPr>
          <w:rFonts w:ascii="Calibri" w:eastAsia="Calibri" w:hAnsi="Calibri" w:cs="Calibri"/>
          <w:sz w:val="22"/>
          <w:szCs w:val="22"/>
        </w:rPr>
        <w:t>.</w:t>
      </w:r>
      <w:r w:rsidR="06AFA447" w:rsidRPr="740363DB">
        <w:rPr>
          <w:rFonts w:ascii="Calibri" w:eastAsia="Calibri" w:hAnsi="Calibri" w:cs="Calibri"/>
          <w:sz w:val="22"/>
          <w:szCs w:val="22"/>
        </w:rPr>
        <w:t xml:space="preserve"> </w:t>
      </w:r>
      <w:r w:rsidR="001B3107" w:rsidRPr="740363DB">
        <w:rPr>
          <w:rFonts w:ascii="Calibri" w:eastAsia="Calibri" w:hAnsi="Calibri" w:cs="Calibri"/>
          <w:sz w:val="22"/>
          <w:szCs w:val="22"/>
        </w:rPr>
        <w:t>Re-openers should not be relied on excessively as a substitute for good planning by network companies.</w:t>
      </w:r>
    </w:p>
    <w:sectPr w:rsidR="00689A63" w:rsidRPr="005E54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E8A16" w14:textId="77777777" w:rsidR="003A4B8B" w:rsidRPr="00EB552E" w:rsidRDefault="003A4B8B" w:rsidP="00D5358C">
      <w:pPr>
        <w:spacing w:after="0" w:line="240" w:lineRule="auto"/>
        <w:rPr>
          <w:rFonts w:hint="eastAsia"/>
        </w:rPr>
      </w:pPr>
      <w:r w:rsidRPr="00EB552E">
        <w:separator/>
      </w:r>
    </w:p>
  </w:endnote>
  <w:endnote w:type="continuationSeparator" w:id="0">
    <w:p w14:paraId="78C5CB99" w14:textId="77777777" w:rsidR="003A4B8B" w:rsidRPr="00EB552E" w:rsidRDefault="003A4B8B" w:rsidP="00D5358C">
      <w:pPr>
        <w:spacing w:after="0" w:line="240" w:lineRule="auto"/>
        <w:rPr>
          <w:rFonts w:hint="eastAsia"/>
        </w:rPr>
      </w:pPr>
      <w:r w:rsidRPr="00EB552E">
        <w:continuationSeparator/>
      </w:r>
    </w:p>
  </w:endnote>
  <w:endnote w:type="continuationNotice" w:id="1">
    <w:p w14:paraId="1AF913B3" w14:textId="77777777" w:rsidR="003A4B8B" w:rsidRPr="00EB552E" w:rsidRDefault="003A4B8B">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FE415" w14:textId="734D7E3E" w:rsidR="00CE7295" w:rsidRDefault="00CE7295">
    <w:pPr>
      <w:pStyle w:val="Footer"/>
      <w:rPr>
        <w:rFonts w:hint="eastAsia"/>
      </w:rPr>
    </w:pPr>
    <w:r>
      <w:rPr>
        <w:noProof/>
      </w:rPr>
      <mc:AlternateContent>
        <mc:Choice Requires="wps">
          <w:drawing>
            <wp:anchor distT="0" distB="0" distL="0" distR="0" simplePos="0" relativeHeight="251658241" behindDoc="0" locked="0" layoutInCell="1" allowOverlap="1" wp14:anchorId="7EF0F66C" wp14:editId="309A0722">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A2C802" w14:textId="7CDFCBCA"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F0F66C"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21A2C802" w14:textId="7CDFCBCA"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50362" w14:textId="336BD4CD" w:rsidR="00CE7295" w:rsidRDefault="00CE7295">
    <w:pPr>
      <w:pStyle w:val="Footer"/>
      <w:rPr>
        <w:rFonts w:hint="eastAsia"/>
      </w:rPr>
    </w:pPr>
    <w:r>
      <w:rPr>
        <w:noProof/>
      </w:rPr>
      <mc:AlternateContent>
        <mc:Choice Requires="wps">
          <w:drawing>
            <wp:anchor distT="0" distB="0" distL="0" distR="0" simplePos="0" relativeHeight="251658242" behindDoc="0" locked="0" layoutInCell="1" allowOverlap="1" wp14:anchorId="4ACF9350" wp14:editId="3C5268CF">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AD230E" w14:textId="22268F41"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CF9350" id="_x0000_t202" coordsize="21600,21600" o:spt="202" path="m,l,21600r21600,l21600,xe">
              <v:stroke joinstyle="miter"/>
              <v:path gradientshapeok="t" o:connecttype="rect"/>
            </v:shapetype>
            <v:shape id="Text Box 3" o:spid="_x0000_s1027" type="#_x0000_t202" alt="OFFICIAL-Internal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9AD230E" w14:textId="22268F41"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89B39" w14:textId="22313D26" w:rsidR="00CE7295" w:rsidRDefault="00CE7295">
    <w:pPr>
      <w:pStyle w:val="Footer"/>
      <w:rPr>
        <w:rFonts w:hint="eastAsia"/>
      </w:rPr>
    </w:pPr>
    <w:r>
      <w:rPr>
        <w:noProof/>
      </w:rPr>
      <mc:AlternateContent>
        <mc:Choice Requires="wps">
          <w:drawing>
            <wp:anchor distT="0" distB="0" distL="0" distR="0" simplePos="0" relativeHeight="251658240" behindDoc="0" locked="0" layoutInCell="1" allowOverlap="1" wp14:anchorId="5603A5BB" wp14:editId="1D1B5B61">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0D5278" w14:textId="0F21C1FA"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03A5BB"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90D5278" w14:textId="0F21C1FA" w:rsidR="00CE7295" w:rsidRPr="00CE7295" w:rsidRDefault="00CE7295" w:rsidP="00CE7295">
                    <w:pPr>
                      <w:spacing w:after="0"/>
                      <w:rPr>
                        <w:rFonts w:ascii="Calibri" w:eastAsia="Calibri" w:hAnsi="Calibri" w:cs="Calibri"/>
                        <w:noProof/>
                        <w:color w:val="000000"/>
                        <w:sz w:val="20"/>
                        <w:szCs w:val="20"/>
                      </w:rPr>
                    </w:pPr>
                    <w:r w:rsidRPr="00CE729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E2B85" w14:textId="77777777" w:rsidR="003A4B8B" w:rsidRPr="00EB552E" w:rsidRDefault="003A4B8B" w:rsidP="00D5358C">
      <w:pPr>
        <w:spacing w:after="0" w:line="240" w:lineRule="auto"/>
        <w:rPr>
          <w:rFonts w:hint="eastAsia"/>
        </w:rPr>
      </w:pPr>
      <w:r w:rsidRPr="00EB552E">
        <w:separator/>
      </w:r>
    </w:p>
  </w:footnote>
  <w:footnote w:type="continuationSeparator" w:id="0">
    <w:p w14:paraId="54936C00" w14:textId="77777777" w:rsidR="003A4B8B" w:rsidRPr="00EB552E" w:rsidRDefault="003A4B8B" w:rsidP="00D5358C">
      <w:pPr>
        <w:spacing w:after="0" w:line="240" w:lineRule="auto"/>
        <w:rPr>
          <w:rFonts w:hint="eastAsia"/>
        </w:rPr>
      </w:pPr>
      <w:r w:rsidRPr="00EB552E">
        <w:continuationSeparator/>
      </w:r>
    </w:p>
  </w:footnote>
  <w:footnote w:type="continuationNotice" w:id="1">
    <w:p w14:paraId="2847B943" w14:textId="77777777" w:rsidR="003A4B8B" w:rsidRPr="00EB552E" w:rsidRDefault="003A4B8B">
      <w:pPr>
        <w:spacing w:after="0" w:line="240" w:lineRule="auto"/>
        <w:rPr>
          <w:rFonts w:hint="eastAsia"/>
        </w:rPr>
      </w:pPr>
    </w:p>
  </w:footnote>
  <w:footnote w:id="2">
    <w:p w14:paraId="60F1FE75" w14:textId="29F7F4B3" w:rsidR="00D5358C" w:rsidRPr="00EB552E" w:rsidRDefault="00D5358C" w:rsidP="00D5358C">
      <w:pPr>
        <w:spacing w:after="0" w:line="240" w:lineRule="auto"/>
        <w:textAlignment w:val="center"/>
        <w:rPr>
          <w:rFonts w:ascii="Calibri" w:hAnsi="Calibri" w:cs="Calibri"/>
          <w:sz w:val="22"/>
          <w:szCs w:val="22"/>
        </w:rPr>
      </w:pPr>
      <w:r w:rsidRPr="00EB552E">
        <w:rPr>
          <w:rStyle w:val="FootnoteReference"/>
        </w:rPr>
        <w:footnoteRef/>
      </w:r>
      <w:r w:rsidRPr="00EB552E">
        <w:t xml:space="preserve"> </w:t>
      </w:r>
      <w:r w:rsidRPr="00EB552E">
        <w:rPr>
          <w:rFonts w:ascii="Calibri" w:hAnsi="Calibri" w:cs="Calibri"/>
          <w:sz w:val="22"/>
          <w:szCs w:val="22"/>
        </w:rPr>
        <w:t> </w:t>
      </w:r>
      <w:hyperlink r:id="rId1" w:history="1">
        <w:r w:rsidRPr="00EB552E">
          <w:rPr>
            <w:rStyle w:val="Hyperlink"/>
            <w:rFonts w:ascii="Calibri" w:hAnsi="Calibri" w:cs="Calibri"/>
            <w:sz w:val="22"/>
            <w:szCs w:val="22"/>
          </w:rPr>
          <w:t>https://www.energylivenews.com/2023/11/27/uk-energy-minister-hydrogen-will-have-limited-role-in-home-heating/</w:t>
        </w:r>
      </w:hyperlink>
    </w:p>
    <w:p w14:paraId="13E70B2C" w14:textId="3EBBC44B" w:rsidR="00D5358C" w:rsidRPr="00EB552E" w:rsidRDefault="00D5358C">
      <w:pPr>
        <w:pStyle w:val="FootnoteText"/>
        <w:rPr>
          <w:rFonts w:hint="eastAsia"/>
        </w:rPr>
      </w:pPr>
    </w:p>
  </w:footnote>
  <w:footnote w:id="3">
    <w:p w14:paraId="19CCCAE0" w14:textId="77777777" w:rsidR="003F7F21" w:rsidRPr="00EB552E" w:rsidRDefault="003F7F21" w:rsidP="003F7F21">
      <w:pPr>
        <w:pStyle w:val="FootnoteText"/>
        <w:rPr>
          <w:rFonts w:hint="eastAsia"/>
        </w:rPr>
      </w:pPr>
      <w:r w:rsidRPr="00EB552E">
        <w:rPr>
          <w:rStyle w:val="FootnoteReference"/>
        </w:rPr>
        <w:footnoteRef/>
      </w:r>
      <w:r w:rsidRPr="00EB552E">
        <w:t xml:space="preserve"> </w:t>
      </w:r>
      <w:hyperlink r:id="rId2" w:history="1">
        <w:r w:rsidRPr="00EB552E">
          <w:rPr>
            <w:rStyle w:val="cf01"/>
            <w:color w:val="0000FF"/>
            <w:u w:val="single"/>
          </w:rPr>
          <w:t>https://www.e3g.org/publications/the-case-against-hydrogen-blending-a-costly-distraction/</w:t>
        </w:r>
      </w:hyperlink>
    </w:p>
  </w:footnote>
  <w:footnote w:id="4">
    <w:p w14:paraId="646E734A" w14:textId="614A8426" w:rsidR="00DC1F35" w:rsidRDefault="00F93104">
      <w:pPr>
        <w:pStyle w:val="FootnoteText"/>
        <w:rPr>
          <w:rFonts w:hint="eastAsia"/>
        </w:rPr>
      </w:pPr>
      <w:r>
        <w:rPr>
          <w:rStyle w:val="FootnoteReference"/>
        </w:rPr>
        <w:footnoteRef/>
      </w:r>
      <w:r>
        <w:t xml:space="preserve"> </w:t>
      </w:r>
      <w:hyperlink r:id="rId3" w:history="1">
        <w:r w:rsidR="00DC1F35" w:rsidRPr="00981BB4">
          <w:rPr>
            <w:rStyle w:val="Hyperlink"/>
          </w:rPr>
          <w:t>https://www.hydrogeninsight.com/policy/unambiguous-a-total-of-54-independent-studies-now-say-there-will-be-no-significant-role-for-hydrogen-in-heating/2-1-1571646</w:t>
        </w:r>
      </w:hyperlink>
    </w:p>
  </w:footnote>
  <w:footnote w:id="5">
    <w:p w14:paraId="63CDDCA0" w14:textId="0DB7FA82" w:rsidR="00F60727" w:rsidRPr="00D5358C" w:rsidRDefault="00F60727" w:rsidP="00C23187">
      <w:pPr>
        <w:spacing w:after="0" w:line="240" w:lineRule="auto"/>
        <w:textAlignment w:val="center"/>
        <w:rPr>
          <w:rFonts w:hint="eastAsia"/>
        </w:rPr>
      </w:pPr>
      <w:r w:rsidRPr="00C23187">
        <w:rPr>
          <w:rStyle w:val="FootnoteReference"/>
          <w:rFonts w:ascii="Segoe UI" w:hAnsi="Segoe UI" w:cs="Segoe UI"/>
          <w:sz w:val="18"/>
          <w:szCs w:val="18"/>
        </w:rPr>
        <w:footnoteRef/>
      </w:r>
      <w:r w:rsidRPr="00C23187">
        <w:rPr>
          <w:rFonts w:ascii="Segoe UI" w:hAnsi="Segoe UI" w:cs="Segoe UI"/>
          <w:sz w:val="18"/>
          <w:szCs w:val="18"/>
        </w:rPr>
        <w:t xml:space="preserve">  </w:t>
      </w:r>
      <w:hyperlink r:id="rId4" w:history="1">
        <w:r w:rsidRPr="00C23187">
          <w:rPr>
            <w:rStyle w:val="Hyperlink"/>
            <w:rFonts w:ascii="Segoe UI" w:hAnsi="Segoe UI" w:cs="Segoe UI"/>
            <w:sz w:val="18"/>
            <w:szCs w:val="18"/>
          </w:rPr>
          <w:t>https://www.energylivenews.com/2023/11/27/uk-energy-minister-hydrogen-will-have-limited-role-in-home-heating/</w:t>
        </w:r>
      </w:hyperlink>
    </w:p>
  </w:footnote>
  <w:footnote w:id="6">
    <w:p w14:paraId="0BC8BD78" w14:textId="168ECB78" w:rsidR="0066148B" w:rsidRPr="00C23187" w:rsidRDefault="0066148B">
      <w:pPr>
        <w:pStyle w:val="FootnoteText"/>
        <w:rPr>
          <w:rFonts w:ascii="Segoe UI" w:hAnsi="Segoe UI" w:cs="Segoe UI"/>
          <w:sz w:val="18"/>
          <w:szCs w:val="18"/>
        </w:rPr>
      </w:pPr>
      <w:r w:rsidRPr="00C23187">
        <w:rPr>
          <w:rStyle w:val="FootnoteReference"/>
          <w:rFonts w:ascii="Segoe UI" w:hAnsi="Segoe UI" w:cs="Segoe UI"/>
          <w:sz w:val="18"/>
          <w:szCs w:val="18"/>
        </w:rPr>
        <w:footnoteRef/>
      </w:r>
      <w:r w:rsidRPr="00C23187">
        <w:rPr>
          <w:rFonts w:ascii="Segoe UI" w:hAnsi="Segoe UI" w:cs="Segoe UI"/>
          <w:sz w:val="18"/>
          <w:szCs w:val="18"/>
        </w:rPr>
        <w:t xml:space="preserve"> </w:t>
      </w:r>
      <w:hyperlink r:id="rId5" w:history="1">
        <w:r w:rsidRPr="00C23187">
          <w:rPr>
            <w:rStyle w:val="Hyperlink"/>
            <w:rFonts w:ascii="Segoe UI" w:hAnsi="Segoe UI" w:cs="Segoe UI"/>
            <w:sz w:val="18"/>
            <w:szCs w:val="18"/>
          </w:rPr>
          <w:t>https://www.theccc.org.uk/wp-content/uploads/2018/11/Hydrogen-in-a-low-carbon-economy.pdf</w:t>
        </w:r>
      </w:hyperlink>
    </w:p>
  </w:footnote>
  <w:footnote w:id="7">
    <w:p w14:paraId="1933D82B" w14:textId="62D6FD2F" w:rsidR="00DC1F35" w:rsidRDefault="00643733">
      <w:pPr>
        <w:pStyle w:val="FootnoteText"/>
        <w:rPr>
          <w:rFonts w:hint="eastAsia"/>
        </w:rPr>
      </w:pPr>
      <w:r>
        <w:rPr>
          <w:rStyle w:val="FootnoteReference"/>
        </w:rPr>
        <w:footnoteRef/>
      </w:r>
      <w:r>
        <w:t xml:space="preserve"> </w:t>
      </w:r>
      <w:hyperlink r:id="rId6" w:history="1">
        <w:r w:rsidR="00DC1F35" w:rsidRPr="00981BB4">
          <w:rPr>
            <w:rStyle w:val="Hyperlink"/>
          </w:rPr>
          <w:t>https://b80d7a04-1c28-45e2-b904-e0715cface93.filesusr.com/ugd/252d09_54035c0c27684afca52c7634709b86ec.pdf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12441" w14:textId="77777777" w:rsidR="00FB0BED" w:rsidRDefault="00FB0BED">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FB544" w14:textId="77777777" w:rsidR="00FB0BED" w:rsidRDefault="00FB0BED">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020F5" w14:textId="77777777" w:rsidR="00FB0BED" w:rsidRDefault="00FB0BED">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BC5B8"/>
    <w:multiLevelType w:val="hybridMultilevel"/>
    <w:tmpl w:val="E09C76CA"/>
    <w:lvl w:ilvl="0" w:tplc="C044A4BE">
      <w:start w:val="1"/>
      <w:numFmt w:val="bullet"/>
      <w:lvlText w:val=""/>
      <w:lvlJc w:val="left"/>
      <w:pPr>
        <w:ind w:left="720" w:hanging="360"/>
      </w:pPr>
      <w:rPr>
        <w:rFonts w:ascii="Symbol" w:hAnsi="Symbol" w:hint="default"/>
      </w:rPr>
    </w:lvl>
    <w:lvl w:ilvl="1" w:tplc="BCBE6AEE">
      <w:start w:val="1"/>
      <w:numFmt w:val="bullet"/>
      <w:lvlText w:val="o"/>
      <w:lvlJc w:val="left"/>
      <w:pPr>
        <w:ind w:left="1440" w:hanging="360"/>
      </w:pPr>
      <w:rPr>
        <w:rFonts w:ascii="Courier New" w:hAnsi="Courier New" w:hint="default"/>
      </w:rPr>
    </w:lvl>
    <w:lvl w:ilvl="2" w:tplc="C4A69BE6">
      <w:start w:val="1"/>
      <w:numFmt w:val="bullet"/>
      <w:lvlText w:val=""/>
      <w:lvlJc w:val="left"/>
      <w:pPr>
        <w:ind w:left="2160" w:hanging="360"/>
      </w:pPr>
      <w:rPr>
        <w:rFonts w:ascii="Wingdings" w:hAnsi="Wingdings" w:hint="default"/>
      </w:rPr>
    </w:lvl>
    <w:lvl w:ilvl="3" w:tplc="68B41A06">
      <w:start w:val="1"/>
      <w:numFmt w:val="bullet"/>
      <w:lvlText w:val=""/>
      <w:lvlJc w:val="left"/>
      <w:pPr>
        <w:ind w:left="2880" w:hanging="360"/>
      </w:pPr>
      <w:rPr>
        <w:rFonts w:ascii="Symbol" w:hAnsi="Symbol" w:hint="default"/>
      </w:rPr>
    </w:lvl>
    <w:lvl w:ilvl="4" w:tplc="BA10A8EE">
      <w:start w:val="1"/>
      <w:numFmt w:val="bullet"/>
      <w:lvlText w:val="o"/>
      <w:lvlJc w:val="left"/>
      <w:pPr>
        <w:ind w:left="3600" w:hanging="360"/>
      </w:pPr>
      <w:rPr>
        <w:rFonts w:ascii="Courier New" w:hAnsi="Courier New" w:hint="default"/>
      </w:rPr>
    </w:lvl>
    <w:lvl w:ilvl="5" w:tplc="517EA01E">
      <w:start w:val="1"/>
      <w:numFmt w:val="bullet"/>
      <w:lvlText w:val=""/>
      <w:lvlJc w:val="left"/>
      <w:pPr>
        <w:ind w:left="4320" w:hanging="360"/>
      </w:pPr>
      <w:rPr>
        <w:rFonts w:ascii="Wingdings" w:hAnsi="Wingdings" w:hint="default"/>
      </w:rPr>
    </w:lvl>
    <w:lvl w:ilvl="6" w:tplc="1A92CC6C">
      <w:start w:val="1"/>
      <w:numFmt w:val="bullet"/>
      <w:lvlText w:val=""/>
      <w:lvlJc w:val="left"/>
      <w:pPr>
        <w:ind w:left="5040" w:hanging="360"/>
      </w:pPr>
      <w:rPr>
        <w:rFonts w:ascii="Symbol" w:hAnsi="Symbol" w:hint="default"/>
      </w:rPr>
    </w:lvl>
    <w:lvl w:ilvl="7" w:tplc="FCEA5476">
      <w:start w:val="1"/>
      <w:numFmt w:val="bullet"/>
      <w:lvlText w:val="o"/>
      <w:lvlJc w:val="left"/>
      <w:pPr>
        <w:ind w:left="5760" w:hanging="360"/>
      </w:pPr>
      <w:rPr>
        <w:rFonts w:ascii="Courier New" w:hAnsi="Courier New" w:hint="default"/>
      </w:rPr>
    </w:lvl>
    <w:lvl w:ilvl="8" w:tplc="C1E28BF8">
      <w:start w:val="1"/>
      <w:numFmt w:val="bullet"/>
      <w:lvlText w:val=""/>
      <w:lvlJc w:val="left"/>
      <w:pPr>
        <w:ind w:left="6480" w:hanging="360"/>
      </w:pPr>
      <w:rPr>
        <w:rFonts w:ascii="Wingdings" w:hAnsi="Wingdings" w:hint="default"/>
      </w:rPr>
    </w:lvl>
  </w:abstractNum>
  <w:abstractNum w:abstractNumId="1" w15:restartNumberingAfterBreak="0">
    <w:nsid w:val="179441AA"/>
    <w:multiLevelType w:val="multilevel"/>
    <w:tmpl w:val="9B7E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099DC8"/>
    <w:multiLevelType w:val="hybridMultilevel"/>
    <w:tmpl w:val="315279E4"/>
    <w:lvl w:ilvl="0" w:tplc="A7DC288E">
      <w:start w:val="1"/>
      <w:numFmt w:val="bullet"/>
      <w:lvlText w:val=""/>
      <w:lvlJc w:val="left"/>
      <w:pPr>
        <w:ind w:left="720" w:hanging="360"/>
      </w:pPr>
      <w:rPr>
        <w:rFonts w:ascii="Symbol" w:hAnsi="Symbol" w:hint="default"/>
      </w:rPr>
    </w:lvl>
    <w:lvl w:ilvl="1" w:tplc="4D7ACD00">
      <w:start w:val="1"/>
      <w:numFmt w:val="bullet"/>
      <w:lvlText w:val="o"/>
      <w:lvlJc w:val="left"/>
      <w:pPr>
        <w:ind w:left="1440" w:hanging="360"/>
      </w:pPr>
      <w:rPr>
        <w:rFonts w:ascii="Courier New" w:hAnsi="Courier New" w:hint="default"/>
      </w:rPr>
    </w:lvl>
    <w:lvl w:ilvl="2" w:tplc="F38246AC">
      <w:start w:val="1"/>
      <w:numFmt w:val="bullet"/>
      <w:lvlText w:val=""/>
      <w:lvlJc w:val="left"/>
      <w:pPr>
        <w:ind w:left="2160" w:hanging="360"/>
      </w:pPr>
      <w:rPr>
        <w:rFonts w:ascii="Wingdings" w:hAnsi="Wingdings" w:hint="default"/>
      </w:rPr>
    </w:lvl>
    <w:lvl w:ilvl="3" w:tplc="C39A9A3A">
      <w:start w:val="1"/>
      <w:numFmt w:val="bullet"/>
      <w:lvlText w:val=""/>
      <w:lvlJc w:val="left"/>
      <w:pPr>
        <w:ind w:left="2880" w:hanging="360"/>
      </w:pPr>
      <w:rPr>
        <w:rFonts w:ascii="Symbol" w:hAnsi="Symbol" w:hint="default"/>
      </w:rPr>
    </w:lvl>
    <w:lvl w:ilvl="4" w:tplc="0ABE9AB8">
      <w:start w:val="1"/>
      <w:numFmt w:val="bullet"/>
      <w:lvlText w:val="o"/>
      <w:lvlJc w:val="left"/>
      <w:pPr>
        <w:ind w:left="3600" w:hanging="360"/>
      </w:pPr>
      <w:rPr>
        <w:rFonts w:ascii="Courier New" w:hAnsi="Courier New" w:hint="default"/>
      </w:rPr>
    </w:lvl>
    <w:lvl w:ilvl="5" w:tplc="08F85062">
      <w:start w:val="1"/>
      <w:numFmt w:val="bullet"/>
      <w:lvlText w:val=""/>
      <w:lvlJc w:val="left"/>
      <w:pPr>
        <w:ind w:left="4320" w:hanging="360"/>
      </w:pPr>
      <w:rPr>
        <w:rFonts w:ascii="Wingdings" w:hAnsi="Wingdings" w:hint="default"/>
      </w:rPr>
    </w:lvl>
    <w:lvl w:ilvl="6" w:tplc="4EF44D9C">
      <w:start w:val="1"/>
      <w:numFmt w:val="bullet"/>
      <w:lvlText w:val=""/>
      <w:lvlJc w:val="left"/>
      <w:pPr>
        <w:ind w:left="5040" w:hanging="360"/>
      </w:pPr>
      <w:rPr>
        <w:rFonts w:ascii="Symbol" w:hAnsi="Symbol" w:hint="default"/>
      </w:rPr>
    </w:lvl>
    <w:lvl w:ilvl="7" w:tplc="C8C6CB9C">
      <w:start w:val="1"/>
      <w:numFmt w:val="bullet"/>
      <w:lvlText w:val="o"/>
      <w:lvlJc w:val="left"/>
      <w:pPr>
        <w:ind w:left="5760" w:hanging="360"/>
      </w:pPr>
      <w:rPr>
        <w:rFonts w:ascii="Courier New" w:hAnsi="Courier New" w:hint="default"/>
      </w:rPr>
    </w:lvl>
    <w:lvl w:ilvl="8" w:tplc="A476D604">
      <w:start w:val="1"/>
      <w:numFmt w:val="bullet"/>
      <w:lvlText w:val=""/>
      <w:lvlJc w:val="left"/>
      <w:pPr>
        <w:ind w:left="6480" w:hanging="360"/>
      </w:pPr>
      <w:rPr>
        <w:rFonts w:ascii="Wingdings" w:hAnsi="Wingdings" w:hint="default"/>
      </w:rPr>
    </w:lvl>
  </w:abstractNum>
  <w:num w:numId="1" w16cid:durableId="617377926">
    <w:abstractNumId w:val="0"/>
  </w:num>
  <w:num w:numId="2" w16cid:durableId="1434014690">
    <w:abstractNumId w:val="2"/>
  </w:num>
  <w:num w:numId="3" w16cid:durableId="154320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EBDA09"/>
    <w:rsid w:val="0000175A"/>
    <w:rsid w:val="00002C05"/>
    <w:rsid w:val="00026287"/>
    <w:rsid w:val="00032974"/>
    <w:rsid w:val="0003539E"/>
    <w:rsid w:val="00046C3F"/>
    <w:rsid w:val="00047A9C"/>
    <w:rsid w:val="00051F5C"/>
    <w:rsid w:val="000558D5"/>
    <w:rsid w:val="00073481"/>
    <w:rsid w:val="0007369D"/>
    <w:rsid w:val="000759CB"/>
    <w:rsid w:val="0007692C"/>
    <w:rsid w:val="00083E67"/>
    <w:rsid w:val="000A00BC"/>
    <w:rsid w:val="000A63EF"/>
    <w:rsid w:val="000C4C4F"/>
    <w:rsid w:val="000C7537"/>
    <w:rsid w:val="000D1DE4"/>
    <w:rsid w:val="000E23E5"/>
    <w:rsid w:val="000E51EE"/>
    <w:rsid w:val="000F00C5"/>
    <w:rsid w:val="000F147C"/>
    <w:rsid w:val="000F2935"/>
    <w:rsid w:val="000F74AF"/>
    <w:rsid w:val="00107A40"/>
    <w:rsid w:val="001457B3"/>
    <w:rsid w:val="001623C6"/>
    <w:rsid w:val="00175112"/>
    <w:rsid w:val="0019551C"/>
    <w:rsid w:val="001968AC"/>
    <w:rsid w:val="00197B92"/>
    <w:rsid w:val="001A057B"/>
    <w:rsid w:val="001A413C"/>
    <w:rsid w:val="001A6CE4"/>
    <w:rsid w:val="001B2139"/>
    <w:rsid w:val="001B3107"/>
    <w:rsid w:val="001C0451"/>
    <w:rsid w:val="001D18E9"/>
    <w:rsid w:val="001E73C1"/>
    <w:rsid w:val="001F7BB9"/>
    <w:rsid w:val="00220C72"/>
    <w:rsid w:val="00224BC1"/>
    <w:rsid w:val="00225EC7"/>
    <w:rsid w:val="00227EBC"/>
    <w:rsid w:val="00235034"/>
    <w:rsid w:val="00246FE1"/>
    <w:rsid w:val="002605A6"/>
    <w:rsid w:val="00265763"/>
    <w:rsid w:val="00266B8C"/>
    <w:rsid w:val="002826AE"/>
    <w:rsid w:val="00283155"/>
    <w:rsid w:val="002854F1"/>
    <w:rsid w:val="0028650E"/>
    <w:rsid w:val="0028722B"/>
    <w:rsid w:val="002A382C"/>
    <w:rsid w:val="002A3CBF"/>
    <w:rsid w:val="002C1DCC"/>
    <w:rsid w:val="002D69E4"/>
    <w:rsid w:val="00304CF2"/>
    <w:rsid w:val="0031555A"/>
    <w:rsid w:val="00320525"/>
    <w:rsid w:val="00321279"/>
    <w:rsid w:val="00322EDC"/>
    <w:rsid w:val="00334A5D"/>
    <w:rsid w:val="00337A85"/>
    <w:rsid w:val="00337E37"/>
    <w:rsid w:val="00347050"/>
    <w:rsid w:val="0035011F"/>
    <w:rsid w:val="00353C16"/>
    <w:rsid w:val="00377D8A"/>
    <w:rsid w:val="003918AB"/>
    <w:rsid w:val="003A4B8B"/>
    <w:rsid w:val="003A55A3"/>
    <w:rsid w:val="003C0529"/>
    <w:rsid w:val="003C0D96"/>
    <w:rsid w:val="003C2702"/>
    <w:rsid w:val="003C4A5B"/>
    <w:rsid w:val="003C592C"/>
    <w:rsid w:val="003D6EC3"/>
    <w:rsid w:val="003E79AE"/>
    <w:rsid w:val="003F6A3D"/>
    <w:rsid w:val="003F7F21"/>
    <w:rsid w:val="0040270F"/>
    <w:rsid w:val="00405214"/>
    <w:rsid w:val="00426C00"/>
    <w:rsid w:val="00431CE9"/>
    <w:rsid w:val="00441846"/>
    <w:rsid w:val="00466091"/>
    <w:rsid w:val="00484043"/>
    <w:rsid w:val="00484485"/>
    <w:rsid w:val="004B7025"/>
    <w:rsid w:val="004D7333"/>
    <w:rsid w:val="004E0C90"/>
    <w:rsid w:val="004E2DAC"/>
    <w:rsid w:val="004E5384"/>
    <w:rsid w:val="004F1627"/>
    <w:rsid w:val="004F3CE9"/>
    <w:rsid w:val="004F782B"/>
    <w:rsid w:val="00504D82"/>
    <w:rsid w:val="00505958"/>
    <w:rsid w:val="0051148B"/>
    <w:rsid w:val="005137CC"/>
    <w:rsid w:val="00513D62"/>
    <w:rsid w:val="00514CA8"/>
    <w:rsid w:val="00515A41"/>
    <w:rsid w:val="0051767F"/>
    <w:rsid w:val="005225F2"/>
    <w:rsid w:val="005519E0"/>
    <w:rsid w:val="005524BE"/>
    <w:rsid w:val="0056300F"/>
    <w:rsid w:val="0056664D"/>
    <w:rsid w:val="005A6DBB"/>
    <w:rsid w:val="005B2CB4"/>
    <w:rsid w:val="005C7312"/>
    <w:rsid w:val="005D084B"/>
    <w:rsid w:val="005E5451"/>
    <w:rsid w:val="005E6776"/>
    <w:rsid w:val="005E7A19"/>
    <w:rsid w:val="005F1BE8"/>
    <w:rsid w:val="005F516F"/>
    <w:rsid w:val="005F7CDB"/>
    <w:rsid w:val="00600E58"/>
    <w:rsid w:val="0060332C"/>
    <w:rsid w:val="0060689C"/>
    <w:rsid w:val="00610809"/>
    <w:rsid w:val="0061151F"/>
    <w:rsid w:val="00621B47"/>
    <w:rsid w:val="006226A1"/>
    <w:rsid w:val="00624D0B"/>
    <w:rsid w:val="00627B78"/>
    <w:rsid w:val="00636409"/>
    <w:rsid w:val="00636C46"/>
    <w:rsid w:val="006410E3"/>
    <w:rsid w:val="00643733"/>
    <w:rsid w:val="00646D09"/>
    <w:rsid w:val="00651EA1"/>
    <w:rsid w:val="00653F6D"/>
    <w:rsid w:val="006602AF"/>
    <w:rsid w:val="0066148B"/>
    <w:rsid w:val="00681525"/>
    <w:rsid w:val="00689A63"/>
    <w:rsid w:val="006908C3"/>
    <w:rsid w:val="00693DF8"/>
    <w:rsid w:val="00693FBF"/>
    <w:rsid w:val="00694685"/>
    <w:rsid w:val="006B2D4C"/>
    <w:rsid w:val="006B72F4"/>
    <w:rsid w:val="006C5F8A"/>
    <w:rsid w:val="006D061A"/>
    <w:rsid w:val="006D5504"/>
    <w:rsid w:val="006E48AD"/>
    <w:rsid w:val="007054B4"/>
    <w:rsid w:val="00707181"/>
    <w:rsid w:val="00707FB0"/>
    <w:rsid w:val="00710C49"/>
    <w:rsid w:val="00736EF2"/>
    <w:rsid w:val="0074032C"/>
    <w:rsid w:val="0074128F"/>
    <w:rsid w:val="00745534"/>
    <w:rsid w:val="00765F39"/>
    <w:rsid w:val="0077117B"/>
    <w:rsid w:val="00783AB3"/>
    <w:rsid w:val="0079341D"/>
    <w:rsid w:val="007B1768"/>
    <w:rsid w:val="007B4706"/>
    <w:rsid w:val="007C07C3"/>
    <w:rsid w:val="007C77FF"/>
    <w:rsid w:val="007D405D"/>
    <w:rsid w:val="007E52AC"/>
    <w:rsid w:val="00800B99"/>
    <w:rsid w:val="00807B33"/>
    <w:rsid w:val="008148C3"/>
    <w:rsid w:val="00824B91"/>
    <w:rsid w:val="0083048E"/>
    <w:rsid w:val="00831E03"/>
    <w:rsid w:val="00833530"/>
    <w:rsid w:val="00834AC9"/>
    <w:rsid w:val="00841CC0"/>
    <w:rsid w:val="008440A2"/>
    <w:rsid w:val="00844891"/>
    <w:rsid w:val="008529A9"/>
    <w:rsid w:val="00855095"/>
    <w:rsid w:val="0086384D"/>
    <w:rsid w:val="008649C1"/>
    <w:rsid w:val="00877A84"/>
    <w:rsid w:val="008A2FC9"/>
    <w:rsid w:val="008A4522"/>
    <w:rsid w:val="008A6B46"/>
    <w:rsid w:val="008B2DA2"/>
    <w:rsid w:val="008C32A1"/>
    <w:rsid w:val="008C3524"/>
    <w:rsid w:val="008E2621"/>
    <w:rsid w:val="008E2697"/>
    <w:rsid w:val="008F7D33"/>
    <w:rsid w:val="00901806"/>
    <w:rsid w:val="00905373"/>
    <w:rsid w:val="00906A26"/>
    <w:rsid w:val="00910714"/>
    <w:rsid w:val="009326ED"/>
    <w:rsid w:val="00934424"/>
    <w:rsid w:val="00940795"/>
    <w:rsid w:val="0095127B"/>
    <w:rsid w:val="0095654E"/>
    <w:rsid w:val="00971809"/>
    <w:rsid w:val="00985072"/>
    <w:rsid w:val="0098595D"/>
    <w:rsid w:val="009A3B41"/>
    <w:rsid w:val="009B0D20"/>
    <w:rsid w:val="009B0E6E"/>
    <w:rsid w:val="009B442F"/>
    <w:rsid w:val="009C7386"/>
    <w:rsid w:val="009D1D9B"/>
    <w:rsid w:val="009D31B8"/>
    <w:rsid w:val="009E656F"/>
    <w:rsid w:val="00A14349"/>
    <w:rsid w:val="00A223B1"/>
    <w:rsid w:val="00A3127A"/>
    <w:rsid w:val="00A434D0"/>
    <w:rsid w:val="00A4497C"/>
    <w:rsid w:val="00A55C6D"/>
    <w:rsid w:val="00A56926"/>
    <w:rsid w:val="00A56983"/>
    <w:rsid w:val="00A67718"/>
    <w:rsid w:val="00A90BB3"/>
    <w:rsid w:val="00AA0726"/>
    <w:rsid w:val="00AC3F5B"/>
    <w:rsid w:val="00AC5C2C"/>
    <w:rsid w:val="00AD0897"/>
    <w:rsid w:val="00AE4C36"/>
    <w:rsid w:val="00AE550F"/>
    <w:rsid w:val="00AF79A7"/>
    <w:rsid w:val="00B15D96"/>
    <w:rsid w:val="00B370BB"/>
    <w:rsid w:val="00B413F3"/>
    <w:rsid w:val="00B47EF1"/>
    <w:rsid w:val="00B64363"/>
    <w:rsid w:val="00B7001D"/>
    <w:rsid w:val="00B93B28"/>
    <w:rsid w:val="00BB7463"/>
    <w:rsid w:val="00BE0810"/>
    <w:rsid w:val="00BE24FB"/>
    <w:rsid w:val="00BE6C7F"/>
    <w:rsid w:val="00C032E1"/>
    <w:rsid w:val="00C13548"/>
    <w:rsid w:val="00C15F32"/>
    <w:rsid w:val="00C23187"/>
    <w:rsid w:val="00C34C31"/>
    <w:rsid w:val="00C413C9"/>
    <w:rsid w:val="00C41BAC"/>
    <w:rsid w:val="00C534BF"/>
    <w:rsid w:val="00C67D73"/>
    <w:rsid w:val="00C8384E"/>
    <w:rsid w:val="00CA41C1"/>
    <w:rsid w:val="00CA6353"/>
    <w:rsid w:val="00CE1566"/>
    <w:rsid w:val="00CE7295"/>
    <w:rsid w:val="00CF614A"/>
    <w:rsid w:val="00CF6F8D"/>
    <w:rsid w:val="00D02AA9"/>
    <w:rsid w:val="00D06D95"/>
    <w:rsid w:val="00D07556"/>
    <w:rsid w:val="00D10545"/>
    <w:rsid w:val="00D13584"/>
    <w:rsid w:val="00D15F14"/>
    <w:rsid w:val="00D21069"/>
    <w:rsid w:val="00D229E9"/>
    <w:rsid w:val="00D3517C"/>
    <w:rsid w:val="00D353F6"/>
    <w:rsid w:val="00D35E81"/>
    <w:rsid w:val="00D40287"/>
    <w:rsid w:val="00D5358C"/>
    <w:rsid w:val="00D60F81"/>
    <w:rsid w:val="00D63B08"/>
    <w:rsid w:val="00D70438"/>
    <w:rsid w:val="00D77555"/>
    <w:rsid w:val="00D80C0C"/>
    <w:rsid w:val="00D82113"/>
    <w:rsid w:val="00DA1EFD"/>
    <w:rsid w:val="00DC1F35"/>
    <w:rsid w:val="00DC3F54"/>
    <w:rsid w:val="00DC7653"/>
    <w:rsid w:val="00DE36B6"/>
    <w:rsid w:val="00E02CCB"/>
    <w:rsid w:val="00E12379"/>
    <w:rsid w:val="00E14FDF"/>
    <w:rsid w:val="00E17A6E"/>
    <w:rsid w:val="00E240BB"/>
    <w:rsid w:val="00E3240F"/>
    <w:rsid w:val="00E32DA4"/>
    <w:rsid w:val="00E51A43"/>
    <w:rsid w:val="00E603CD"/>
    <w:rsid w:val="00E67378"/>
    <w:rsid w:val="00E67BC6"/>
    <w:rsid w:val="00E75C24"/>
    <w:rsid w:val="00E76D90"/>
    <w:rsid w:val="00E80C1C"/>
    <w:rsid w:val="00E86503"/>
    <w:rsid w:val="00E95CAA"/>
    <w:rsid w:val="00E96698"/>
    <w:rsid w:val="00EB00EA"/>
    <w:rsid w:val="00EB552E"/>
    <w:rsid w:val="00ED6340"/>
    <w:rsid w:val="00F03E2C"/>
    <w:rsid w:val="00F16677"/>
    <w:rsid w:val="00F21B87"/>
    <w:rsid w:val="00F22340"/>
    <w:rsid w:val="00F26497"/>
    <w:rsid w:val="00F32B2A"/>
    <w:rsid w:val="00F36E49"/>
    <w:rsid w:val="00F37FD0"/>
    <w:rsid w:val="00F60727"/>
    <w:rsid w:val="00F925A8"/>
    <w:rsid w:val="00F92D68"/>
    <w:rsid w:val="00F93104"/>
    <w:rsid w:val="00F96FEB"/>
    <w:rsid w:val="00FA24A8"/>
    <w:rsid w:val="00FB0BED"/>
    <w:rsid w:val="00FC1622"/>
    <w:rsid w:val="00FC21C4"/>
    <w:rsid w:val="00FC4400"/>
    <w:rsid w:val="00FC6888"/>
    <w:rsid w:val="00FD31A0"/>
    <w:rsid w:val="00FD3822"/>
    <w:rsid w:val="00FE5CA3"/>
    <w:rsid w:val="00FF3EE0"/>
    <w:rsid w:val="00FF61E5"/>
    <w:rsid w:val="00FF7DC2"/>
    <w:rsid w:val="0112377E"/>
    <w:rsid w:val="0172CFC6"/>
    <w:rsid w:val="01B6B4B1"/>
    <w:rsid w:val="01C6F4B8"/>
    <w:rsid w:val="023493D7"/>
    <w:rsid w:val="026FE532"/>
    <w:rsid w:val="02825BB0"/>
    <w:rsid w:val="031ED000"/>
    <w:rsid w:val="032F0901"/>
    <w:rsid w:val="03528512"/>
    <w:rsid w:val="035A7298"/>
    <w:rsid w:val="044ECBC5"/>
    <w:rsid w:val="048BB83D"/>
    <w:rsid w:val="0495568E"/>
    <w:rsid w:val="04C9B6D1"/>
    <w:rsid w:val="05100709"/>
    <w:rsid w:val="056BC55A"/>
    <w:rsid w:val="0594392B"/>
    <w:rsid w:val="059C13D7"/>
    <w:rsid w:val="05B413B6"/>
    <w:rsid w:val="05B44E5C"/>
    <w:rsid w:val="06101422"/>
    <w:rsid w:val="061B0412"/>
    <w:rsid w:val="06255107"/>
    <w:rsid w:val="0692135A"/>
    <w:rsid w:val="06AFA447"/>
    <w:rsid w:val="07167E45"/>
    <w:rsid w:val="0719B93D"/>
    <w:rsid w:val="07ED6DFF"/>
    <w:rsid w:val="08027A24"/>
    <w:rsid w:val="08C8427C"/>
    <w:rsid w:val="09856664"/>
    <w:rsid w:val="099E4A85"/>
    <w:rsid w:val="0A313007"/>
    <w:rsid w:val="0B1F6F66"/>
    <w:rsid w:val="0B9C66C8"/>
    <w:rsid w:val="0B9F27B1"/>
    <w:rsid w:val="0C1AE4C0"/>
    <w:rsid w:val="0C38318D"/>
    <w:rsid w:val="0D8EA873"/>
    <w:rsid w:val="0EBB4697"/>
    <w:rsid w:val="0F37E852"/>
    <w:rsid w:val="0F7D70E7"/>
    <w:rsid w:val="13AE3082"/>
    <w:rsid w:val="1410AE50"/>
    <w:rsid w:val="14434372"/>
    <w:rsid w:val="172CA20F"/>
    <w:rsid w:val="17A567DC"/>
    <w:rsid w:val="18968B3B"/>
    <w:rsid w:val="19002B00"/>
    <w:rsid w:val="1914719A"/>
    <w:rsid w:val="1926F49C"/>
    <w:rsid w:val="19A6AEDF"/>
    <w:rsid w:val="19DE12CD"/>
    <w:rsid w:val="1A1E9FA9"/>
    <w:rsid w:val="1B582C36"/>
    <w:rsid w:val="1B7BA847"/>
    <w:rsid w:val="1C5E955E"/>
    <w:rsid w:val="1CC4D261"/>
    <w:rsid w:val="1D051C9D"/>
    <w:rsid w:val="1DA613A5"/>
    <w:rsid w:val="1DB84E86"/>
    <w:rsid w:val="1EFE0297"/>
    <w:rsid w:val="1F58F62D"/>
    <w:rsid w:val="1F8B0AE3"/>
    <w:rsid w:val="202B9D59"/>
    <w:rsid w:val="20458880"/>
    <w:rsid w:val="220D76C4"/>
    <w:rsid w:val="22B6327D"/>
    <w:rsid w:val="23683649"/>
    <w:rsid w:val="23C589FD"/>
    <w:rsid w:val="246154C2"/>
    <w:rsid w:val="2649A13E"/>
    <w:rsid w:val="266DA3F2"/>
    <w:rsid w:val="2672613F"/>
    <w:rsid w:val="26735B5F"/>
    <w:rsid w:val="26A90935"/>
    <w:rsid w:val="26BD4CF7"/>
    <w:rsid w:val="26D47A69"/>
    <w:rsid w:val="26E8FA90"/>
    <w:rsid w:val="271E3D79"/>
    <w:rsid w:val="27F54F88"/>
    <w:rsid w:val="28097453"/>
    <w:rsid w:val="2819A1FF"/>
    <w:rsid w:val="281D606F"/>
    <w:rsid w:val="291DCFEC"/>
    <w:rsid w:val="29989720"/>
    <w:rsid w:val="29A00873"/>
    <w:rsid w:val="2A18A6BA"/>
    <w:rsid w:val="2A5CD89B"/>
    <w:rsid w:val="2B45D262"/>
    <w:rsid w:val="2B9623D2"/>
    <w:rsid w:val="2BC882F6"/>
    <w:rsid w:val="2C563FE9"/>
    <w:rsid w:val="2CD7A935"/>
    <w:rsid w:val="2D890740"/>
    <w:rsid w:val="2DEEDD59"/>
    <w:rsid w:val="2E08BF8B"/>
    <w:rsid w:val="2E45D128"/>
    <w:rsid w:val="2E86162E"/>
    <w:rsid w:val="2EED52C8"/>
    <w:rsid w:val="2EF92B72"/>
    <w:rsid w:val="2F55FD0F"/>
    <w:rsid w:val="2FE1A189"/>
    <w:rsid w:val="300F49F7"/>
    <w:rsid w:val="30B97D83"/>
    <w:rsid w:val="317D71EA"/>
    <w:rsid w:val="31A57B78"/>
    <w:rsid w:val="31AF610F"/>
    <w:rsid w:val="31B92052"/>
    <w:rsid w:val="3216A922"/>
    <w:rsid w:val="32DBA82B"/>
    <w:rsid w:val="3319424B"/>
    <w:rsid w:val="335420E5"/>
    <w:rsid w:val="3370E946"/>
    <w:rsid w:val="343393A1"/>
    <w:rsid w:val="343AB6DE"/>
    <w:rsid w:val="346E9036"/>
    <w:rsid w:val="34806351"/>
    <w:rsid w:val="34B161A4"/>
    <w:rsid w:val="34CECEFE"/>
    <w:rsid w:val="34E2BB1A"/>
    <w:rsid w:val="350CB9A7"/>
    <w:rsid w:val="35833BEC"/>
    <w:rsid w:val="36A88A08"/>
    <w:rsid w:val="36EDE383"/>
    <w:rsid w:val="370BC964"/>
    <w:rsid w:val="376B3463"/>
    <w:rsid w:val="37B80413"/>
    <w:rsid w:val="37EDE91F"/>
    <w:rsid w:val="381A5BDC"/>
    <w:rsid w:val="38224962"/>
    <w:rsid w:val="38445A69"/>
    <w:rsid w:val="390704C4"/>
    <w:rsid w:val="394AE9AF"/>
    <w:rsid w:val="3953D474"/>
    <w:rsid w:val="39BE19C3"/>
    <w:rsid w:val="39D79258"/>
    <w:rsid w:val="39E02ACA"/>
    <w:rsid w:val="3AA2D525"/>
    <w:rsid w:val="3AD57F39"/>
    <w:rsid w:val="3B0BA69A"/>
    <w:rsid w:val="3B2589E1"/>
    <w:rsid w:val="3BEF5062"/>
    <w:rsid w:val="3CDC2E90"/>
    <w:rsid w:val="3D002352"/>
    <w:rsid w:val="3D17CB8C"/>
    <w:rsid w:val="3D725FC8"/>
    <w:rsid w:val="3E5D2AA3"/>
    <w:rsid w:val="3E899D60"/>
    <w:rsid w:val="3EB39BED"/>
    <w:rsid w:val="3FF59D78"/>
    <w:rsid w:val="40C70095"/>
    <w:rsid w:val="40FC0A84"/>
    <w:rsid w:val="412740E1"/>
    <w:rsid w:val="41C13E22"/>
    <w:rsid w:val="41C3B531"/>
    <w:rsid w:val="42E34B54"/>
    <w:rsid w:val="4364FC09"/>
    <w:rsid w:val="43CC668B"/>
    <w:rsid w:val="43EC6A9E"/>
    <w:rsid w:val="4440F908"/>
    <w:rsid w:val="457876F3"/>
    <w:rsid w:val="45AE21C3"/>
    <w:rsid w:val="46E15B1F"/>
    <w:rsid w:val="478DD745"/>
    <w:rsid w:val="47B3710B"/>
    <w:rsid w:val="48BA22E5"/>
    <w:rsid w:val="49FBA4AA"/>
    <w:rsid w:val="4A83D8E3"/>
    <w:rsid w:val="4AE17915"/>
    <w:rsid w:val="4AFBE30A"/>
    <w:rsid w:val="4B030647"/>
    <w:rsid w:val="4B594246"/>
    <w:rsid w:val="4B700DEE"/>
    <w:rsid w:val="4C001755"/>
    <w:rsid w:val="4C8192F0"/>
    <w:rsid w:val="4E3AA709"/>
    <w:rsid w:val="4E67E2C0"/>
    <w:rsid w:val="4E71EDA7"/>
    <w:rsid w:val="4EE584CD"/>
    <w:rsid w:val="4F666FA4"/>
    <w:rsid w:val="4F824946"/>
    <w:rsid w:val="4FD6776A"/>
    <w:rsid w:val="51493AC5"/>
    <w:rsid w:val="517CF7A9"/>
    <w:rsid w:val="51A65E46"/>
    <w:rsid w:val="51B3DE24"/>
    <w:rsid w:val="520FF8C8"/>
    <w:rsid w:val="52CAB67E"/>
    <w:rsid w:val="53C40672"/>
    <w:rsid w:val="5446D1DF"/>
    <w:rsid w:val="5455BA69"/>
    <w:rsid w:val="55F18ACA"/>
    <w:rsid w:val="5621F12F"/>
    <w:rsid w:val="579754B9"/>
    <w:rsid w:val="584E90F6"/>
    <w:rsid w:val="592E9C2B"/>
    <w:rsid w:val="5A1607FE"/>
    <w:rsid w:val="5ACEF57B"/>
    <w:rsid w:val="5B1E0E9C"/>
    <w:rsid w:val="5B276F90"/>
    <w:rsid w:val="5B79BA77"/>
    <w:rsid w:val="5BD1BA6E"/>
    <w:rsid w:val="5BE5CDE8"/>
    <w:rsid w:val="5C6AC5DC"/>
    <w:rsid w:val="5CE19EB1"/>
    <w:rsid w:val="5CE5E060"/>
    <w:rsid w:val="5DA89320"/>
    <w:rsid w:val="5DEBDA09"/>
    <w:rsid w:val="5E2FF014"/>
    <w:rsid w:val="5E9C0385"/>
    <w:rsid w:val="5EE94597"/>
    <w:rsid w:val="5F517644"/>
    <w:rsid w:val="5F986D10"/>
    <w:rsid w:val="6005DC12"/>
    <w:rsid w:val="6063AF79"/>
    <w:rsid w:val="608515F8"/>
    <w:rsid w:val="615C1EB9"/>
    <w:rsid w:val="624F731A"/>
    <w:rsid w:val="62C2F2BA"/>
    <w:rsid w:val="63BCB6BA"/>
    <w:rsid w:val="6409866A"/>
    <w:rsid w:val="64250D68"/>
    <w:rsid w:val="643E35C5"/>
    <w:rsid w:val="646279A1"/>
    <w:rsid w:val="64EE866F"/>
    <w:rsid w:val="6532588F"/>
    <w:rsid w:val="65C214C9"/>
    <w:rsid w:val="66C889F3"/>
    <w:rsid w:val="67A37EF5"/>
    <w:rsid w:val="67B5D548"/>
    <w:rsid w:val="67BF2BF8"/>
    <w:rsid w:val="68DCF78D"/>
    <w:rsid w:val="69274DCB"/>
    <w:rsid w:val="6951A5A9"/>
    <w:rsid w:val="6960B571"/>
    <w:rsid w:val="69C41235"/>
    <w:rsid w:val="69D2B69D"/>
    <w:rsid w:val="69E3CA45"/>
    <w:rsid w:val="6A9585EC"/>
    <w:rsid w:val="6ADB1FB7"/>
    <w:rsid w:val="6B5797C9"/>
    <w:rsid w:val="6B5FE296"/>
    <w:rsid w:val="6B61DB03"/>
    <w:rsid w:val="6B78737B"/>
    <w:rsid w:val="6BCF091C"/>
    <w:rsid w:val="6C31564D"/>
    <w:rsid w:val="6C38536F"/>
    <w:rsid w:val="6CC95685"/>
    <w:rsid w:val="6D8C9075"/>
    <w:rsid w:val="6D9237F9"/>
    <w:rsid w:val="6DC18AB9"/>
    <w:rsid w:val="6E12C079"/>
    <w:rsid w:val="6E73C0AE"/>
    <w:rsid w:val="6E974A1F"/>
    <w:rsid w:val="6F2A25EF"/>
    <w:rsid w:val="70331A80"/>
    <w:rsid w:val="70486D96"/>
    <w:rsid w:val="705E0583"/>
    <w:rsid w:val="708D6E1A"/>
    <w:rsid w:val="70C43137"/>
    <w:rsid w:val="70C5F650"/>
    <w:rsid w:val="70FB77D5"/>
    <w:rsid w:val="712FA669"/>
    <w:rsid w:val="71DA57EC"/>
    <w:rsid w:val="7285FFF2"/>
    <w:rsid w:val="72E95B8E"/>
    <w:rsid w:val="73F8CE5D"/>
    <w:rsid w:val="740363DB"/>
    <w:rsid w:val="74D831A8"/>
    <w:rsid w:val="75136D50"/>
    <w:rsid w:val="753F3BD6"/>
    <w:rsid w:val="778A2730"/>
    <w:rsid w:val="780FD26A"/>
    <w:rsid w:val="7866E432"/>
    <w:rsid w:val="78EF96A6"/>
    <w:rsid w:val="79711241"/>
    <w:rsid w:val="7996BFB2"/>
    <w:rsid w:val="79ABA2CB"/>
    <w:rsid w:val="79D50B2F"/>
    <w:rsid w:val="7A20DEE7"/>
    <w:rsid w:val="7ADCC3CB"/>
    <w:rsid w:val="7B963D8B"/>
    <w:rsid w:val="7B9E35A9"/>
    <w:rsid w:val="7BA4E9D7"/>
    <w:rsid w:val="7C19CD22"/>
    <w:rsid w:val="7C935B4F"/>
    <w:rsid w:val="7D9ABD1C"/>
    <w:rsid w:val="7E2521D8"/>
    <w:rsid w:val="7E3B2F03"/>
    <w:rsid w:val="7E7F13EE"/>
    <w:rsid w:val="7F83EC95"/>
    <w:rsid w:val="7F967D9A"/>
    <w:rsid w:val="7FD6FF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BDA09"/>
  <w15:chartTrackingRefBased/>
  <w15:docId w15:val="{9FE3EA55-7FCB-45EA-8207-536DDE68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FF7DC2"/>
    <w:rPr>
      <w:color w:val="605E5C"/>
      <w:shd w:val="clear" w:color="auto" w:fill="E1DFDD"/>
    </w:rPr>
  </w:style>
  <w:style w:type="character" w:styleId="FollowedHyperlink">
    <w:name w:val="FollowedHyperlink"/>
    <w:basedOn w:val="DefaultParagraphFont"/>
    <w:uiPriority w:val="99"/>
    <w:semiHidden/>
    <w:unhideWhenUsed/>
    <w:rsid w:val="00681525"/>
    <w:rPr>
      <w:color w:val="96607D" w:themeColor="followedHyperlink"/>
      <w:u w:val="single"/>
    </w:rPr>
  </w:style>
  <w:style w:type="character" w:styleId="CommentReference">
    <w:name w:val="annotation reference"/>
    <w:basedOn w:val="DefaultParagraphFont"/>
    <w:uiPriority w:val="99"/>
    <w:semiHidden/>
    <w:unhideWhenUsed/>
    <w:rsid w:val="00D70438"/>
    <w:rPr>
      <w:sz w:val="16"/>
      <w:szCs w:val="16"/>
    </w:rPr>
  </w:style>
  <w:style w:type="paragraph" w:styleId="CommentText">
    <w:name w:val="annotation text"/>
    <w:basedOn w:val="Normal"/>
    <w:link w:val="CommentTextChar"/>
    <w:uiPriority w:val="99"/>
    <w:unhideWhenUsed/>
    <w:rsid w:val="00D70438"/>
    <w:pPr>
      <w:spacing w:line="240" w:lineRule="auto"/>
    </w:pPr>
    <w:rPr>
      <w:sz w:val="20"/>
      <w:szCs w:val="20"/>
    </w:rPr>
  </w:style>
  <w:style w:type="character" w:customStyle="1" w:styleId="CommentTextChar">
    <w:name w:val="Comment Text Char"/>
    <w:basedOn w:val="DefaultParagraphFont"/>
    <w:link w:val="CommentText"/>
    <w:uiPriority w:val="99"/>
    <w:rsid w:val="00D70438"/>
    <w:rPr>
      <w:sz w:val="20"/>
      <w:szCs w:val="20"/>
    </w:rPr>
  </w:style>
  <w:style w:type="paragraph" w:styleId="CommentSubject">
    <w:name w:val="annotation subject"/>
    <w:basedOn w:val="CommentText"/>
    <w:next w:val="CommentText"/>
    <w:link w:val="CommentSubjectChar"/>
    <w:uiPriority w:val="99"/>
    <w:semiHidden/>
    <w:unhideWhenUsed/>
    <w:rsid w:val="00D70438"/>
    <w:rPr>
      <w:b/>
      <w:bCs/>
    </w:rPr>
  </w:style>
  <w:style w:type="character" w:customStyle="1" w:styleId="CommentSubjectChar">
    <w:name w:val="Comment Subject Char"/>
    <w:basedOn w:val="CommentTextChar"/>
    <w:link w:val="CommentSubject"/>
    <w:uiPriority w:val="99"/>
    <w:semiHidden/>
    <w:rsid w:val="00D70438"/>
    <w:rPr>
      <w:b/>
      <w:bCs/>
      <w:sz w:val="20"/>
      <w:szCs w:val="20"/>
    </w:rPr>
  </w:style>
  <w:style w:type="paragraph" w:styleId="FootnoteText">
    <w:name w:val="footnote text"/>
    <w:basedOn w:val="Normal"/>
    <w:link w:val="FootnoteTextChar"/>
    <w:uiPriority w:val="99"/>
    <w:semiHidden/>
    <w:unhideWhenUsed/>
    <w:rsid w:val="00D535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358C"/>
    <w:rPr>
      <w:sz w:val="20"/>
      <w:szCs w:val="20"/>
    </w:rPr>
  </w:style>
  <w:style w:type="character" w:styleId="FootnoteReference">
    <w:name w:val="footnote reference"/>
    <w:basedOn w:val="DefaultParagraphFont"/>
    <w:uiPriority w:val="99"/>
    <w:semiHidden/>
    <w:unhideWhenUsed/>
    <w:rsid w:val="00D5358C"/>
    <w:rPr>
      <w:vertAlign w:val="superscript"/>
    </w:rPr>
  </w:style>
  <w:style w:type="character" w:styleId="Mention">
    <w:name w:val="Mention"/>
    <w:basedOn w:val="DefaultParagraphFont"/>
    <w:uiPriority w:val="99"/>
    <w:unhideWhenUsed/>
    <w:rsid w:val="000E51EE"/>
    <w:rPr>
      <w:color w:val="2B579A"/>
      <w:shd w:val="clear" w:color="auto" w:fill="E1DFDD"/>
    </w:rPr>
  </w:style>
  <w:style w:type="paragraph" w:styleId="Revision">
    <w:name w:val="Revision"/>
    <w:hidden/>
    <w:uiPriority w:val="99"/>
    <w:semiHidden/>
    <w:rsid w:val="0051767F"/>
    <w:pPr>
      <w:spacing w:after="0" w:line="240" w:lineRule="auto"/>
    </w:pPr>
  </w:style>
  <w:style w:type="paragraph" w:styleId="Header">
    <w:name w:val="header"/>
    <w:basedOn w:val="Normal"/>
    <w:link w:val="HeaderChar"/>
    <w:uiPriority w:val="99"/>
    <w:unhideWhenUsed/>
    <w:rsid w:val="008A2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2FC9"/>
  </w:style>
  <w:style w:type="paragraph" w:styleId="Footer">
    <w:name w:val="footer"/>
    <w:basedOn w:val="Normal"/>
    <w:link w:val="FooterChar"/>
    <w:uiPriority w:val="99"/>
    <w:unhideWhenUsed/>
    <w:rsid w:val="008A2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2FC9"/>
  </w:style>
  <w:style w:type="character" w:customStyle="1" w:styleId="cf01">
    <w:name w:val="cf01"/>
    <w:basedOn w:val="DefaultParagraphFont"/>
    <w:rsid w:val="008550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747858">
      <w:bodyDiv w:val="1"/>
      <w:marLeft w:val="0"/>
      <w:marRight w:val="0"/>
      <w:marTop w:val="0"/>
      <w:marBottom w:val="0"/>
      <w:divBdr>
        <w:top w:val="none" w:sz="0" w:space="0" w:color="auto"/>
        <w:left w:val="none" w:sz="0" w:space="0" w:color="auto"/>
        <w:bottom w:val="none" w:sz="0" w:space="0" w:color="auto"/>
        <w:right w:val="none" w:sz="0" w:space="0" w:color="auto"/>
      </w:divBdr>
    </w:div>
    <w:div w:id="1521705142">
      <w:bodyDiv w:val="1"/>
      <w:marLeft w:val="0"/>
      <w:marRight w:val="0"/>
      <w:marTop w:val="0"/>
      <w:marBottom w:val="0"/>
      <w:divBdr>
        <w:top w:val="none" w:sz="0" w:space="0" w:color="auto"/>
        <w:left w:val="none" w:sz="0" w:space="0" w:color="auto"/>
        <w:bottom w:val="none" w:sz="0" w:space="0" w:color="auto"/>
        <w:right w:val="none" w:sz="0" w:space="0" w:color="auto"/>
      </w:divBdr>
    </w:div>
    <w:div w:id="198300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hydrogeninsight.com/policy/unambiguous-a-total-of-54-independent-studies-now-say-there-will-be-no-significant-role-for-hydrogen-in-heating/2-1-1571646" TargetMode="External"/><Relationship Id="rId2" Type="http://schemas.openxmlformats.org/officeDocument/2006/relationships/hyperlink" Target="https://www.e3g.org/publications/the-case-against-hydrogen-blending-a-costly-distraction/" TargetMode="External"/><Relationship Id="rId1" Type="http://schemas.openxmlformats.org/officeDocument/2006/relationships/hyperlink" Target="https://www.energylivenews.com/2023/11/27/uk-energy-minister-hydrogen-will-have-limited-role-in-home-heating/" TargetMode="External"/><Relationship Id="rId6" Type="http://schemas.openxmlformats.org/officeDocument/2006/relationships/hyperlink" Target="https://b80d7a04-1c28-45e2-b904-e0715cface93.filesusr.com/ugd/252d09_54035c0c27684afca52c7634709b86ec.pdf" TargetMode="External"/><Relationship Id="rId5" Type="http://schemas.openxmlformats.org/officeDocument/2006/relationships/hyperlink" Target="https://www.theccc.org.uk/wp-content/uploads/2018/11/Hydrogen-in-a-low-carbon-economy.pdf" TargetMode="External"/><Relationship Id="rId4" Type="http://schemas.openxmlformats.org/officeDocument/2006/relationships/hyperlink" Target="https://www.energylivenews.com/2023/11/27/uk-energy-minister-hydrogen-will-have-limited-role-in-home-h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SharedWithUsers xmlns="f35b5cbd-7b0b-4440-92cd-b510cab4ec67">
      <UserInfo>
        <DisplayName>Vilislava Ivanova</DisplayName>
        <AccountId>144</AccountId>
        <AccountType/>
      </UserInfo>
      <UserInfo>
        <DisplayName>Raphael Hanoteaux</DisplayName>
        <AccountId>117</AccountId>
        <AccountType/>
      </UserInfo>
      <UserInfo>
        <DisplayName>Chris Galpin</DisplayName>
        <AccountId>4084</AccountId>
        <AccountType/>
      </UserInfo>
      <UserInfo>
        <DisplayName>Simon Skillings</DisplayName>
        <AccountId>62</AccountId>
        <AccountType/>
      </UserInfo>
      <UserInfo>
        <DisplayName>Rheanna Johnston</DisplayName>
        <AccountId>2125</AccountId>
        <AccountType/>
      </UserInfo>
      <UserInfo>
        <DisplayName>Leo Vincent</DisplayName>
        <AccountId>2191</AccountId>
        <AccountType/>
      </UserInfo>
      <UserInfo>
        <DisplayName>Susanna Elks</DisplayName>
        <AccountId>3634</AccountId>
        <AccountType/>
      </UserInfo>
      <UserInfo>
        <DisplayName>Juliet Phillips</DisplayName>
        <AccountId>52</AccountId>
        <AccountType/>
      </UserInfo>
      <UserInfo>
        <DisplayName>Laith Whitwham</DisplayName>
        <AccountId>3872</AccountId>
        <AccountType/>
      </UserInfo>
    </SharedWithUsers>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documentManagement>
</p:properti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B6B15-87A5-4684-8680-9E38B9F63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F9194A-86C5-4E3C-ACBA-7E3AE146E84E}">
  <ds:schemaRefs>
    <ds:schemaRef ds:uri="http://schemas.microsoft.com/office/2006/metadata/properties"/>
    <ds:schemaRef ds:uri="http://schemas.microsoft.com/office/infopath/2007/PartnerControls"/>
    <ds:schemaRef ds:uri="f35b5cbd-7b0b-4440-92cd-b510cab4ec67"/>
    <ds:schemaRef ds:uri="978a1c12-3ab7-471e-b134-e7ba3975f64f"/>
    <ds:schemaRef ds:uri="http://schemas.microsoft.com/sharepoint/v3"/>
  </ds:schemaRefs>
</ds:datastoreItem>
</file>

<file path=customXml/itemProps3.xml><?xml version="1.0" encoding="utf-8"?>
<ds:datastoreItem xmlns:ds="http://schemas.openxmlformats.org/officeDocument/2006/customXml" ds:itemID="{28A45AB8-327F-43B3-8342-1873B7226AC7}">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BC7380CA-3781-47B2-BC58-BFA670FF0DE0}">
  <ds:schemaRefs>
    <ds:schemaRef ds:uri="http://schemas.microsoft.com/sharepoint/v3/contenttype/forms"/>
  </ds:schemaRefs>
</ds:datastoreItem>
</file>

<file path=customXml/itemProps5.xml><?xml version="1.0" encoding="utf-8"?>
<ds:datastoreItem xmlns:ds="http://schemas.openxmlformats.org/officeDocument/2006/customXml" ds:itemID="{AC45F3F3-3B8A-43B3-89CB-72D4D13BB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2033</Words>
  <Characters>11594</Characters>
  <Application>Microsoft Office Word</Application>
  <DocSecurity>4</DocSecurity>
  <Lines>96</Lines>
  <Paragraphs>27</Paragraphs>
  <ScaleCrop>false</ScaleCrop>
  <Company/>
  <LinksUpToDate>false</LinksUpToDate>
  <CharactersWithSpaces>13600</CharactersWithSpaces>
  <SharedDoc>false</SharedDoc>
  <HLinks>
    <vt:vector size="36" baseType="variant">
      <vt:variant>
        <vt:i4>4653109</vt:i4>
      </vt:variant>
      <vt:variant>
        <vt:i4>15</vt:i4>
      </vt:variant>
      <vt:variant>
        <vt:i4>0</vt:i4>
      </vt:variant>
      <vt:variant>
        <vt:i4>5</vt:i4>
      </vt:variant>
      <vt:variant>
        <vt:lpwstr>https://b80d7a04-1c28-45e2-b904-e0715cface93.filesusr.com/ugd/252d09_54035c0c27684afca52c7634709b86ec.pdf</vt:lpwstr>
      </vt:variant>
      <vt:variant>
        <vt:lpwstr/>
      </vt:variant>
      <vt:variant>
        <vt:i4>5111873</vt:i4>
      </vt:variant>
      <vt:variant>
        <vt:i4>12</vt:i4>
      </vt:variant>
      <vt:variant>
        <vt:i4>0</vt:i4>
      </vt:variant>
      <vt:variant>
        <vt:i4>5</vt:i4>
      </vt:variant>
      <vt:variant>
        <vt:lpwstr>https://www.theccc.org.uk/wp-content/uploads/2018/11/Hydrogen-in-a-low-carbon-economy.pdf</vt:lpwstr>
      </vt:variant>
      <vt:variant>
        <vt:lpwstr/>
      </vt:variant>
      <vt:variant>
        <vt:i4>720974</vt:i4>
      </vt:variant>
      <vt:variant>
        <vt:i4>9</vt:i4>
      </vt:variant>
      <vt:variant>
        <vt:i4>0</vt:i4>
      </vt:variant>
      <vt:variant>
        <vt:i4>5</vt:i4>
      </vt:variant>
      <vt:variant>
        <vt:lpwstr>https://www.energylivenews.com/2023/11/27/uk-energy-minister-hydrogen-will-have-limited-role-in-home-heating/</vt:lpwstr>
      </vt:variant>
      <vt:variant>
        <vt:lpwstr/>
      </vt:variant>
      <vt:variant>
        <vt:i4>3342461</vt:i4>
      </vt:variant>
      <vt:variant>
        <vt:i4>6</vt:i4>
      </vt:variant>
      <vt:variant>
        <vt:i4>0</vt:i4>
      </vt:variant>
      <vt:variant>
        <vt:i4>5</vt:i4>
      </vt:variant>
      <vt:variant>
        <vt:lpwstr>https://www.hydrogeninsight.com/policy/unambiguous-a-total-of-54-independent-studies-now-say-there-will-be-no-significant-role-for-hydrogen-in-heating/2-1-1571646</vt:lpwstr>
      </vt:variant>
      <vt:variant>
        <vt:lpwstr/>
      </vt:variant>
      <vt:variant>
        <vt:i4>655443</vt:i4>
      </vt:variant>
      <vt:variant>
        <vt:i4>3</vt:i4>
      </vt:variant>
      <vt:variant>
        <vt:i4>0</vt:i4>
      </vt:variant>
      <vt:variant>
        <vt:i4>5</vt:i4>
      </vt:variant>
      <vt:variant>
        <vt:lpwstr>https://www.e3g.org/publications/the-case-against-hydrogen-blending-a-costly-distraction/</vt:lpwstr>
      </vt:variant>
      <vt:variant>
        <vt:lpwstr/>
      </vt:variant>
      <vt:variant>
        <vt:i4>720974</vt:i4>
      </vt:variant>
      <vt:variant>
        <vt:i4>0</vt:i4>
      </vt:variant>
      <vt:variant>
        <vt:i4>0</vt:i4>
      </vt:variant>
      <vt:variant>
        <vt:i4>5</vt:i4>
      </vt:variant>
      <vt:variant>
        <vt:lpwstr>https://www.energylivenews.com/2023/11/27/uk-energy-minister-hydrogen-will-have-limited-role-in-home-heating/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Galpin</dc:creator>
  <cp:keywords/>
  <dc:description/>
  <cp:lastModifiedBy>Madeleine Harris</cp:lastModifiedBy>
  <cp:revision>308</cp:revision>
  <dcterms:created xsi:type="dcterms:W3CDTF">2024-03-09T11:10:00Z</dcterms:created>
  <dcterms:modified xsi:type="dcterms:W3CDTF">2024-03-26T16:14:00Z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2024-03-08T11:10:33Z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ed603a98-c01b-413f-8745-9a19ce435751</vt:lpwstr>
  </property>
  <property fmtid="{D5CDD505-2E9C-101B-9397-08002B2CF9AE}" pid="13" name="MSIP_Label_38144ccb-b10a-4c0f-b070-7a3b00ac7463_ContentBits">
    <vt:lpwstr>2</vt:lpwstr>
  </property>
  <property fmtid="{D5CDD505-2E9C-101B-9397-08002B2CF9AE}" pid="14" name="docIndexRef">
    <vt:lpwstr>cf93b5f3-bd90-4f74-be5d-dc94333df98f</vt:lpwstr>
  </property>
  <property fmtid="{D5CDD505-2E9C-101B-9397-08002B2CF9AE}" pid="15" name="bjSaver">
    <vt:lpwstr>9cKiw4Eeq8Pfe52wpppO64abf77Z0YWc</vt:lpwstr>
  </property>
  <property fmtid="{D5CDD505-2E9C-101B-9397-08002B2CF9AE}" pid="16" name="bjDocumentSecurityLabel">
    <vt:lpwstr>This item has no classification</vt:lpwstr>
  </property>
  <property fmtid="{D5CDD505-2E9C-101B-9397-08002B2CF9AE}" pid="17" name="bjClsUserRVM">
    <vt:lpwstr>[]</vt:lpwstr>
  </property>
</Properties>
</file>