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D920A" w14:textId="0CDFDFF0" w:rsidR="001B50B4" w:rsidRPr="00063682" w:rsidRDefault="001B50B4" w:rsidP="0085084A">
      <w:pPr>
        <w:pStyle w:val="NoSpacing"/>
        <w:jc w:val="both"/>
        <w:rPr>
          <w:lang w:val="en-GB"/>
        </w:rPr>
      </w:pPr>
    </w:p>
    <w:p w14:paraId="596F5AB8" w14:textId="77777777" w:rsidR="001124EC" w:rsidRPr="00063682" w:rsidRDefault="001124EC" w:rsidP="0085084A">
      <w:pPr>
        <w:pStyle w:val="NoSpacing"/>
        <w:jc w:val="both"/>
        <w:rPr>
          <w:b/>
          <w:bCs/>
          <w:sz w:val="24"/>
          <w:szCs w:val="24"/>
          <w:lang w:val="en-GB"/>
        </w:rPr>
      </w:pPr>
      <w:r w:rsidRPr="00063682">
        <w:rPr>
          <w:b/>
          <w:bCs/>
          <w:sz w:val="24"/>
          <w:szCs w:val="24"/>
          <w:lang w:val="en-GB"/>
        </w:rPr>
        <w:t xml:space="preserve">About the </w:t>
      </w:r>
      <w:proofErr w:type="spellStart"/>
      <w:r w:rsidRPr="00063682">
        <w:rPr>
          <w:b/>
          <w:bCs/>
          <w:sz w:val="24"/>
          <w:szCs w:val="24"/>
          <w:lang w:val="en-GB"/>
        </w:rPr>
        <w:t>Supergen</w:t>
      </w:r>
      <w:proofErr w:type="spellEnd"/>
      <w:r w:rsidRPr="00063682">
        <w:rPr>
          <w:b/>
          <w:bCs/>
          <w:sz w:val="24"/>
          <w:szCs w:val="24"/>
          <w:lang w:val="en-GB"/>
        </w:rPr>
        <w:t xml:space="preserve"> Energy Networks Hub</w:t>
      </w:r>
      <w:r w:rsidR="001B50B4" w:rsidRPr="00063682">
        <w:rPr>
          <w:b/>
          <w:bCs/>
          <w:sz w:val="24"/>
          <w:szCs w:val="24"/>
          <w:lang w:val="en-GB"/>
        </w:rPr>
        <w:t xml:space="preserve"> </w:t>
      </w:r>
    </w:p>
    <w:p w14:paraId="3A51CC85" w14:textId="77777777" w:rsidR="00CE3A8C" w:rsidRPr="00063682" w:rsidRDefault="00CE3A8C" w:rsidP="0085084A">
      <w:pPr>
        <w:pStyle w:val="NoSpacing"/>
        <w:jc w:val="both"/>
        <w:rPr>
          <w:b/>
          <w:bCs/>
          <w:lang w:val="en-GB"/>
        </w:rPr>
      </w:pPr>
    </w:p>
    <w:p w14:paraId="4AD8B34C" w14:textId="703193D8" w:rsidR="001124EC" w:rsidRPr="00063682" w:rsidRDefault="00CE3A8C" w:rsidP="0085084A">
      <w:pPr>
        <w:pStyle w:val="NoSpacing"/>
        <w:jc w:val="both"/>
        <w:rPr>
          <w:lang w:val="en-GB"/>
        </w:rPr>
      </w:pPr>
      <w:r w:rsidRPr="00063682">
        <w:rPr>
          <w:lang w:val="en-GB"/>
        </w:rPr>
        <w:t xml:space="preserve">The </w:t>
      </w:r>
      <w:proofErr w:type="spellStart"/>
      <w:r w:rsidRPr="00063682">
        <w:rPr>
          <w:lang w:val="en-GB"/>
        </w:rPr>
        <w:t>Supergen</w:t>
      </w:r>
      <w:proofErr w:type="spellEnd"/>
      <w:r w:rsidRPr="00063682">
        <w:rPr>
          <w:lang w:val="en-GB"/>
        </w:rPr>
        <w:t xml:space="preserve"> Energy Networks Hub (SEN) is a £9M research project funded by the Engineering and Physical Sciences Research Council (EPSRC).  The hub – led by Professor Phil Taylor (University of Bristol) – brings together collaborative teams from Industry, Academia, Government and Civil Society to carry out highly impactful, interdisciplinary research, to enable energy networks to become a driving force towards a rapid, safe and just transition to net zero. The project takes a mission-based approach to deliver impactful energy networks research. One core work package of the project is focused on Risk and Resilience, led by </w:t>
      </w:r>
      <w:proofErr w:type="spellStart"/>
      <w:r w:rsidRPr="00063682">
        <w:rPr>
          <w:lang w:val="en-GB"/>
        </w:rPr>
        <w:t>Dr.</w:t>
      </w:r>
      <w:proofErr w:type="spellEnd"/>
      <w:r w:rsidRPr="00063682">
        <w:rPr>
          <w:lang w:val="en-GB"/>
        </w:rPr>
        <w:t xml:space="preserve"> Robin Preece (The University of Manchester). We have focused on responding to questions related to this area. The production of this response has been led by </w:t>
      </w:r>
      <w:proofErr w:type="spellStart"/>
      <w:r w:rsidRPr="00063682">
        <w:rPr>
          <w:lang w:val="en-GB"/>
        </w:rPr>
        <w:t>Dr.</w:t>
      </w:r>
      <w:proofErr w:type="spellEnd"/>
      <w:r w:rsidRPr="00063682">
        <w:rPr>
          <w:lang w:val="en-GB"/>
        </w:rPr>
        <w:t xml:space="preserve"> Laiz Souto de Carvalho (University of Bristol) with contributions from members of this work package – specifically </w:t>
      </w:r>
      <w:proofErr w:type="spellStart"/>
      <w:r w:rsidRPr="00063682">
        <w:rPr>
          <w:lang w:val="en-GB"/>
        </w:rPr>
        <w:t>Dr.</w:t>
      </w:r>
      <w:proofErr w:type="spellEnd"/>
      <w:r w:rsidRPr="00063682">
        <w:rPr>
          <w:lang w:val="en-GB"/>
        </w:rPr>
        <w:t xml:space="preserve"> Robin Preece (The University of Manchester) and </w:t>
      </w:r>
      <w:proofErr w:type="spellStart"/>
      <w:r w:rsidRPr="00063682">
        <w:rPr>
          <w:lang w:val="en-GB"/>
        </w:rPr>
        <w:t>Dr.</w:t>
      </w:r>
      <w:proofErr w:type="spellEnd"/>
      <w:r w:rsidRPr="00063682">
        <w:rPr>
          <w:lang w:val="en-GB"/>
        </w:rPr>
        <w:t xml:space="preserve"> Natalia </w:t>
      </w:r>
      <w:proofErr w:type="spellStart"/>
      <w:r w:rsidRPr="00063682">
        <w:rPr>
          <w:lang w:val="en-GB"/>
        </w:rPr>
        <w:t>Zografou</w:t>
      </w:r>
      <w:proofErr w:type="spellEnd"/>
      <w:r w:rsidRPr="00063682">
        <w:rPr>
          <w:lang w:val="en-GB"/>
        </w:rPr>
        <w:t>-Barredo (Newcastle University). The SEN Hub Risk and Resilience work package team members are happy to answer any questions and to contribute to future working groups as and when necessary.</w:t>
      </w:r>
    </w:p>
    <w:p w14:paraId="7FE886F9" w14:textId="77777777" w:rsidR="005F3141" w:rsidRPr="00063682" w:rsidRDefault="005F3141" w:rsidP="0085084A">
      <w:pPr>
        <w:pStyle w:val="NoSpacing"/>
        <w:jc w:val="both"/>
        <w:rPr>
          <w:lang w:val="en-GB"/>
        </w:rPr>
      </w:pPr>
    </w:p>
    <w:p w14:paraId="3CD38B0C" w14:textId="77777777" w:rsidR="00CB48F3" w:rsidRPr="00063682" w:rsidRDefault="00CB48F3" w:rsidP="0085084A">
      <w:pPr>
        <w:pStyle w:val="NoSpacing"/>
        <w:jc w:val="both"/>
        <w:rPr>
          <w:b/>
          <w:bCs/>
          <w:sz w:val="24"/>
          <w:szCs w:val="24"/>
          <w:lang w:val="en-GB"/>
        </w:rPr>
      </w:pPr>
      <w:r w:rsidRPr="00063682">
        <w:rPr>
          <w:b/>
          <w:bCs/>
          <w:sz w:val="24"/>
          <w:szCs w:val="24"/>
          <w:lang w:val="en-GB"/>
        </w:rPr>
        <w:t>Our answers</w:t>
      </w:r>
    </w:p>
    <w:p w14:paraId="3DB40A60" w14:textId="77777777" w:rsidR="00CB48F3" w:rsidRPr="00063682" w:rsidRDefault="00CB48F3" w:rsidP="0085084A">
      <w:pPr>
        <w:pStyle w:val="NoSpacing"/>
        <w:jc w:val="both"/>
        <w:rPr>
          <w:b/>
          <w:bCs/>
          <w:lang w:val="en-GB"/>
        </w:rPr>
      </w:pPr>
    </w:p>
    <w:p w14:paraId="5416F43E" w14:textId="1A8A10D2" w:rsidR="00BA4237" w:rsidRPr="00063682" w:rsidRDefault="00BA4237" w:rsidP="0085084A">
      <w:pPr>
        <w:pStyle w:val="NoSpacing"/>
        <w:jc w:val="both"/>
        <w:rPr>
          <w:b/>
          <w:bCs/>
          <w:lang w:val="en-GB"/>
        </w:rPr>
      </w:pPr>
      <w:r w:rsidRPr="00063682">
        <w:rPr>
          <w:b/>
          <w:bCs/>
          <w:lang w:val="en-GB"/>
        </w:rPr>
        <w:t>Network asset risk metric</w:t>
      </w:r>
    </w:p>
    <w:p w14:paraId="33785B9D" w14:textId="77777777" w:rsidR="00CE3A8C" w:rsidRPr="00063682" w:rsidRDefault="00CE3A8C" w:rsidP="0085084A">
      <w:pPr>
        <w:pStyle w:val="NoSpacing"/>
        <w:jc w:val="both"/>
        <w:rPr>
          <w:b/>
          <w:bCs/>
          <w:lang w:val="en-GB"/>
        </w:rPr>
      </w:pPr>
    </w:p>
    <w:p w14:paraId="7C448B7E" w14:textId="48E7D7B8" w:rsidR="00BA4237" w:rsidRPr="00063682" w:rsidRDefault="003D3766" w:rsidP="0085084A">
      <w:pPr>
        <w:pStyle w:val="NoSpacing"/>
        <w:jc w:val="both"/>
        <w:rPr>
          <w:lang w:val="en-GB"/>
        </w:rPr>
      </w:pPr>
      <w:r w:rsidRPr="00063682">
        <w:rPr>
          <w:b/>
          <w:bCs/>
          <w:lang w:val="en-GB"/>
        </w:rPr>
        <w:t>OV</w:t>
      </w:r>
      <w:r w:rsidR="00E11390" w:rsidRPr="00063682">
        <w:rPr>
          <w:b/>
          <w:bCs/>
          <w:lang w:val="en-GB"/>
        </w:rPr>
        <w:t>Q</w:t>
      </w:r>
      <w:r w:rsidRPr="00063682">
        <w:rPr>
          <w:b/>
          <w:bCs/>
          <w:lang w:val="en-GB"/>
        </w:rPr>
        <w:t>22.</w:t>
      </w:r>
      <w:r w:rsidRPr="00063682">
        <w:rPr>
          <w:lang w:val="en-GB"/>
        </w:rPr>
        <w:t xml:space="preserve"> Do you have any views on our proposals for the NARM framework?</w:t>
      </w:r>
    </w:p>
    <w:p w14:paraId="74100283" w14:textId="5E7666C3" w:rsidR="006959C2" w:rsidRPr="00063682" w:rsidRDefault="001124EC" w:rsidP="0085084A">
      <w:pPr>
        <w:pStyle w:val="NoSpacing"/>
        <w:jc w:val="both"/>
        <w:rPr>
          <w:lang w:val="en-GB"/>
        </w:rPr>
      </w:pPr>
      <w:r w:rsidRPr="00063682">
        <w:rPr>
          <w:b/>
          <w:bCs/>
          <w:lang w:val="en-GB"/>
        </w:rPr>
        <w:t>Answer</w:t>
      </w:r>
      <w:r w:rsidR="00F934CD" w:rsidRPr="00063682">
        <w:rPr>
          <w:b/>
          <w:bCs/>
          <w:lang w:val="en-GB"/>
        </w:rPr>
        <w:t>:</w:t>
      </w:r>
      <w:r w:rsidR="00F934CD" w:rsidRPr="00063682">
        <w:rPr>
          <w:lang w:val="en-GB"/>
        </w:rPr>
        <w:t xml:space="preserve"> </w:t>
      </w:r>
      <w:r w:rsidR="006959C2" w:rsidRPr="00063682">
        <w:rPr>
          <w:lang w:val="en-GB"/>
        </w:rPr>
        <w:t>The proposed NARM framework</w:t>
      </w:r>
      <w:r w:rsidR="00A977F2" w:rsidRPr="00063682">
        <w:rPr>
          <w:lang w:val="en-GB"/>
        </w:rPr>
        <w:t xml:space="preserve"> has positively contributed </w:t>
      </w:r>
      <w:r w:rsidR="001339F1" w:rsidRPr="00063682">
        <w:rPr>
          <w:lang w:val="en-GB"/>
        </w:rPr>
        <w:t xml:space="preserve">for the </w:t>
      </w:r>
      <w:r w:rsidR="00546A2B" w:rsidRPr="00063682">
        <w:rPr>
          <w:lang w:val="en-GB"/>
        </w:rPr>
        <w:t xml:space="preserve">identification and </w:t>
      </w:r>
      <w:r w:rsidR="001339F1" w:rsidRPr="00063682">
        <w:rPr>
          <w:lang w:val="en-GB"/>
        </w:rPr>
        <w:t xml:space="preserve">management of </w:t>
      </w:r>
      <w:r w:rsidR="00F05A99" w:rsidRPr="00063682">
        <w:rPr>
          <w:lang w:val="en-GB"/>
        </w:rPr>
        <w:t xml:space="preserve">risks associated with </w:t>
      </w:r>
      <w:r w:rsidR="0060485D" w:rsidRPr="00063682">
        <w:rPr>
          <w:lang w:val="en-GB"/>
        </w:rPr>
        <w:t>deterioration of network assets</w:t>
      </w:r>
      <w:r w:rsidR="001458FC" w:rsidRPr="00063682">
        <w:rPr>
          <w:lang w:val="en-GB"/>
        </w:rPr>
        <w:t>, but can be improved</w:t>
      </w:r>
      <w:r w:rsidR="00BA47BD" w:rsidRPr="00063682">
        <w:rPr>
          <w:lang w:val="en-GB"/>
        </w:rPr>
        <w:t>.</w:t>
      </w:r>
      <w:r w:rsidR="009B653A" w:rsidRPr="00063682">
        <w:rPr>
          <w:lang w:val="en-GB"/>
        </w:rPr>
        <w:t xml:space="preserve"> The long-term moneti</w:t>
      </w:r>
      <w:r w:rsidR="00063682">
        <w:rPr>
          <w:lang w:val="en-GB"/>
        </w:rPr>
        <w:t>s</w:t>
      </w:r>
      <w:r w:rsidR="009B653A" w:rsidRPr="00063682">
        <w:rPr>
          <w:lang w:val="en-GB"/>
        </w:rPr>
        <w:t>ed risk measures</w:t>
      </w:r>
      <w:r w:rsidR="003678F7" w:rsidRPr="00063682">
        <w:rPr>
          <w:lang w:val="en-GB"/>
        </w:rPr>
        <w:t xml:space="preserve"> adopted within RIIO-2 </w:t>
      </w:r>
      <w:r w:rsidR="0009397D" w:rsidRPr="00063682">
        <w:rPr>
          <w:lang w:val="en-GB"/>
        </w:rPr>
        <w:t xml:space="preserve">provides an </w:t>
      </w:r>
      <w:r w:rsidR="0065254C" w:rsidRPr="00063682">
        <w:rPr>
          <w:lang w:val="en-GB"/>
        </w:rPr>
        <w:t xml:space="preserve">economic </w:t>
      </w:r>
      <w:r w:rsidR="0009397D" w:rsidRPr="00063682">
        <w:rPr>
          <w:lang w:val="en-GB"/>
        </w:rPr>
        <w:t xml:space="preserve">indicator </w:t>
      </w:r>
      <w:r w:rsidR="009F5A7C" w:rsidRPr="00063682">
        <w:rPr>
          <w:lang w:val="en-GB"/>
        </w:rPr>
        <w:t>about the effectiveness of</w:t>
      </w:r>
      <w:r w:rsidR="00B804C7" w:rsidRPr="00063682">
        <w:rPr>
          <w:lang w:val="en-GB"/>
        </w:rPr>
        <w:t xml:space="preserve"> investment decisions</w:t>
      </w:r>
      <w:r w:rsidR="009F5A7C" w:rsidRPr="00063682">
        <w:rPr>
          <w:lang w:val="en-GB"/>
        </w:rPr>
        <w:t xml:space="preserve"> and </w:t>
      </w:r>
      <w:r w:rsidR="006C0CAE" w:rsidRPr="00063682">
        <w:rPr>
          <w:lang w:val="en-GB"/>
        </w:rPr>
        <w:t xml:space="preserve">asset management activities carried out by </w:t>
      </w:r>
      <w:r w:rsidR="0089397D" w:rsidRPr="00063682">
        <w:rPr>
          <w:lang w:val="en-GB"/>
        </w:rPr>
        <w:t xml:space="preserve">different energy </w:t>
      </w:r>
      <w:r w:rsidR="006C0CAE" w:rsidRPr="00063682">
        <w:rPr>
          <w:lang w:val="en-GB"/>
        </w:rPr>
        <w:t>companies</w:t>
      </w:r>
      <w:r w:rsidR="0089397D" w:rsidRPr="00063682">
        <w:rPr>
          <w:lang w:val="en-GB"/>
        </w:rPr>
        <w:t xml:space="preserve"> (as defined in </w:t>
      </w:r>
      <w:r w:rsidR="0085084A" w:rsidRPr="00063682">
        <w:rPr>
          <w:lang w:val="en-GB"/>
        </w:rPr>
        <w:t>the overview document, section 6.</w:t>
      </w:r>
      <w:r w:rsidR="00F8459B" w:rsidRPr="00063682">
        <w:rPr>
          <w:lang w:val="en-GB"/>
        </w:rPr>
        <w:t>144)</w:t>
      </w:r>
      <w:r w:rsidR="00B804C7" w:rsidRPr="00063682">
        <w:rPr>
          <w:lang w:val="en-GB"/>
        </w:rPr>
        <w:t>.</w:t>
      </w:r>
      <w:r w:rsidR="00C13A16" w:rsidRPr="00063682">
        <w:rPr>
          <w:lang w:val="en-GB"/>
        </w:rPr>
        <w:t xml:space="preserve"> </w:t>
      </w:r>
      <w:r w:rsidR="00A57E1B" w:rsidRPr="00063682">
        <w:rPr>
          <w:lang w:val="en-GB"/>
        </w:rPr>
        <w:t>In addition, it</w:t>
      </w:r>
      <w:r w:rsidR="00C13A16" w:rsidRPr="00063682">
        <w:rPr>
          <w:lang w:val="en-GB"/>
        </w:rPr>
        <w:t xml:space="preserve"> recogni</w:t>
      </w:r>
      <w:r w:rsidR="00063682">
        <w:rPr>
          <w:lang w:val="en-GB"/>
        </w:rPr>
        <w:t>s</w:t>
      </w:r>
      <w:r w:rsidR="00C13A16" w:rsidRPr="00063682">
        <w:rPr>
          <w:lang w:val="en-GB"/>
        </w:rPr>
        <w:t xml:space="preserve">es </w:t>
      </w:r>
      <w:r w:rsidR="00A1310D" w:rsidRPr="00063682">
        <w:rPr>
          <w:lang w:val="en-GB"/>
        </w:rPr>
        <w:t>the different nature of</w:t>
      </w:r>
      <w:r w:rsidR="00C13A16" w:rsidRPr="00063682">
        <w:rPr>
          <w:lang w:val="en-GB"/>
        </w:rPr>
        <w:t xml:space="preserve"> </w:t>
      </w:r>
      <w:r w:rsidR="00A1310D" w:rsidRPr="00063682">
        <w:rPr>
          <w:lang w:val="en-GB"/>
        </w:rPr>
        <w:t xml:space="preserve">network assets and company operation </w:t>
      </w:r>
      <w:r w:rsidR="006F4B08" w:rsidRPr="00063682">
        <w:rPr>
          <w:lang w:val="en-GB"/>
        </w:rPr>
        <w:t xml:space="preserve">to establish sector-specific NARM methodologies and company-specific elements where appropriate (as defined in </w:t>
      </w:r>
      <w:r w:rsidR="0085084A" w:rsidRPr="00063682">
        <w:rPr>
          <w:lang w:val="en-GB"/>
        </w:rPr>
        <w:t>the overview document, section 6.</w:t>
      </w:r>
      <w:r w:rsidR="006F4B08" w:rsidRPr="00063682">
        <w:rPr>
          <w:lang w:val="en-GB"/>
        </w:rPr>
        <w:t>14</w:t>
      </w:r>
      <w:r w:rsidR="00295F3C" w:rsidRPr="00063682">
        <w:rPr>
          <w:lang w:val="en-GB"/>
        </w:rPr>
        <w:t>7</w:t>
      </w:r>
      <w:r w:rsidR="006F4B08" w:rsidRPr="00063682">
        <w:rPr>
          <w:lang w:val="en-GB"/>
        </w:rPr>
        <w:t>).</w:t>
      </w:r>
      <w:r w:rsidR="00A57E1B" w:rsidRPr="00063682">
        <w:rPr>
          <w:lang w:val="en-GB"/>
        </w:rPr>
        <w:t xml:space="preserve"> Conversely, </w:t>
      </w:r>
      <w:r w:rsidR="008D2F40" w:rsidRPr="00063682">
        <w:rPr>
          <w:lang w:val="en-GB"/>
        </w:rPr>
        <w:t xml:space="preserve">it does not acknowledge that </w:t>
      </w:r>
      <w:r w:rsidR="007F54FD" w:rsidRPr="00063682">
        <w:rPr>
          <w:lang w:val="en-GB"/>
        </w:rPr>
        <w:t xml:space="preserve">current practices adopted </w:t>
      </w:r>
      <w:r w:rsidR="00147F37" w:rsidRPr="00063682">
        <w:rPr>
          <w:lang w:val="en-GB"/>
        </w:rPr>
        <w:t xml:space="preserve">for </w:t>
      </w:r>
      <w:r w:rsidR="007F54FD" w:rsidRPr="00063682">
        <w:rPr>
          <w:lang w:val="en-GB"/>
        </w:rPr>
        <w:t xml:space="preserve">asset information </w:t>
      </w:r>
      <w:r w:rsidR="00147F37" w:rsidRPr="00063682">
        <w:rPr>
          <w:lang w:val="en-GB"/>
        </w:rPr>
        <w:t xml:space="preserve">collection, such as </w:t>
      </w:r>
      <w:r w:rsidR="00704E07" w:rsidRPr="00063682">
        <w:rPr>
          <w:lang w:val="en-GB"/>
        </w:rPr>
        <w:t xml:space="preserve">manual </w:t>
      </w:r>
      <w:r w:rsidR="007F54FD" w:rsidRPr="00063682">
        <w:rPr>
          <w:lang w:val="en-GB"/>
        </w:rPr>
        <w:t>inspections and asset management activities</w:t>
      </w:r>
      <w:r w:rsidR="00C2353E" w:rsidRPr="00063682">
        <w:rPr>
          <w:lang w:val="en-GB"/>
        </w:rPr>
        <w:t xml:space="preserve">, are inadequate </w:t>
      </w:r>
      <w:r w:rsidR="00BA0404" w:rsidRPr="00063682">
        <w:rPr>
          <w:lang w:val="en-GB"/>
        </w:rPr>
        <w:t>for an effective asset condition monitoring.</w:t>
      </w:r>
      <w:r w:rsidR="002B7717" w:rsidRPr="00063682">
        <w:rPr>
          <w:lang w:val="en-GB"/>
        </w:rPr>
        <w:t xml:space="preserve"> </w:t>
      </w:r>
      <w:r w:rsidR="00527042" w:rsidRPr="00063682">
        <w:rPr>
          <w:lang w:val="en-GB"/>
        </w:rPr>
        <w:t>This is evinced by the fact that t</w:t>
      </w:r>
      <w:r w:rsidR="002B7717" w:rsidRPr="00063682">
        <w:rPr>
          <w:lang w:val="en-GB"/>
        </w:rPr>
        <w:t xml:space="preserve">he majority of </w:t>
      </w:r>
      <w:r w:rsidR="008E506A" w:rsidRPr="00063682">
        <w:rPr>
          <w:lang w:val="en-GB"/>
        </w:rPr>
        <w:t>power system failures with known causes are attributed to a</w:t>
      </w:r>
      <w:r w:rsidR="002B7717" w:rsidRPr="00063682">
        <w:rPr>
          <w:lang w:val="en-GB"/>
        </w:rPr>
        <w:t>sset deterioration (excluding corrosion)</w:t>
      </w:r>
      <w:r w:rsidR="008E506A" w:rsidRPr="00063682">
        <w:rPr>
          <w:lang w:val="en-GB"/>
        </w:rPr>
        <w:t>.</w:t>
      </w:r>
      <w:r w:rsidR="005C39B9" w:rsidRPr="00063682">
        <w:rPr>
          <w:lang w:val="en-GB"/>
        </w:rPr>
        <w:t xml:space="preserve"> This is exemplified by the authors in [</w:t>
      </w:r>
      <w:r w:rsidR="00AF36AB" w:rsidRPr="00063682">
        <w:rPr>
          <w:lang w:val="en-GB"/>
        </w:rPr>
        <w:t>1</w:t>
      </w:r>
      <w:r w:rsidR="005C39B9" w:rsidRPr="00063682">
        <w:rPr>
          <w:lang w:val="en-GB"/>
        </w:rPr>
        <w:t xml:space="preserve">], as the probability of system failures considerably increases when asset condition is </w:t>
      </w:r>
      <w:r w:rsidR="00880394" w:rsidRPr="00063682">
        <w:rPr>
          <w:lang w:val="en-GB"/>
        </w:rPr>
        <w:t>accounted for.</w:t>
      </w:r>
      <w:r w:rsidR="008E506A" w:rsidRPr="00063682">
        <w:rPr>
          <w:lang w:val="en-GB"/>
        </w:rPr>
        <w:t xml:space="preserve"> </w:t>
      </w:r>
      <w:r w:rsidR="00AB3CC8" w:rsidRPr="00063682">
        <w:rPr>
          <w:lang w:val="en-GB"/>
        </w:rPr>
        <w:t xml:space="preserve">In this context, </w:t>
      </w:r>
      <w:r w:rsidR="00F2574A" w:rsidRPr="00063682">
        <w:rPr>
          <w:lang w:val="en-GB"/>
        </w:rPr>
        <w:t xml:space="preserve">the investment costs in advanced monitoring systems </w:t>
      </w:r>
      <w:r w:rsidR="00414EBC" w:rsidRPr="00063682">
        <w:rPr>
          <w:lang w:val="en-GB"/>
        </w:rPr>
        <w:t>for</w:t>
      </w:r>
      <w:r w:rsidR="00E32652" w:rsidRPr="00063682">
        <w:rPr>
          <w:lang w:val="en-GB"/>
        </w:rPr>
        <w:t xml:space="preserve"> asset </w:t>
      </w:r>
      <w:r w:rsidR="00414EBC" w:rsidRPr="00063682">
        <w:rPr>
          <w:lang w:val="en-GB"/>
        </w:rPr>
        <w:t xml:space="preserve">health </w:t>
      </w:r>
      <w:r w:rsidR="00E32652" w:rsidRPr="00063682">
        <w:rPr>
          <w:lang w:val="en-GB"/>
        </w:rPr>
        <w:t xml:space="preserve">information </w:t>
      </w:r>
      <w:r w:rsidR="00414EBC" w:rsidRPr="00063682">
        <w:rPr>
          <w:lang w:val="en-GB"/>
        </w:rPr>
        <w:t xml:space="preserve">collection </w:t>
      </w:r>
      <w:r w:rsidR="00F2574A" w:rsidRPr="00063682">
        <w:rPr>
          <w:lang w:val="en-GB"/>
        </w:rPr>
        <w:t xml:space="preserve">are justified by </w:t>
      </w:r>
      <w:r w:rsidR="000A3EAB" w:rsidRPr="00063682">
        <w:rPr>
          <w:lang w:val="en-GB"/>
        </w:rPr>
        <w:t xml:space="preserve">the </w:t>
      </w:r>
      <w:r w:rsidR="00C96DB1" w:rsidRPr="00063682">
        <w:rPr>
          <w:lang w:val="en-GB"/>
        </w:rPr>
        <w:t>avoided costs</w:t>
      </w:r>
      <w:r w:rsidR="002227E7" w:rsidRPr="00063682">
        <w:rPr>
          <w:lang w:val="en-GB"/>
        </w:rPr>
        <w:t xml:space="preserve"> associated with power system failures</w:t>
      </w:r>
      <w:r w:rsidR="00414EBC" w:rsidRPr="00063682">
        <w:rPr>
          <w:lang w:val="en-GB"/>
        </w:rPr>
        <w:t>.</w:t>
      </w:r>
      <w:r w:rsidR="005B79B5" w:rsidRPr="00063682">
        <w:rPr>
          <w:lang w:val="en-GB"/>
        </w:rPr>
        <w:t xml:space="preserve"> </w:t>
      </w:r>
      <w:r w:rsidR="00875B3D" w:rsidRPr="00063682">
        <w:rPr>
          <w:lang w:val="en-GB"/>
        </w:rPr>
        <w:t xml:space="preserve">Incorporating </w:t>
      </w:r>
      <w:r w:rsidR="00011485" w:rsidRPr="00063682">
        <w:rPr>
          <w:lang w:val="en-GB"/>
        </w:rPr>
        <w:t xml:space="preserve">more accurate network asset information </w:t>
      </w:r>
      <w:r w:rsidR="00875B3D" w:rsidRPr="00063682">
        <w:rPr>
          <w:lang w:val="en-GB"/>
        </w:rPr>
        <w:t xml:space="preserve">into the NARM framework </w:t>
      </w:r>
      <w:r w:rsidR="00E577C8" w:rsidRPr="00063682">
        <w:rPr>
          <w:lang w:val="en-GB"/>
        </w:rPr>
        <w:t>could change investment decisions</w:t>
      </w:r>
      <w:r w:rsidR="004A566C" w:rsidRPr="00063682">
        <w:rPr>
          <w:lang w:val="en-GB"/>
        </w:rPr>
        <w:t xml:space="preserve"> made by energy companies, as well as incentives and penalties</w:t>
      </w:r>
      <w:r w:rsidR="004268FF" w:rsidRPr="00063682">
        <w:rPr>
          <w:lang w:val="en-GB"/>
        </w:rPr>
        <w:t xml:space="preserve"> (as defined in </w:t>
      </w:r>
      <w:r w:rsidR="0085084A" w:rsidRPr="00063682">
        <w:rPr>
          <w:lang w:val="en-GB"/>
        </w:rPr>
        <w:t>the overview document, sections 6.</w:t>
      </w:r>
      <w:r w:rsidR="004268FF" w:rsidRPr="00063682">
        <w:rPr>
          <w:lang w:val="en-GB"/>
        </w:rPr>
        <w:t>149</w:t>
      </w:r>
      <w:r w:rsidR="008F0E98" w:rsidRPr="00063682">
        <w:rPr>
          <w:lang w:val="en-GB"/>
        </w:rPr>
        <w:t xml:space="preserve"> and </w:t>
      </w:r>
      <w:r w:rsidR="0085084A" w:rsidRPr="00063682">
        <w:rPr>
          <w:lang w:val="en-GB"/>
        </w:rPr>
        <w:t>6.</w:t>
      </w:r>
      <w:r w:rsidR="008F0E98" w:rsidRPr="00063682">
        <w:rPr>
          <w:lang w:val="en-GB"/>
        </w:rPr>
        <w:t>150</w:t>
      </w:r>
      <w:r w:rsidR="004268FF" w:rsidRPr="00063682">
        <w:rPr>
          <w:lang w:val="en-GB"/>
        </w:rPr>
        <w:t>)</w:t>
      </w:r>
      <w:r w:rsidR="00981E50" w:rsidRPr="00063682">
        <w:rPr>
          <w:lang w:val="en-GB"/>
        </w:rPr>
        <w:t>.</w:t>
      </w:r>
    </w:p>
    <w:p w14:paraId="33BD59CC" w14:textId="77777777" w:rsidR="003D3766" w:rsidRPr="00063682" w:rsidRDefault="003D3766" w:rsidP="0085084A">
      <w:pPr>
        <w:pStyle w:val="NoSpacing"/>
        <w:jc w:val="both"/>
        <w:rPr>
          <w:lang w:val="en-GB"/>
        </w:rPr>
      </w:pPr>
    </w:p>
    <w:p w14:paraId="6E36515F" w14:textId="0A6EB4B3" w:rsidR="005B2E5B" w:rsidRPr="00063682" w:rsidRDefault="005B2E5B" w:rsidP="0085084A">
      <w:pPr>
        <w:pStyle w:val="NoSpacing"/>
        <w:jc w:val="both"/>
        <w:rPr>
          <w:b/>
          <w:bCs/>
          <w:lang w:val="en-GB"/>
        </w:rPr>
      </w:pPr>
      <w:r w:rsidRPr="00063682">
        <w:rPr>
          <w:b/>
          <w:bCs/>
          <w:lang w:val="en-GB"/>
        </w:rPr>
        <w:t xml:space="preserve">Climate Resilience </w:t>
      </w:r>
    </w:p>
    <w:p w14:paraId="4528C732" w14:textId="77777777" w:rsidR="00AF50E2" w:rsidRPr="00063682" w:rsidRDefault="00AF50E2" w:rsidP="0085084A">
      <w:pPr>
        <w:pStyle w:val="NoSpacing"/>
        <w:jc w:val="both"/>
        <w:rPr>
          <w:b/>
          <w:bCs/>
          <w:lang w:val="en-GB"/>
        </w:rPr>
      </w:pPr>
    </w:p>
    <w:p w14:paraId="71C7F51E" w14:textId="3C5A28F3" w:rsidR="008A2468" w:rsidRPr="00063682" w:rsidRDefault="00E11390" w:rsidP="0085084A">
      <w:pPr>
        <w:pStyle w:val="NoSpacing"/>
        <w:jc w:val="both"/>
        <w:rPr>
          <w:lang w:val="en-GB"/>
        </w:rPr>
      </w:pPr>
      <w:r w:rsidRPr="00063682">
        <w:rPr>
          <w:b/>
          <w:bCs/>
          <w:lang w:val="en-GB"/>
        </w:rPr>
        <w:t>OVQ2</w:t>
      </w:r>
      <w:r w:rsidR="008A2468" w:rsidRPr="00063682">
        <w:rPr>
          <w:b/>
          <w:bCs/>
          <w:lang w:val="en-GB"/>
        </w:rPr>
        <w:t>3.</w:t>
      </w:r>
      <w:r w:rsidR="008A2468" w:rsidRPr="00063682">
        <w:rPr>
          <w:lang w:val="en-GB"/>
        </w:rPr>
        <w:t xml:space="preserve"> Do you have any views on our proposed long-term approach to embedding climate resilience, including the principles for embedding climate resilience? </w:t>
      </w:r>
    </w:p>
    <w:p w14:paraId="072B76D8" w14:textId="57BAF6D2" w:rsidR="005D2BE7" w:rsidRPr="00063682" w:rsidRDefault="001124EC" w:rsidP="0085084A">
      <w:pPr>
        <w:pStyle w:val="NoSpacing"/>
        <w:jc w:val="both"/>
        <w:rPr>
          <w:lang w:val="en-GB"/>
        </w:rPr>
      </w:pPr>
      <w:r w:rsidRPr="00063682">
        <w:rPr>
          <w:b/>
          <w:bCs/>
          <w:lang w:val="en-GB"/>
        </w:rPr>
        <w:t>Answer</w:t>
      </w:r>
      <w:r w:rsidR="00F2C76C" w:rsidRPr="00063682">
        <w:rPr>
          <w:b/>
          <w:bCs/>
          <w:lang w:val="en-GB"/>
        </w:rPr>
        <w:t>:</w:t>
      </w:r>
      <w:r w:rsidR="00F2C76C" w:rsidRPr="00063682">
        <w:rPr>
          <w:lang w:val="en-GB"/>
        </w:rPr>
        <w:t xml:space="preserve"> </w:t>
      </w:r>
      <w:r w:rsidR="005D2BE7" w:rsidRPr="00063682">
        <w:rPr>
          <w:lang w:val="en-GB"/>
        </w:rPr>
        <w:t xml:space="preserve">The </w:t>
      </w:r>
      <w:r w:rsidR="0091282A" w:rsidRPr="00063682">
        <w:rPr>
          <w:lang w:val="en-GB"/>
        </w:rPr>
        <w:t xml:space="preserve">proposed long-term approach </w:t>
      </w:r>
      <w:r w:rsidR="005625AF" w:rsidRPr="00063682">
        <w:rPr>
          <w:lang w:val="en-GB"/>
        </w:rPr>
        <w:t>to</w:t>
      </w:r>
      <w:r w:rsidR="005D2BE7" w:rsidRPr="00063682">
        <w:rPr>
          <w:lang w:val="en-GB"/>
        </w:rPr>
        <w:t xml:space="preserve"> embedding climate resilience</w:t>
      </w:r>
      <w:r w:rsidR="00AD0AC7" w:rsidRPr="00063682">
        <w:rPr>
          <w:lang w:val="en-GB"/>
        </w:rPr>
        <w:t xml:space="preserve"> </w:t>
      </w:r>
      <w:r w:rsidR="006757A5" w:rsidRPr="00063682">
        <w:rPr>
          <w:lang w:val="en-GB"/>
        </w:rPr>
        <w:t xml:space="preserve">needs </w:t>
      </w:r>
      <w:r w:rsidR="006B4026" w:rsidRPr="00063682">
        <w:rPr>
          <w:lang w:val="en-GB"/>
        </w:rPr>
        <w:t>more reasoning</w:t>
      </w:r>
      <w:r w:rsidR="00E85281" w:rsidRPr="00063682">
        <w:rPr>
          <w:lang w:val="en-GB"/>
        </w:rPr>
        <w:t xml:space="preserve"> about </w:t>
      </w:r>
      <w:r w:rsidR="00A22DA0" w:rsidRPr="00063682">
        <w:rPr>
          <w:lang w:val="en-GB"/>
        </w:rPr>
        <w:t xml:space="preserve">the definition and quantification of climate resilience and </w:t>
      </w:r>
      <w:r w:rsidR="00E85281" w:rsidRPr="00063682">
        <w:rPr>
          <w:lang w:val="en-GB"/>
        </w:rPr>
        <w:t>the consideration of different risks associated with a changing climate</w:t>
      </w:r>
      <w:r w:rsidR="008314E1" w:rsidRPr="00063682">
        <w:rPr>
          <w:lang w:val="en-GB"/>
        </w:rPr>
        <w:t>.</w:t>
      </w:r>
      <w:r w:rsidR="00A22DA0" w:rsidRPr="00063682">
        <w:rPr>
          <w:lang w:val="en-GB"/>
        </w:rPr>
        <w:t xml:space="preserve"> The following </w:t>
      </w:r>
      <w:r w:rsidR="00EC5AB6" w:rsidRPr="00063682">
        <w:rPr>
          <w:lang w:val="en-GB"/>
        </w:rPr>
        <w:t xml:space="preserve">aspects </w:t>
      </w:r>
      <w:r w:rsidR="00FC6262" w:rsidRPr="00063682">
        <w:rPr>
          <w:lang w:val="en-GB"/>
        </w:rPr>
        <w:t>should be considered and addressed</w:t>
      </w:r>
      <w:r w:rsidR="00EC5AB6" w:rsidRPr="00063682">
        <w:rPr>
          <w:lang w:val="en-GB"/>
        </w:rPr>
        <w:t>:</w:t>
      </w:r>
    </w:p>
    <w:p w14:paraId="1D4601D6" w14:textId="4796F9CA" w:rsidR="654135F9" w:rsidRPr="00063682" w:rsidRDefault="00F512AA" w:rsidP="0085084A">
      <w:pPr>
        <w:pStyle w:val="NoSpacing"/>
        <w:numPr>
          <w:ilvl w:val="0"/>
          <w:numId w:val="7"/>
        </w:numPr>
        <w:jc w:val="both"/>
        <w:rPr>
          <w:lang w:val="en-GB"/>
        </w:rPr>
      </w:pPr>
      <w:r w:rsidRPr="00063682">
        <w:rPr>
          <w:u w:val="single"/>
          <w:lang w:val="en-GB"/>
        </w:rPr>
        <w:t>Resilience d</w:t>
      </w:r>
      <w:r w:rsidR="004E174E" w:rsidRPr="00063682">
        <w:rPr>
          <w:u w:val="single"/>
          <w:lang w:val="en-GB"/>
        </w:rPr>
        <w:t>efinition</w:t>
      </w:r>
      <w:r w:rsidR="00EF14AD" w:rsidRPr="00063682">
        <w:rPr>
          <w:lang w:val="en-GB"/>
        </w:rPr>
        <w:t>:</w:t>
      </w:r>
      <w:r w:rsidR="00EC5AB6" w:rsidRPr="00063682">
        <w:rPr>
          <w:lang w:val="en-GB"/>
        </w:rPr>
        <w:t xml:space="preserve"> </w:t>
      </w:r>
      <w:r w:rsidR="538E40C4" w:rsidRPr="00063682">
        <w:rPr>
          <w:lang w:val="en-GB"/>
        </w:rPr>
        <w:t xml:space="preserve">Definitions of resilience are not currently settled (see slight differences from UK Cabinet Office </w:t>
      </w:r>
      <w:r w:rsidR="00AF36AB" w:rsidRPr="00063682">
        <w:rPr>
          <w:rFonts w:ascii="Calibri" w:eastAsia="Calibri" w:hAnsi="Calibri" w:cs="Calibri"/>
          <w:lang w:val="en-GB"/>
        </w:rPr>
        <w:t>[2</w:t>
      </w:r>
      <w:r w:rsidR="538E40C4" w:rsidRPr="00063682">
        <w:rPr>
          <w:rFonts w:ascii="Calibri" w:eastAsia="Calibri" w:hAnsi="Calibri" w:cs="Calibri"/>
          <w:lang w:val="en-GB"/>
        </w:rPr>
        <w:t>]</w:t>
      </w:r>
      <w:r w:rsidR="538E40C4" w:rsidRPr="00063682">
        <w:rPr>
          <w:lang w:val="en-GB"/>
        </w:rPr>
        <w:t>, US Federal Energy Regulatory Commission</w:t>
      </w:r>
      <w:r w:rsidR="538E40C4" w:rsidRPr="00063682">
        <w:rPr>
          <w:rFonts w:ascii="Calibri" w:eastAsia="Calibri" w:hAnsi="Calibri" w:cs="Calibri"/>
          <w:lang w:val="en-GB"/>
        </w:rPr>
        <w:t xml:space="preserve"> </w:t>
      </w:r>
      <w:r w:rsidR="00AF36AB" w:rsidRPr="00063682">
        <w:rPr>
          <w:rFonts w:ascii="Calibri" w:eastAsia="Calibri" w:hAnsi="Calibri" w:cs="Calibri"/>
          <w:lang w:val="en-GB"/>
        </w:rPr>
        <w:t>[3</w:t>
      </w:r>
      <w:r w:rsidR="538E40C4" w:rsidRPr="00063682">
        <w:rPr>
          <w:rFonts w:ascii="Calibri" w:eastAsia="Calibri" w:hAnsi="Calibri" w:cs="Calibri"/>
          <w:lang w:val="en-GB"/>
        </w:rPr>
        <w:t>]</w:t>
      </w:r>
      <w:r w:rsidR="538E40C4" w:rsidRPr="00063682">
        <w:rPr>
          <w:lang w:val="en-GB"/>
        </w:rPr>
        <w:t xml:space="preserve">, CIGRE working group C4.47 “Power System “Resilience” </w:t>
      </w:r>
      <w:r w:rsidR="00AF36AB" w:rsidRPr="00063682">
        <w:rPr>
          <w:rFonts w:ascii="Calibri" w:eastAsia="Calibri" w:hAnsi="Calibri" w:cs="Calibri"/>
          <w:lang w:val="en-GB"/>
        </w:rPr>
        <w:t>[4</w:t>
      </w:r>
      <w:r w:rsidR="538E40C4" w:rsidRPr="00063682">
        <w:rPr>
          <w:rFonts w:ascii="Calibri" w:eastAsia="Calibri" w:hAnsi="Calibri" w:cs="Calibri"/>
          <w:lang w:val="en-GB"/>
        </w:rPr>
        <w:t>]</w:t>
      </w:r>
      <w:r w:rsidR="538E40C4" w:rsidRPr="00063682">
        <w:rPr>
          <w:lang w:val="en-GB"/>
        </w:rPr>
        <w:t xml:space="preserve">, UK National Infrastructure Commission </w:t>
      </w:r>
      <w:r w:rsidR="00AF36AB" w:rsidRPr="00063682">
        <w:rPr>
          <w:rFonts w:ascii="Calibri" w:eastAsia="Calibri" w:hAnsi="Calibri" w:cs="Calibri"/>
          <w:lang w:val="en-GB"/>
        </w:rPr>
        <w:t>[5</w:t>
      </w:r>
      <w:r w:rsidR="538E40C4" w:rsidRPr="00063682">
        <w:rPr>
          <w:rFonts w:ascii="Calibri" w:eastAsia="Calibri" w:hAnsi="Calibri" w:cs="Calibri"/>
          <w:lang w:val="en-GB"/>
        </w:rPr>
        <w:t>]</w:t>
      </w:r>
      <w:r w:rsidR="538E40C4" w:rsidRPr="00063682">
        <w:rPr>
          <w:lang w:val="en-GB"/>
        </w:rPr>
        <w:t xml:space="preserve">, IEEE PES Task Force </w:t>
      </w:r>
      <w:r w:rsidR="00AF36AB" w:rsidRPr="00063682">
        <w:rPr>
          <w:rFonts w:ascii="Calibri" w:eastAsia="Calibri" w:hAnsi="Calibri" w:cs="Calibri"/>
          <w:lang w:val="en-GB"/>
        </w:rPr>
        <w:t>[6</w:t>
      </w:r>
      <w:r w:rsidR="538E40C4" w:rsidRPr="00063682">
        <w:rPr>
          <w:rFonts w:ascii="Calibri" w:eastAsia="Calibri" w:hAnsi="Calibri" w:cs="Calibri"/>
          <w:lang w:val="en-GB"/>
        </w:rPr>
        <w:t>]</w:t>
      </w:r>
      <w:r w:rsidR="538E40C4" w:rsidRPr="00063682">
        <w:rPr>
          <w:lang w:val="en-GB"/>
        </w:rPr>
        <w:t>). Ofgem must define resilience for networks in a way that makes it clear and distinct from reliability – an obvious route being through consideration of the impacts on unsecured events (for shock events). But further agreement is needed for definitions associated with indirect effects</w:t>
      </w:r>
      <w:r w:rsidR="00524C47" w:rsidRPr="00063682">
        <w:rPr>
          <w:lang w:val="en-GB"/>
        </w:rPr>
        <w:t xml:space="preserve"> (</w:t>
      </w:r>
      <w:r w:rsidR="00B45661" w:rsidRPr="00063682">
        <w:rPr>
          <w:lang w:val="en-GB"/>
        </w:rPr>
        <w:t>interdependencies)</w:t>
      </w:r>
      <w:r w:rsidR="538E40C4" w:rsidRPr="00063682">
        <w:rPr>
          <w:lang w:val="en-GB"/>
        </w:rPr>
        <w:t xml:space="preserve">, or long-term effects (like long term extreme heat). </w:t>
      </w:r>
      <w:r w:rsidR="2C38461F" w:rsidRPr="00063682">
        <w:rPr>
          <w:lang w:val="en-GB"/>
        </w:rPr>
        <w:t>Working groups</w:t>
      </w:r>
      <w:r w:rsidR="0022430C" w:rsidRPr="00063682">
        <w:rPr>
          <w:lang w:val="en-GB"/>
        </w:rPr>
        <w:t xml:space="preserve"> (as defined in </w:t>
      </w:r>
      <w:r w:rsidR="0085084A" w:rsidRPr="00063682">
        <w:rPr>
          <w:lang w:val="en-GB"/>
        </w:rPr>
        <w:t>the overview document, section 6.</w:t>
      </w:r>
      <w:r w:rsidR="0022430C" w:rsidRPr="00063682">
        <w:rPr>
          <w:lang w:val="en-GB"/>
        </w:rPr>
        <w:t>155)</w:t>
      </w:r>
      <w:r w:rsidR="2C38461F" w:rsidRPr="00063682">
        <w:rPr>
          <w:lang w:val="en-GB"/>
        </w:rPr>
        <w:t xml:space="preserve"> will need to establish clear guidance on what can and cannot be considered. </w:t>
      </w:r>
    </w:p>
    <w:p w14:paraId="4FBF73D0" w14:textId="535DF098" w:rsidR="654135F9" w:rsidRPr="00063682" w:rsidRDefault="00117E65" w:rsidP="0085084A">
      <w:pPr>
        <w:pStyle w:val="NoSpacing"/>
        <w:numPr>
          <w:ilvl w:val="0"/>
          <w:numId w:val="7"/>
        </w:numPr>
        <w:jc w:val="both"/>
        <w:rPr>
          <w:lang w:val="en-GB"/>
        </w:rPr>
      </w:pPr>
      <w:r w:rsidRPr="00063682">
        <w:rPr>
          <w:u w:val="single"/>
          <w:lang w:val="en-GB"/>
        </w:rPr>
        <w:t>Resilience quantification</w:t>
      </w:r>
      <w:r w:rsidRPr="00063682">
        <w:rPr>
          <w:lang w:val="en-GB"/>
        </w:rPr>
        <w:t xml:space="preserve">: </w:t>
      </w:r>
      <w:r w:rsidR="538E40C4" w:rsidRPr="00063682">
        <w:rPr>
          <w:lang w:val="en-GB"/>
        </w:rPr>
        <w:t xml:space="preserve">A vast variety of metrics exist for quantifying resilience. </w:t>
      </w:r>
      <w:r w:rsidR="1AA9A3F0" w:rsidRPr="00063682">
        <w:rPr>
          <w:lang w:val="en-GB"/>
        </w:rPr>
        <w:t xml:space="preserve">To facilitate consistent regulation of this area, it is desirable that these metrics are simple to calculate, allowing for retrospective and forward-looking analyses, while also providing highly informative and consistent results </w:t>
      </w:r>
      <w:r w:rsidR="00AF36AB" w:rsidRPr="00063682">
        <w:rPr>
          <w:lang w:val="en-GB"/>
        </w:rPr>
        <w:t>[7</w:t>
      </w:r>
      <w:r w:rsidR="1AA9A3F0" w:rsidRPr="00063682">
        <w:rPr>
          <w:lang w:val="en-GB"/>
        </w:rPr>
        <w:t>]</w:t>
      </w:r>
      <w:r w:rsidR="14C73FAE" w:rsidRPr="00063682">
        <w:rPr>
          <w:lang w:val="en-GB"/>
        </w:rPr>
        <w:t xml:space="preserve">. See reports from SIF Discovery project WELLNESS </w:t>
      </w:r>
      <w:r w:rsidR="282D6FE6" w:rsidRPr="00063682">
        <w:rPr>
          <w:lang w:val="en-GB"/>
        </w:rPr>
        <w:t xml:space="preserve">(Whole Energy System Resilience Vulnerability Assessment) </w:t>
      </w:r>
      <w:r w:rsidR="14C73FAE" w:rsidRPr="00063682">
        <w:rPr>
          <w:lang w:val="en-GB"/>
        </w:rPr>
        <w:t>for more details</w:t>
      </w:r>
      <w:r w:rsidR="372CA029" w:rsidRPr="00063682">
        <w:rPr>
          <w:lang w:val="en-GB"/>
        </w:rPr>
        <w:t xml:space="preserve"> </w:t>
      </w:r>
      <w:r w:rsidR="00AF36AB" w:rsidRPr="00063682">
        <w:rPr>
          <w:lang w:val="en-GB"/>
        </w:rPr>
        <w:t>[8</w:t>
      </w:r>
      <w:r w:rsidR="372CA029" w:rsidRPr="00063682">
        <w:rPr>
          <w:lang w:val="en-GB"/>
        </w:rPr>
        <w:t>]</w:t>
      </w:r>
      <w:r w:rsidR="14C73FAE" w:rsidRPr="00063682">
        <w:rPr>
          <w:lang w:val="en-GB"/>
        </w:rPr>
        <w:t xml:space="preserve">. </w:t>
      </w:r>
      <w:r w:rsidR="5FB51F85" w:rsidRPr="00063682">
        <w:rPr>
          <w:lang w:val="en-GB"/>
        </w:rPr>
        <w:t xml:space="preserve">Defining metrics is the easy part of the problem. Defining the conditions over which the metrics are calculated </w:t>
      </w:r>
      <w:r w:rsidR="6AFCE645" w:rsidRPr="00063682">
        <w:rPr>
          <w:lang w:val="en-GB"/>
        </w:rPr>
        <w:t>is the important part of the problem</w:t>
      </w:r>
      <w:r w:rsidR="79F6445D" w:rsidRPr="00063682">
        <w:rPr>
          <w:lang w:val="en-GB"/>
        </w:rPr>
        <w:t xml:space="preserve"> to ensure consistent assessment across networks and across different climate risks</w:t>
      </w:r>
      <w:r w:rsidR="6AFCE645" w:rsidRPr="00063682">
        <w:rPr>
          <w:lang w:val="en-GB"/>
        </w:rPr>
        <w:t xml:space="preserve">. There are no standard methods for this at present. This will be a key problem for the working groups to solve. </w:t>
      </w:r>
    </w:p>
    <w:p w14:paraId="28DB555A" w14:textId="581DAA4C" w:rsidR="002B0C52" w:rsidRPr="00063682" w:rsidRDefault="00FB76BA" w:rsidP="0085084A">
      <w:pPr>
        <w:pStyle w:val="NoSpacing"/>
        <w:numPr>
          <w:ilvl w:val="0"/>
          <w:numId w:val="6"/>
        </w:numPr>
        <w:jc w:val="both"/>
        <w:rPr>
          <w:lang w:val="en-GB"/>
        </w:rPr>
      </w:pPr>
      <w:r w:rsidRPr="00063682">
        <w:rPr>
          <w:u w:val="single"/>
          <w:lang w:val="en-GB"/>
        </w:rPr>
        <w:t>C</w:t>
      </w:r>
      <w:r w:rsidR="002B0C52" w:rsidRPr="00063682">
        <w:rPr>
          <w:u w:val="single"/>
          <w:lang w:val="en-GB"/>
        </w:rPr>
        <w:t xml:space="preserve">onsideration of </w:t>
      </w:r>
      <w:r w:rsidR="00901925" w:rsidRPr="00063682">
        <w:rPr>
          <w:u w:val="single"/>
          <w:lang w:val="en-GB"/>
        </w:rPr>
        <w:t xml:space="preserve">risks associated with severe weather in a changing </w:t>
      </w:r>
      <w:r w:rsidR="002B0C52" w:rsidRPr="00063682">
        <w:rPr>
          <w:u w:val="single"/>
          <w:lang w:val="en-GB"/>
        </w:rPr>
        <w:t>climate</w:t>
      </w:r>
      <w:r w:rsidR="002B0C52" w:rsidRPr="00063682">
        <w:rPr>
          <w:lang w:val="en-GB"/>
        </w:rPr>
        <w:t xml:space="preserve">: </w:t>
      </w:r>
      <w:r w:rsidR="0030510F" w:rsidRPr="00063682">
        <w:rPr>
          <w:lang w:val="en-GB"/>
        </w:rPr>
        <w:t xml:space="preserve">Different </w:t>
      </w:r>
      <w:r w:rsidR="004D5ECD" w:rsidRPr="00063682">
        <w:rPr>
          <w:lang w:val="en-GB"/>
        </w:rPr>
        <w:t>risks associated with a changing climate have to be considered</w:t>
      </w:r>
      <w:r w:rsidR="00C81EBA" w:rsidRPr="00063682">
        <w:rPr>
          <w:lang w:val="en-GB"/>
        </w:rPr>
        <w:t xml:space="preserve"> in the proposed approach to embedding</w:t>
      </w:r>
      <w:r w:rsidR="000830EA" w:rsidRPr="00063682">
        <w:rPr>
          <w:lang w:val="en-GB"/>
        </w:rPr>
        <w:t xml:space="preserve"> climate resilience</w:t>
      </w:r>
      <w:r w:rsidR="009138EC" w:rsidRPr="00063682">
        <w:rPr>
          <w:lang w:val="en-GB"/>
        </w:rPr>
        <w:t xml:space="preserve"> (as </w:t>
      </w:r>
      <w:r w:rsidR="00A020D2" w:rsidRPr="00063682">
        <w:rPr>
          <w:lang w:val="en-GB"/>
        </w:rPr>
        <w:t xml:space="preserve">mentioned in </w:t>
      </w:r>
      <w:r w:rsidR="0085084A" w:rsidRPr="00063682">
        <w:rPr>
          <w:lang w:val="en-GB"/>
        </w:rPr>
        <w:t>the overview document, section 6.</w:t>
      </w:r>
      <w:r w:rsidR="00A020D2" w:rsidRPr="00063682">
        <w:rPr>
          <w:lang w:val="en-GB"/>
        </w:rPr>
        <w:t>155)</w:t>
      </w:r>
      <w:r w:rsidR="000830EA" w:rsidRPr="00063682">
        <w:rPr>
          <w:lang w:val="en-GB"/>
        </w:rPr>
        <w:t>.</w:t>
      </w:r>
      <w:r w:rsidR="0026755B" w:rsidRPr="00063682">
        <w:rPr>
          <w:lang w:val="en-GB"/>
        </w:rPr>
        <w:t xml:space="preserve"> </w:t>
      </w:r>
      <w:r w:rsidR="002B0C52" w:rsidRPr="00063682">
        <w:rPr>
          <w:lang w:val="en-GB"/>
        </w:rPr>
        <w:t xml:space="preserve">Flooding and sea level rise have been identified as the highest risks associated with climate change in the UK </w:t>
      </w:r>
      <w:r w:rsidR="00AF36AB" w:rsidRPr="00063682">
        <w:rPr>
          <w:lang w:val="en-GB"/>
        </w:rPr>
        <w:t>[9</w:t>
      </w:r>
      <w:r w:rsidR="002B0C52" w:rsidRPr="00063682">
        <w:rPr>
          <w:lang w:val="en-GB"/>
        </w:rPr>
        <w:t xml:space="preserve">]. </w:t>
      </w:r>
      <w:r w:rsidR="00CE713C" w:rsidRPr="00063682">
        <w:rPr>
          <w:lang w:val="en-GB"/>
        </w:rPr>
        <w:t xml:space="preserve">These risks cover </w:t>
      </w:r>
      <w:r w:rsidR="00314469" w:rsidRPr="00063682">
        <w:rPr>
          <w:lang w:val="en-GB"/>
        </w:rPr>
        <w:t xml:space="preserve">coastal, </w:t>
      </w:r>
      <w:r w:rsidR="00CE713C" w:rsidRPr="00063682">
        <w:rPr>
          <w:lang w:val="en-GB"/>
        </w:rPr>
        <w:t>pluvial</w:t>
      </w:r>
      <w:r w:rsidR="00314469" w:rsidRPr="00063682">
        <w:rPr>
          <w:lang w:val="en-GB"/>
        </w:rPr>
        <w:t>,</w:t>
      </w:r>
      <w:r w:rsidR="00CE713C" w:rsidRPr="00063682">
        <w:rPr>
          <w:lang w:val="en-GB"/>
        </w:rPr>
        <w:t xml:space="preserve"> and fluvial flooding as well as storm surges</w:t>
      </w:r>
      <w:r w:rsidR="005F2E5D" w:rsidRPr="00063682">
        <w:rPr>
          <w:lang w:val="en-GB"/>
        </w:rPr>
        <w:t xml:space="preserve"> and </w:t>
      </w:r>
      <w:r w:rsidR="008401A4" w:rsidRPr="00063682">
        <w:rPr>
          <w:lang w:val="en-GB"/>
        </w:rPr>
        <w:t xml:space="preserve">can affect different </w:t>
      </w:r>
      <w:r w:rsidR="00B729B1" w:rsidRPr="00063682">
        <w:rPr>
          <w:lang w:val="en-GB"/>
        </w:rPr>
        <w:t>parts of the network, such as underground cables, outdoor substations, and foundations</w:t>
      </w:r>
      <w:r w:rsidR="00CE713C" w:rsidRPr="00063682">
        <w:rPr>
          <w:lang w:val="en-GB"/>
        </w:rPr>
        <w:t xml:space="preserve">. </w:t>
      </w:r>
      <w:r w:rsidR="00E30087" w:rsidRPr="00063682">
        <w:rPr>
          <w:lang w:val="en-GB"/>
        </w:rPr>
        <w:t>In the past, floodings caused some of the largest and longest power su</w:t>
      </w:r>
      <w:r w:rsidR="00671D34" w:rsidRPr="00063682">
        <w:rPr>
          <w:lang w:val="en-GB"/>
        </w:rPr>
        <w:t xml:space="preserve">pply interruptions in the UK </w:t>
      </w:r>
      <w:r w:rsidR="00AF36AB" w:rsidRPr="00063682">
        <w:rPr>
          <w:lang w:val="en-GB"/>
        </w:rPr>
        <w:t>[10</w:t>
      </w:r>
      <w:r w:rsidR="00671D34" w:rsidRPr="00063682">
        <w:rPr>
          <w:lang w:val="en-GB"/>
        </w:rPr>
        <w:t>].</w:t>
      </w:r>
      <w:r w:rsidR="00E30087" w:rsidRPr="00063682">
        <w:rPr>
          <w:lang w:val="en-GB"/>
        </w:rPr>
        <w:t xml:space="preserve"> </w:t>
      </w:r>
      <w:r w:rsidR="007545EE" w:rsidRPr="00063682">
        <w:rPr>
          <w:lang w:val="en-GB"/>
        </w:rPr>
        <w:t xml:space="preserve">These impacts </w:t>
      </w:r>
      <w:r w:rsidR="00EE0CD6" w:rsidRPr="00063682">
        <w:rPr>
          <w:lang w:val="en-GB"/>
        </w:rPr>
        <w:t>ar</w:t>
      </w:r>
      <w:r w:rsidR="007545EE" w:rsidRPr="00063682">
        <w:rPr>
          <w:lang w:val="en-GB"/>
        </w:rPr>
        <w:t xml:space="preserve">e attributed to the large affected areas and long clearance times, which </w:t>
      </w:r>
      <w:r w:rsidR="00465E4D" w:rsidRPr="00063682">
        <w:rPr>
          <w:lang w:val="en-GB"/>
        </w:rPr>
        <w:t>increase repair and restoration times. That said,</w:t>
      </w:r>
      <w:r w:rsidR="00C82340" w:rsidRPr="00063682">
        <w:rPr>
          <w:lang w:val="en-GB"/>
        </w:rPr>
        <w:t xml:space="preserve"> the majority of </w:t>
      </w:r>
      <w:r w:rsidR="00261337" w:rsidRPr="00063682">
        <w:rPr>
          <w:lang w:val="en-GB"/>
        </w:rPr>
        <w:t xml:space="preserve">exceptional events </w:t>
      </w:r>
      <w:r w:rsidR="00F07009" w:rsidRPr="00063682">
        <w:rPr>
          <w:lang w:val="en-GB"/>
        </w:rPr>
        <w:t>which led to the top</w:t>
      </w:r>
      <w:r w:rsidR="00261337" w:rsidRPr="00063682">
        <w:rPr>
          <w:lang w:val="en-GB"/>
        </w:rPr>
        <w:t xml:space="preserve"> large</w:t>
      </w:r>
      <w:r w:rsidR="00F07009" w:rsidRPr="00063682">
        <w:rPr>
          <w:lang w:val="en-GB"/>
        </w:rPr>
        <w:t>st</w:t>
      </w:r>
      <w:r w:rsidR="00261337" w:rsidRPr="00063682">
        <w:rPr>
          <w:lang w:val="en-GB"/>
        </w:rPr>
        <w:t xml:space="preserve"> and long</w:t>
      </w:r>
      <w:r w:rsidR="00F07009" w:rsidRPr="00063682">
        <w:rPr>
          <w:lang w:val="en-GB"/>
        </w:rPr>
        <w:t xml:space="preserve">est </w:t>
      </w:r>
      <w:r w:rsidR="00AF353D" w:rsidRPr="00063682">
        <w:rPr>
          <w:lang w:val="en-GB"/>
        </w:rPr>
        <w:t xml:space="preserve">power </w:t>
      </w:r>
      <w:r w:rsidR="00F07009" w:rsidRPr="00063682">
        <w:rPr>
          <w:lang w:val="en-GB"/>
        </w:rPr>
        <w:t>supply interruptions in the UK</w:t>
      </w:r>
      <w:r w:rsidR="00261337" w:rsidRPr="00063682">
        <w:rPr>
          <w:lang w:val="en-GB"/>
        </w:rPr>
        <w:t xml:space="preserve"> </w:t>
      </w:r>
      <w:r w:rsidR="00063E1D" w:rsidRPr="00063682">
        <w:rPr>
          <w:lang w:val="en-GB"/>
        </w:rPr>
        <w:t>was caused by</w:t>
      </w:r>
      <w:r w:rsidR="007721A6" w:rsidRPr="00063682">
        <w:rPr>
          <w:lang w:val="en-GB"/>
        </w:rPr>
        <w:t xml:space="preserve"> wind and gale</w:t>
      </w:r>
      <w:r w:rsidR="00063E1D" w:rsidRPr="00063682">
        <w:rPr>
          <w:lang w:val="en-GB"/>
        </w:rPr>
        <w:t>.</w:t>
      </w:r>
      <w:r w:rsidR="00F06208" w:rsidRPr="00063682">
        <w:rPr>
          <w:lang w:val="en-GB"/>
        </w:rPr>
        <w:t xml:space="preserve"> </w:t>
      </w:r>
      <w:r w:rsidR="00F61555" w:rsidRPr="00063682">
        <w:rPr>
          <w:lang w:val="en-GB"/>
        </w:rPr>
        <w:t xml:space="preserve">Other extreme weather </w:t>
      </w:r>
      <w:r w:rsidR="009C4162" w:rsidRPr="00063682">
        <w:rPr>
          <w:lang w:val="en-GB"/>
        </w:rPr>
        <w:t>e</w:t>
      </w:r>
      <w:r w:rsidR="00F61555" w:rsidRPr="00063682">
        <w:rPr>
          <w:lang w:val="en-GB"/>
        </w:rPr>
        <w:t>vent categories</w:t>
      </w:r>
      <w:r w:rsidR="009C4162" w:rsidRPr="00063682">
        <w:rPr>
          <w:lang w:val="en-GB"/>
        </w:rPr>
        <w:t xml:space="preserve"> also </w:t>
      </w:r>
      <w:r w:rsidR="00B164B7" w:rsidRPr="00063682">
        <w:rPr>
          <w:lang w:val="en-GB"/>
        </w:rPr>
        <w:t>caused a small proportion</w:t>
      </w:r>
      <w:r w:rsidR="00D16884" w:rsidRPr="00063682">
        <w:rPr>
          <w:lang w:val="en-GB"/>
        </w:rPr>
        <w:t xml:space="preserve"> of these</w:t>
      </w:r>
      <w:r w:rsidR="00B164B7" w:rsidRPr="00063682">
        <w:rPr>
          <w:lang w:val="en-GB"/>
        </w:rPr>
        <w:t xml:space="preserve"> largest and longest power supply interruptions in the UK</w:t>
      </w:r>
      <w:r w:rsidR="00D16884" w:rsidRPr="00063682">
        <w:rPr>
          <w:lang w:val="en-GB"/>
        </w:rPr>
        <w:t>, such as</w:t>
      </w:r>
      <w:r w:rsidR="002D23CC" w:rsidRPr="00063682">
        <w:rPr>
          <w:lang w:val="en-GB"/>
        </w:rPr>
        <w:t xml:space="preserve"> snow</w:t>
      </w:r>
      <w:r w:rsidR="003E08F6" w:rsidRPr="00063682">
        <w:rPr>
          <w:lang w:val="en-GB"/>
        </w:rPr>
        <w:t>,</w:t>
      </w:r>
      <w:r w:rsidR="002D23CC" w:rsidRPr="00063682">
        <w:rPr>
          <w:lang w:val="en-GB"/>
        </w:rPr>
        <w:t xml:space="preserve"> ice</w:t>
      </w:r>
      <w:r w:rsidR="00D16884" w:rsidRPr="00063682">
        <w:rPr>
          <w:lang w:val="en-GB"/>
        </w:rPr>
        <w:t>, and</w:t>
      </w:r>
      <w:r w:rsidR="00CA0E64" w:rsidRPr="00063682">
        <w:rPr>
          <w:lang w:val="en-GB"/>
        </w:rPr>
        <w:t xml:space="preserve"> lightning strikes.</w:t>
      </w:r>
      <w:r w:rsidR="008645CD" w:rsidRPr="00063682">
        <w:rPr>
          <w:lang w:val="en-GB"/>
        </w:rPr>
        <w:t xml:space="preserve"> </w:t>
      </w:r>
      <w:r w:rsidR="00F06208" w:rsidRPr="00063682">
        <w:rPr>
          <w:lang w:val="en-GB"/>
        </w:rPr>
        <w:t xml:space="preserve">The analysis of weather-induced power </w:t>
      </w:r>
      <w:r w:rsidR="00762053" w:rsidRPr="00063682">
        <w:rPr>
          <w:lang w:val="en-GB"/>
        </w:rPr>
        <w:t>system failures</w:t>
      </w:r>
      <w:r w:rsidR="00F06208" w:rsidRPr="00063682">
        <w:rPr>
          <w:lang w:val="en-GB"/>
        </w:rPr>
        <w:t xml:space="preserve"> performed by the authors in </w:t>
      </w:r>
      <w:r w:rsidR="00AF36AB" w:rsidRPr="00063682">
        <w:rPr>
          <w:lang w:val="en-GB"/>
        </w:rPr>
        <w:t>[11]</w:t>
      </w:r>
      <w:r w:rsidR="006F7BA7" w:rsidRPr="00063682">
        <w:rPr>
          <w:lang w:val="en-GB"/>
        </w:rPr>
        <w:t xml:space="preserve"> and </w:t>
      </w:r>
      <w:r w:rsidR="00AF36AB" w:rsidRPr="00063682">
        <w:rPr>
          <w:lang w:val="en-GB"/>
        </w:rPr>
        <w:t>[12]</w:t>
      </w:r>
      <w:r w:rsidR="00DD39F3" w:rsidRPr="00063682">
        <w:rPr>
          <w:lang w:val="en-GB"/>
        </w:rPr>
        <w:t xml:space="preserve"> indicates that the majority</w:t>
      </w:r>
      <w:r w:rsidR="00762053" w:rsidRPr="00063682">
        <w:rPr>
          <w:lang w:val="en-GB"/>
        </w:rPr>
        <w:t xml:space="preserve"> of occurrences </w:t>
      </w:r>
      <w:r w:rsidR="006B6F1D" w:rsidRPr="00063682">
        <w:rPr>
          <w:lang w:val="en-GB"/>
        </w:rPr>
        <w:t xml:space="preserve">between 2010 and 2019 </w:t>
      </w:r>
      <w:r w:rsidR="00EB6506" w:rsidRPr="00063682">
        <w:rPr>
          <w:lang w:val="en-GB"/>
        </w:rPr>
        <w:t xml:space="preserve">is </w:t>
      </w:r>
      <w:r w:rsidR="002B1115" w:rsidRPr="00063682">
        <w:rPr>
          <w:lang w:val="en-GB"/>
        </w:rPr>
        <w:t>attribu</w:t>
      </w:r>
      <w:r w:rsidR="00EB6506" w:rsidRPr="00063682">
        <w:rPr>
          <w:lang w:val="en-GB"/>
        </w:rPr>
        <w:t xml:space="preserve">ted </w:t>
      </w:r>
      <w:r w:rsidR="002B1115" w:rsidRPr="00063682">
        <w:rPr>
          <w:lang w:val="en-GB"/>
        </w:rPr>
        <w:t>to</w:t>
      </w:r>
      <w:r w:rsidR="00EB6506" w:rsidRPr="00063682">
        <w:rPr>
          <w:lang w:val="en-GB"/>
        </w:rPr>
        <w:t xml:space="preserve"> wind and gale in winter, </w:t>
      </w:r>
      <w:r w:rsidR="00D66760" w:rsidRPr="00063682">
        <w:rPr>
          <w:lang w:val="en-GB"/>
        </w:rPr>
        <w:t>followed by lightning strikes and snow and ice</w:t>
      </w:r>
      <w:r w:rsidR="00DD39F3" w:rsidRPr="00063682">
        <w:rPr>
          <w:lang w:val="en-GB"/>
        </w:rPr>
        <w:t>.</w:t>
      </w:r>
      <w:r w:rsidR="00C94437" w:rsidRPr="00063682">
        <w:rPr>
          <w:lang w:val="en-GB"/>
        </w:rPr>
        <w:t xml:space="preserve"> </w:t>
      </w:r>
      <w:r w:rsidR="00C57C2B" w:rsidRPr="00063682">
        <w:rPr>
          <w:lang w:val="en-GB"/>
        </w:rPr>
        <w:t xml:space="preserve">This analysis indicates </w:t>
      </w:r>
      <w:r w:rsidR="00A03C21" w:rsidRPr="00063682">
        <w:rPr>
          <w:lang w:val="en-GB"/>
        </w:rPr>
        <w:t xml:space="preserve">the significance </w:t>
      </w:r>
      <w:r w:rsidR="00F77C89" w:rsidRPr="00063682">
        <w:rPr>
          <w:lang w:val="en-GB"/>
        </w:rPr>
        <w:t>of</w:t>
      </w:r>
      <w:r w:rsidR="00EE0CD6" w:rsidRPr="00063682">
        <w:rPr>
          <w:lang w:val="en-GB"/>
        </w:rPr>
        <w:t xml:space="preserve"> different severe weather event categories</w:t>
      </w:r>
      <w:r w:rsidR="00573DD6" w:rsidRPr="00063682">
        <w:rPr>
          <w:lang w:val="en-GB"/>
        </w:rPr>
        <w:t xml:space="preserve"> </w:t>
      </w:r>
      <w:r w:rsidR="00F77C89" w:rsidRPr="00063682">
        <w:rPr>
          <w:lang w:val="en-GB"/>
        </w:rPr>
        <w:t>across seasons</w:t>
      </w:r>
      <w:r w:rsidR="00FB67AB" w:rsidRPr="00063682">
        <w:rPr>
          <w:lang w:val="en-GB"/>
        </w:rPr>
        <w:t xml:space="preserve"> between 2010 and 2019</w:t>
      </w:r>
      <w:r w:rsidR="000A133D" w:rsidRPr="00063682">
        <w:rPr>
          <w:lang w:val="en-GB"/>
        </w:rPr>
        <w:t>. Recent severe weather events</w:t>
      </w:r>
      <w:r w:rsidR="003740A4" w:rsidRPr="00063682">
        <w:rPr>
          <w:lang w:val="en-GB"/>
        </w:rPr>
        <w:t>,</w:t>
      </w:r>
      <w:r w:rsidR="000A133D" w:rsidRPr="00063682">
        <w:rPr>
          <w:lang w:val="en-GB"/>
        </w:rPr>
        <w:t xml:space="preserve"> such as Storm Jocelyn and Storm Isha, </w:t>
      </w:r>
      <w:r w:rsidR="00E066F4" w:rsidRPr="00063682">
        <w:rPr>
          <w:lang w:val="en-GB"/>
        </w:rPr>
        <w:t>also evince</w:t>
      </w:r>
      <w:r w:rsidR="003740A4" w:rsidRPr="00063682">
        <w:rPr>
          <w:lang w:val="en-GB"/>
        </w:rPr>
        <w:t xml:space="preserve"> that electricity networks are </w:t>
      </w:r>
      <w:r w:rsidR="006D7956" w:rsidRPr="00063682">
        <w:rPr>
          <w:lang w:val="en-GB"/>
        </w:rPr>
        <w:t xml:space="preserve">still </w:t>
      </w:r>
      <w:r w:rsidR="003740A4" w:rsidRPr="00063682">
        <w:rPr>
          <w:lang w:val="en-GB"/>
        </w:rPr>
        <w:t>not prepared</w:t>
      </w:r>
      <w:r w:rsidR="006D7956" w:rsidRPr="00063682">
        <w:rPr>
          <w:lang w:val="en-GB"/>
        </w:rPr>
        <w:t xml:space="preserve"> </w:t>
      </w:r>
      <w:r w:rsidR="00281F8B" w:rsidRPr="00063682">
        <w:rPr>
          <w:lang w:val="en-GB"/>
        </w:rPr>
        <w:t xml:space="preserve">against common </w:t>
      </w:r>
      <w:r w:rsidR="009E3A76" w:rsidRPr="00063682">
        <w:rPr>
          <w:lang w:val="en-GB"/>
        </w:rPr>
        <w:t xml:space="preserve">weather-related failure </w:t>
      </w:r>
      <w:r w:rsidR="00281F8B" w:rsidRPr="00063682">
        <w:rPr>
          <w:lang w:val="en-GB"/>
        </w:rPr>
        <w:t>causes</w:t>
      </w:r>
      <w:r w:rsidR="00FB67AB" w:rsidRPr="00063682">
        <w:rPr>
          <w:lang w:val="en-GB"/>
        </w:rPr>
        <w:t>. Climate change is linked to an increase in the risks (i.e., threat, exposure, vulnerability</w:t>
      </w:r>
      <w:r w:rsidR="0057761F" w:rsidRPr="00063682">
        <w:rPr>
          <w:lang w:val="en-GB"/>
        </w:rPr>
        <w:t xml:space="preserve"> [</w:t>
      </w:r>
      <w:r w:rsidR="00AF36AB" w:rsidRPr="00063682">
        <w:rPr>
          <w:lang w:val="en-GB"/>
        </w:rPr>
        <w:t>13</w:t>
      </w:r>
      <w:r w:rsidR="0057761F" w:rsidRPr="00063682">
        <w:rPr>
          <w:lang w:val="en-GB"/>
        </w:rPr>
        <w:t>]</w:t>
      </w:r>
      <w:r w:rsidR="00FB67AB" w:rsidRPr="00063682">
        <w:rPr>
          <w:lang w:val="en-GB"/>
        </w:rPr>
        <w:t>)</w:t>
      </w:r>
      <w:r w:rsidR="00CF1BBE" w:rsidRPr="00063682">
        <w:rPr>
          <w:lang w:val="en-GB"/>
        </w:rPr>
        <w:t xml:space="preserve"> </w:t>
      </w:r>
      <w:r w:rsidR="00F65BD1" w:rsidRPr="00063682">
        <w:rPr>
          <w:lang w:val="en-GB"/>
        </w:rPr>
        <w:t xml:space="preserve">associated with </w:t>
      </w:r>
      <w:r w:rsidR="002A5C0A" w:rsidRPr="00063682">
        <w:rPr>
          <w:lang w:val="en-GB"/>
        </w:rPr>
        <w:t xml:space="preserve">certain </w:t>
      </w:r>
      <w:r w:rsidR="00F65BD1" w:rsidRPr="00063682">
        <w:rPr>
          <w:lang w:val="en-GB"/>
        </w:rPr>
        <w:t xml:space="preserve">severe weather event </w:t>
      </w:r>
      <w:r w:rsidR="002A5C0A" w:rsidRPr="00063682">
        <w:rPr>
          <w:lang w:val="en-GB"/>
        </w:rPr>
        <w:t>categories, such as storms and heatwaves</w:t>
      </w:r>
      <w:r w:rsidR="00F77C89" w:rsidRPr="00063682">
        <w:rPr>
          <w:lang w:val="en-GB"/>
        </w:rPr>
        <w:t xml:space="preserve">. </w:t>
      </w:r>
      <w:r w:rsidR="0095479A" w:rsidRPr="00063682">
        <w:rPr>
          <w:lang w:val="en-GB"/>
        </w:rPr>
        <w:t xml:space="preserve">Current and projected </w:t>
      </w:r>
      <w:r w:rsidR="00F77C89" w:rsidRPr="00063682">
        <w:rPr>
          <w:lang w:val="en-GB"/>
        </w:rPr>
        <w:t xml:space="preserve">risks associated with different </w:t>
      </w:r>
      <w:r w:rsidR="00C63DD1" w:rsidRPr="00063682">
        <w:rPr>
          <w:lang w:val="en-GB"/>
        </w:rPr>
        <w:t>extreme weather events</w:t>
      </w:r>
      <w:r w:rsidR="00F77C89" w:rsidRPr="00063682">
        <w:rPr>
          <w:lang w:val="en-GB"/>
        </w:rPr>
        <w:t xml:space="preserve"> </w:t>
      </w:r>
      <w:r w:rsidR="00573DD6" w:rsidRPr="00063682">
        <w:rPr>
          <w:lang w:val="en-GB"/>
        </w:rPr>
        <w:t xml:space="preserve">have to be </w:t>
      </w:r>
      <w:r w:rsidR="00AE5AB3" w:rsidRPr="00063682">
        <w:rPr>
          <w:lang w:val="en-GB"/>
        </w:rPr>
        <w:t xml:space="preserve">considered for </w:t>
      </w:r>
      <w:r w:rsidR="00B223B4" w:rsidRPr="00063682">
        <w:rPr>
          <w:lang w:val="en-GB"/>
        </w:rPr>
        <w:t xml:space="preserve">the selection </w:t>
      </w:r>
      <w:r w:rsidR="001F66D5" w:rsidRPr="00063682">
        <w:rPr>
          <w:lang w:val="en-GB"/>
        </w:rPr>
        <w:t xml:space="preserve">and implementation </w:t>
      </w:r>
      <w:r w:rsidR="00B223B4" w:rsidRPr="00063682">
        <w:rPr>
          <w:lang w:val="en-GB"/>
        </w:rPr>
        <w:t>of appropriate mitigation measures</w:t>
      </w:r>
      <w:r w:rsidR="001F66D5" w:rsidRPr="00063682">
        <w:rPr>
          <w:lang w:val="en-GB"/>
        </w:rPr>
        <w:t xml:space="preserve"> in a timely manner</w:t>
      </w:r>
      <w:r w:rsidR="00B223B4" w:rsidRPr="00063682">
        <w:rPr>
          <w:lang w:val="en-GB"/>
        </w:rPr>
        <w:t>.</w:t>
      </w:r>
      <w:r w:rsidR="001F66D5" w:rsidRPr="00063682">
        <w:rPr>
          <w:lang w:val="en-GB"/>
        </w:rPr>
        <w:t xml:space="preserve"> </w:t>
      </w:r>
      <w:r w:rsidR="00FE304B" w:rsidRPr="00063682">
        <w:rPr>
          <w:lang w:val="en-GB"/>
        </w:rPr>
        <w:t xml:space="preserve">It is also important to </w:t>
      </w:r>
      <w:r w:rsidR="005754A3" w:rsidRPr="00063682">
        <w:rPr>
          <w:lang w:val="en-GB"/>
        </w:rPr>
        <w:t>assess</w:t>
      </w:r>
      <w:r w:rsidR="00CA320F" w:rsidRPr="00063682">
        <w:rPr>
          <w:lang w:val="en-GB"/>
        </w:rPr>
        <w:t xml:space="preserve"> </w:t>
      </w:r>
      <w:r w:rsidR="005754A3" w:rsidRPr="00063682">
        <w:rPr>
          <w:lang w:val="en-GB"/>
        </w:rPr>
        <w:t xml:space="preserve">the risks associated with extreme weather events in a changing climate </w:t>
      </w:r>
      <w:r w:rsidR="00FB3332" w:rsidRPr="00063682">
        <w:rPr>
          <w:lang w:val="en-GB"/>
        </w:rPr>
        <w:t xml:space="preserve">at </w:t>
      </w:r>
      <w:r w:rsidR="005754A3" w:rsidRPr="00063682">
        <w:rPr>
          <w:lang w:val="en-GB"/>
        </w:rPr>
        <w:t xml:space="preserve">regional level, </w:t>
      </w:r>
      <w:r w:rsidR="00F1100B" w:rsidRPr="00063682">
        <w:rPr>
          <w:lang w:val="en-GB"/>
        </w:rPr>
        <w:t xml:space="preserve">given that </w:t>
      </w:r>
      <w:r w:rsidR="007D523F" w:rsidRPr="00063682">
        <w:rPr>
          <w:lang w:val="en-GB"/>
        </w:rPr>
        <w:t xml:space="preserve">UK </w:t>
      </w:r>
      <w:r w:rsidR="00F1100B" w:rsidRPr="00063682">
        <w:rPr>
          <w:lang w:val="en-GB"/>
        </w:rPr>
        <w:t>DNO</w:t>
      </w:r>
      <w:r w:rsidR="00993663" w:rsidRPr="00063682">
        <w:rPr>
          <w:lang w:val="en-GB"/>
        </w:rPr>
        <w:t xml:space="preserve"> license areas cover a</w:t>
      </w:r>
      <w:r w:rsidR="008F1C20" w:rsidRPr="00063682">
        <w:rPr>
          <w:lang w:val="en-GB"/>
        </w:rPr>
        <w:t xml:space="preserve"> considerably</w:t>
      </w:r>
      <w:r w:rsidR="00993663" w:rsidRPr="00063682">
        <w:rPr>
          <w:lang w:val="en-GB"/>
        </w:rPr>
        <w:t xml:space="preserve"> wide range </w:t>
      </w:r>
      <w:r w:rsidR="008F1C20" w:rsidRPr="00063682">
        <w:rPr>
          <w:lang w:val="en-GB"/>
        </w:rPr>
        <w:t>of</w:t>
      </w:r>
      <w:r w:rsidR="00203A60" w:rsidRPr="00063682">
        <w:rPr>
          <w:lang w:val="en-GB"/>
        </w:rPr>
        <w:t xml:space="preserve"> </w:t>
      </w:r>
      <w:r w:rsidR="00D845A9" w:rsidRPr="00063682">
        <w:rPr>
          <w:lang w:val="en-GB"/>
        </w:rPr>
        <w:t>latitu</w:t>
      </w:r>
      <w:r w:rsidR="00024FEE" w:rsidRPr="00063682">
        <w:rPr>
          <w:lang w:val="en-GB"/>
        </w:rPr>
        <w:t xml:space="preserve">des, topographies, and regional </w:t>
      </w:r>
      <w:r w:rsidR="00203A60" w:rsidRPr="00063682">
        <w:rPr>
          <w:lang w:val="en-GB"/>
        </w:rPr>
        <w:t>climat</w:t>
      </w:r>
      <w:r w:rsidR="00024FEE" w:rsidRPr="00063682">
        <w:rPr>
          <w:lang w:val="en-GB"/>
        </w:rPr>
        <w:t>es</w:t>
      </w:r>
      <w:r w:rsidR="00203A60" w:rsidRPr="00063682">
        <w:rPr>
          <w:lang w:val="en-GB"/>
        </w:rPr>
        <w:t>.</w:t>
      </w:r>
      <w:r w:rsidR="008F1C20" w:rsidRPr="00063682">
        <w:rPr>
          <w:lang w:val="en-GB"/>
        </w:rPr>
        <w:t xml:space="preserve"> </w:t>
      </w:r>
      <w:r w:rsidR="002F2145" w:rsidRPr="00063682">
        <w:rPr>
          <w:lang w:val="en-GB"/>
        </w:rPr>
        <w:t>T</w:t>
      </w:r>
      <w:r w:rsidR="008F1C20" w:rsidRPr="00063682">
        <w:rPr>
          <w:lang w:val="en-GB"/>
        </w:rPr>
        <w:t xml:space="preserve">he </w:t>
      </w:r>
      <w:r w:rsidR="009A7D4A" w:rsidRPr="00063682">
        <w:rPr>
          <w:lang w:val="en-GB"/>
        </w:rPr>
        <w:t>definition of</w:t>
      </w:r>
      <w:r w:rsidR="008F1C20" w:rsidRPr="00063682">
        <w:rPr>
          <w:lang w:val="en-GB"/>
        </w:rPr>
        <w:t xml:space="preserve"> climate resilience</w:t>
      </w:r>
      <w:r w:rsidR="00E163BF" w:rsidRPr="00063682">
        <w:rPr>
          <w:lang w:val="en-GB"/>
        </w:rPr>
        <w:t xml:space="preserve"> </w:t>
      </w:r>
      <w:r w:rsidR="00536ECC" w:rsidRPr="00063682">
        <w:rPr>
          <w:lang w:val="en-GB"/>
        </w:rPr>
        <w:t xml:space="preserve">and the principles for embedding it in </w:t>
      </w:r>
      <w:r w:rsidR="003C54FB" w:rsidRPr="00063682">
        <w:rPr>
          <w:lang w:val="en-GB"/>
        </w:rPr>
        <w:t xml:space="preserve">investment plans and </w:t>
      </w:r>
      <w:r w:rsidR="00536ECC" w:rsidRPr="00063682">
        <w:rPr>
          <w:lang w:val="en-GB"/>
        </w:rPr>
        <w:t>price control mech</w:t>
      </w:r>
      <w:r w:rsidR="002F2145" w:rsidRPr="00063682">
        <w:rPr>
          <w:lang w:val="en-GB"/>
        </w:rPr>
        <w:t>a</w:t>
      </w:r>
      <w:r w:rsidR="00536ECC" w:rsidRPr="00063682">
        <w:rPr>
          <w:lang w:val="en-GB"/>
        </w:rPr>
        <w:t xml:space="preserve">nisms </w:t>
      </w:r>
      <w:r w:rsidR="00820F63" w:rsidRPr="00063682">
        <w:rPr>
          <w:lang w:val="en-GB"/>
        </w:rPr>
        <w:t xml:space="preserve">(as defined in </w:t>
      </w:r>
      <w:r w:rsidR="0085084A" w:rsidRPr="00063682">
        <w:rPr>
          <w:lang w:val="en-GB"/>
        </w:rPr>
        <w:t>the overview document, section 6.</w:t>
      </w:r>
      <w:r w:rsidR="00820F63" w:rsidRPr="00063682">
        <w:rPr>
          <w:lang w:val="en-GB"/>
        </w:rPr>
        <w:t xml:space="preserve">157) </w:t>
      </w:r>
      <w:r w:rsidR="00E163BF" w:rsidRPr="00063682">
        <w:rPr>
          <w:lang w:val="en-GB"/>
        </w:rPr>
        <w:t xml:space="preserve">should </w:t>
      </w:r>
      <w:r w:rsidR="00B015FF" w:rsidRPr="00063682">
        <w:rPr>
          <w:lang w:val="en-GB"/>
        </w:rPr>
        <w:t>account for</w:t>
      </w:r>
      <w:r w:rsidR="00E30998" w:rsidRPr="00063682">
        <w:rPr>
          <w:lang w:val="en-GB"/>
        </w:rPr>
        <w:t xml:space="preserve"> </w:t>
      </w:r>
      <w:r w:rsidR="00963206" w:rsidRPr="00063682">
        <w:rPr>
          <w:lang w:val="en-GB"/>
        </w:rPr>
        <w:t xml:space="preserve">these </w:t>
      </w:r>
      <w:r w:rsidR="00E30998" w:rsidRPr="00063682">
        <w:rPr>
          <w:lang w:val="en-GB"/>
        </w:rPr>
        <w:t>regional differences</w:t>
      </w:r>
      <w:r w:rsidR="00963206" w:rsidRPr="00063682">
        <w:rPr>
          <w:lang w:val="en-GB"/>
        </w:rPr>
        <w:t xml:space="preserve"> and</w:t>
      </w:r>
      <w:r w:rsidR="00E163BF" w:rsidRPr="00063682">
        <w:rPr>
          <w:lang w:val="en-GB"/>
        </w:rPr>
        <w:t xml:space="preserve"> </w:t>
      </w:r>
      <w:r w:rsidR="00B015FF" w:rsidRPr="00063682">
        <w:rPr>
          <w:lang w:val="en-GB"/>
        </w:rPr>
        <w:t xml:space="preserve">represent different </w:t>
      </w:r>
      <w:r w:rsidR="00E163BF" w:rsidRPr="00063682">
        <w:rPr>
          <w:lang w:val="en-GB"/>
        </w:rPr>
        <w:t xml:space="preserve">climate </w:t>
      </w:r>
      <w:r w:rsidR="00963206" w:rsidRPr="00063682">
        <w:rPr>
          <w:lang w:val="en-GB"/>
        </w:rPr>
        <w:t xml:space="preserve">change </w:t>
      </w:r>
      <w:r w:rsidR="00E163BF" w:rsidRPr="00063682">
        <w:rPr>
          <w:lang w:val="en-GB"/>
        </w:rPr>
        <w:t>risks.</w:t>
      </w:r>
    </w:p>
    <w:p w14:paraId="084385F6" w14:textId="7133DD61" w:rsidR="00F506A3" w:rsidRPr="00063682" w:rsidRDefault="007C5835" w:rsidP="0085084A">
      <w:pPr>
        <w:pStyle w:val="NoSpacing"/>
        <w:numPr>
          <w:ilvl w:val="0"/>
          <w:numId w:val="6"/>
        </w:numPr>
        <w:jc w:val="both"/>
        <w:rPr>
          <w:lang w:val="en-GB"/>
        </w:rPr>
      </w:pPr>
      <w:r w:rsidRPr="00063682">
        <w:rPr>
          <w:u w:val="single"/>
          <w:lang w:val="en-GB"/>
        </w:rPr>
        <w:t xml:space="preserve">Consideration of risks </w:t>
      </w:r>
      <w:r w:rsidR="009955C1" w:rsidRPr="00063682">
        <w:rPr>
          <w:u w:val="single"/>
          <w:lang w:val="en-GB"/>
        </w:rPr>
        <w:t>associated with</w:t>
      </w:r>
      <w:r w:rsidR="00D26E47" w:rsidRPr="00063682">
        <w:rPr>
          <w:u w:val="single"/>
          <w:lang w:val="en-GB"/>
        </w:rPr>
        <w:t xml:space="preserve"> ecosystems in a changing climate</w:t>
      </w:r>
      <w:r w:rsidR="00F506A3" w:rsidRPr="00063682">
        <w:rPr>
          <w:lang w:val="en-GB"/>
        </w:rPr>
        <w:t xml:space="preserve">: </w:t>
      </w:r>
      <w:r w:rsidR="009D42E8" w:rsidRPr="00063682">
        <w:rPr>
          <w:lang w:val="en-GB"/>
        </w:rPr>
        <w:t>Climate change is linked not only to an increase in the risks associated with different severe weather event categories</w:t>
      </w:r>
      <w:r w:rsidR="00B42063" w:rsidRPr="00063682">
        <w:rPr>
          <w:lang w:val="en-GB"/>
        </w:rPr>
        <w:t>, but also</w:t>
      </w:r>
      <w:r w:rsidR="009D42E8" w:rsidRPr="00063682">
        <w:rPr>
          <w:lang w:val="en-GB"/>
        </w:rPr>
        <w:t xml:space="preserve"> to changes in natural ecosystems</w:t>
      </w:r>
      <w:r w:rsidR="00B42063" w:rsidRPr="00063682">
        <w:rPr>
          <w:lang w:val="en-GB"/>
        </w:rPr>
        <w:t xml:space="preserve"> [</w:t>
      </w:r>
      <w:r w:rsidR="00AF36AB" w:rsidRPr="00063682">
        <w:rPr>
          <w:lang w:val="en-GB"/>
        </w:rPr>
        <w:t>13</w:t>
      </w:r>
      <w:r w:rsidR="00B42063" w:rsidRPr="00063682">
        <w:rPr>
          <w:lang w:val="en-GB"/>
        </w:rPr>
        <w:t>]</w:t>
      </w:r>
      <w:r w:rsidR="00C57C87" w:rsidRPr="00063682">
        <w:rPr>
          <w:lang w:val="en-GB"/>
        </w:rPr>
        <w:t xml:space="preserve"> (as acknowledged in </w:t>
      </w:r>
      <w:r w:rsidR="0085084A" w:rsidRPr="00063682">
        <w:rPr>
          <w:lang w:val="en-GB"/>
        </w:rPr>
        <w:t>the overview document, section 6.</w:t>
      </w:r>
      <w:r w:rsidR="00F917A3" w:rsidRPr="00063682">
        <w:rPr>
          <w:lang w:val="en-GB"/>
        </w:rPr>
        <w:t>154)</w:t>
      </w:r>
      <w:r w:rsidR="009D42E8" w:rsidRPr="00063682">
        <w:rPr>
          <w:lang w:val="en-GB"/>
        </w:rPr>
        <w:t>.</w:t>
      </w:r>
      <w:r w:rsidR="00B42063" w:rsidRPr="00063682">
        <w:rPr>
          <w:lang w:val="en-GB"/>
        </w:rPr>
        <w:t xml:space="preserve"> </w:t>
      </w:r>
      <w:r w:rsidR="00912623" w:rsidRPr="00063682">
        <w:rPr>
          <w:lang w:val="en-GB"/>
        </w:rPr>
        <w:t>T</w:t>
      </w:r>
      <w:r w:rsidR="00CF30B3" w:rsidRPr="00063682">
        <w:rPr>
          <w:lang w:val="en-GB"/>
        </w:rPr>
        <w:t xml:space="preserve">here are 11 direct causes of power system failures </w:t>
      </w:r>
      <w:r w:rsidR="00633C6B" w:rsidRPr="00063682">
        <w:rPr>
          <w:lang w:val="en-GB"/>
        </w:rPr>
        <w:t>attribut</w:t>
      </w:r>
      <w:r w:rsidR="00BB0C84" w:rsidRPr="00063682">
        <w:rPr>
          <w:lang w:val="en-GB"/>
        </w:rPr>
        <w:t xml:space="preserve">ed </w:t>
      </w:r>
      <w:r w:rsidR="00633C6B" w:rsidRPr="00063682">
        <w:rPr>
          <w:lang w:val="en-GB"/>
        </w:rPr>
        <w:t>to</w:t>
      </w:r>
      <w:r w:rsidR="00CF30B3" w:rsidRPr="00063682">
        <w:rPr>
          <w:lang w:val="en-GB"/>
        </w:rPr>
        <w:t xml:space="preserve"> weather phenomen</w:t>
      </w:r>
      <w:r w:rsidR="00633C6B" w:rsidRPr="00063682">
        <w:rPr>
          <w:lang w:val="en-GB"/>
        </w:rPr>
        <w:t xml:space="preserve">a defined by </w:t>
      </w:r>
      <w:r w:rsidR="00AF36AB" w:rsidRPr="00063682">
        <w:rPr>
          <w:lang w:val="en-GB"/>
        </w:rPr>
        <w:t>[14</w:t>
      </w:r>
      <w:r w:rsidR="00653C9F" w:rsidRPr="00063682">
        <w:rPr>
          <w:lang w:val="en-GB"/>
        </w:rPr>
        <w:t>]</w:t>
      </w:r>
      <w:r w:rsidR="00CF30B3" w:rsidRPr="00063682">
        <w:rPr>
          <w:lang w:val="en-GB"/>
        </w:rPr>
        <w:t xml:space="preserve">: lightning strikes, rain, snow and ice, ice, freezing fog and frost, wind and gale (excluding wind-borne materials), wind-borne materials, solar heat, flooding, condensation, and corrosion. </w:t>
      </w:r>
      <w:r w:rsidR="003E796B" w:rsidRPr="00063682">
        <w:rPr>
          <w:lang w:val="en-GB"/>
        </w:rPr>
        <w:t xml:space="preserve">In turn, there are </w:t>
      </w:r>
      <w:r w:rsidR="00142D60" w:rsidRPr="00063682">
        <w:rPr>
          <w:lang w:val="en-GB"/>
        </w:rPr>
        <w:t>7</w:t>
      </w:r>
      <w:r w:rsidR="00A66BE9" w:rsidRPr="00063682">
        <w:rPr>
          <w:lang w:val="en-GB"/>
        </w:rPr>
        <w:t xml:space="preserve"> </w:t>
      </w:r>
      <w:r w:rsidR="003E796B" w:rsidRPr="00063682">
        <w:rPr>
          <w:lang w:val="en-GB"/>
        </w:rPr>
        <w:t xml:space="preserve">direct causes of </w:t>
      </w:r>
      <w:bookmarkStart w:id="0" w:name="_Hlk158887548"/>
      <w:r w:rsidR="003E796B" w:rsidRPr="00063682">
        <w:rPr>
          <w:lang w:val="en-GB"/>
        </w:rPr>
        <w:t>power system failure attributed to</w:t>
      </w:r>
      <w:r w:rsidR="00CD390C" w:rsidRPr="00063682">
        <w:rPr>
          <w:lang w:val="en-GB"/>
        </w:rPr>
        <w:t xml:space="preserve"> </w:t>
      </w:r>
      <w:r w:rsidR="00254442" w:rsidRPr="00063682">
        <w:rPr>
          <w:lang w:val="en-GB"/>
        </w:rPr>
        <w:t>fauna and flora</w:t>
      </w:r>
      <w:bookmarkEnd w:id="0"/>
      <w:r w:rsidR="008608DB" w:rsidRPr="00063682">
        <w:rPr>
          <w:lang w:val="en-GB"/>
        </w:rPr>
        <w:t xml:space="preserve">: </w:t>
      </w:r>
      <w:r w:rsidR="00142D60" w:rsidRPr="00063682">
        <w:rPr>
          <w:lang w:val="en-GB"/>
        </w:rPr>
        <w:t xml:space="preserve">fire not due to faults, </w:t>
      </w:r>
      <w:r w:rsidR="001E7628" w:rsidRPr="00063682">
        <w:rPr>
          <w:lang w:val="en-GB"/>
        </w:rPr>
        <w:t xml:space="preserve">falling live trees, falling dead trees, growing trees, birds (including swans and geese), wild animals </w:t>
      </w:r>
      <w:r w:rsidR="004E706A" w:rsidRPr="00063682">
        <w:rPr>
          <w:lang w:val="en-GB"/>
        </w:rPr>
        <w:t xml:space="preserve">(including vermin </w:t>
      </w:r>
      <w:r w:rsidR="001E7628" w:rsidRPr="00063682">
        <w:rPr>
          <w:lang w:val="en-GB"/>
        </w:rPr>
        <w:t>and insects</w:t>
      </w:r>
      <w:r w:rsidR="004E706A" w:rsidRPr="00063682">
        <w:rPr>
          <w:lang w:val="en-GB"/>
        </w:rPr>
        <w:t>), and</w:t>
      </w:r>
      <w:r w:rsidR="001E7628" w:rsidRPr="00063682">
        <w:rPr>
          <w:lang w:val="en-GB"/>
        </w:rPr>
        <w:t xml:space="preserve"> </w:t>
      </w:r>
      <w:r w:rsidR="00A66BE9" w:rsidRPr="00063682">
        <w:rPr>
          <w:lang w:val="en-GB"/>
        </w:rPr>
        <w:t xml:space="preserve">farm and </w:t>
      </w:r>
      <w:r w:rsidR="001E7628" w:rsidRPr="00063682">
        <w:rPr>
          <w:lang w:val="en-GB"/>
        </w:rPr>
        <w:t>domestic animals</w:t>
      </w:r>
      <w:r w:rsidR="0006435B" w:rsidRPr="00063682">
        <w:rPr>
          <w:lang w:val="en-GB"/>
        </w:rPr>
        <w:t xml:space="preserve">. </w:t>
      </w:r>
      <w:r w:rsidR="00CF30B3" w:rsidRPr="00063682">
        <w:rPr>
          <w:lang w:val="en-GB"/>
        </w:rPr>
        <w:t xml:space="preserve">This classification includes failures of power system components or groups of components which occur as a direct result of the corresponding </w:t>
      </w:r>
      <w:r w:rsidR="000A50D3" w:rsidRPr="00063682">
        <w:rPr>
          <w:lang w:val="en-GB"/>
        </w:rPr>
        <w:t>impact</w:t>
      </w:r>
      <w:r w:rsidR="00FA418A" w:rsidRPr="00063682">
        <w:rPr>
          <w:lang w:val="en-GB"/>
        </w:rPr>
        <w:t xml:space="preserve"> categorie</w:t>
      </w:r>
      <w:r w:rsidR="00865300" w:rsidRPr="00063682">
        <w:rPr>
          <w:lang w:val="en-GB"/>
        </w:rPr>
        <w:t>s</w:t>
      </w:r>
      <w:r w:rsidR="00CF30B3" w:rsidRPr="00063682">
        <w:rPr>
          <w:lang w:val="en-GB"/>
        </w:rPr>
        <w:t>.</w:t>
      </w:r>
      <w:r w:rsidR="00865300" w:rsidRPr="00063682">
        <w:rPr>
          <w:lang w:val="en-GB"/>
        </w:rPr>
        <w:t xml:space="preserve"> </w:t>
      </w:r>
      <w:r w:rsidR="00810409" w:rsidRPr="00063682">
        <w:rPr>
          <w:lang w:val="en-GB"/>
        </w:rPr>
        <w:t xml:space="preserve">In </w:t>
      </w:r>
      <w:r w:rsidR="00AF36AB" w:rsidRPr="00063682">
        <w:rPr>
          <w:lang w:val="en-GB"/>
        </w:rPr>
        <w:t>[9</w:t>
      </w:r>
      <w:r w:rsidR="00810409" w:rsidRPr="00063682">
        <w:rPr>
          <w:lang w:val="en-GB"/>
        </w:rPr>
        <w:t>], c</w:t>
      </w:r>
      <w:r w:rsidR="00210EC5" w:rsidRPr="00063682">
        <w:rPr>
          <w:lang w:val="en-GB"/>
        </w:rPr>
        <w:t>limate change r</w:t>
      </w:r>
      <w:r w:rsidR="00EC1B9B" w:rsidRPr="00063682">
        <w:rPr>
          <w:lang w:val="en-GB"/>
        </w:rPr>
        <w:t>isks for energy networks associated with c</w:t>
      </w:r>
      <w:r w:rsidR="009554CF" w:rsidRPr="00063682">
        <w:rPr>
          <w:lang w:val="en-GB"/>
        </w:rPr>
        <w:t>hanges in natural ecosystems</w:t>
      </w:r>
      <w:r w:rsidR="00085440" w:rsidRPr="00063682">
        <w:rPr>
          <w:lang w:val="en-GB"/>
        </w:rPr>
        <w:t xml:space="preserve"> </w:t>
      </w:r>
      <w:r w:rsidR="0066388F" w:rsidRPr="00063682">
        <w:rPr>
          <w:lang w:val="en-GB"/>
        </w:rPr>
        <w:t>(</w:t>
      </w:r>
      <w:r w:rsidR="00085440" w:rsidRPr="00063682">
        <w:rPr>
          <w:lang w:val="en-GB"/>
        </w:rPr>
        <w:t>induced or accelerated by climate change</w:t>
      </w:r>
      <w:r w:rsidR="0066388F" w:rsidRPr="00063682">
        <w:rPr>
          <w:lang w:val="en-GB"/>
        </w:rPr>
        <w:t>)</w:t>
      </w:r>
      <w:r w:rsidR="00E853BA" w:rsidRPr="00063682">
        <w:rPr>
          <w:lang w:val="en-GB"/>
        </w:rPr>
        <w:t xml:space="preserve"> were </w:t>
      </w:r>
      <w:r w:rsidR="00793723" w:rsidRPr="00063682">
        <w:rPr>
          <w:lang w:val="en-GB"/>
        </w:rPr>
        <w:t>classified as low or negligible</w:t>
      </w:r>
      <w:r w:rsidR="00D73D2E" w:rsidRPr="00063682">
        <w:rPr>
          <w:lang w:val="en-GB"/>
        </w:rPr>
        <w:t xml:space="preserve">. </w:t>
      </w:r>
      <w:r w:rsidR="001F5F46" w:rsidRPr="00063682">
        <w:rPr>
          <w:lang w:val="en-GB"/>
        </w:rPr>
        <w:t xml:space="preserve">Findings reported by DNOs </w:t>
      </w:r>
      <w:r w:rsidR="00E66C7C" w:rsidRPr="00063682">
        <w:rPr>
          <w:lang w:val="en-GB"/>
        </w:rPr>
        <w:t>also indicate that climate change risks for energy networks associated with changes in natural ecosystems are low or negligible.</w:t>
      </w:r>
      <w:r w:rsidR="001F5F46" w:rsidRPr="00063682">
        <w:rPr>
          <w:lang w:val="en-GB"/>
        </w:rPr>
        <w:t xml:space="preserve"> </w:t>
      </w:r>
      <w:r w:rsidR="0042417F" w:rsidRPr="00063682">
        <w:rPr>
          <w:lang w:val="en-GB"/>
        </w:rPr>
        <w:t xml:space="preserve">In particular, </w:t>
      </w:r>
      <w:r w:rsidR="007C5C3F" w:rsidRPr="00063682">
        <w:rPr>
          <w:lang w:val="en-GB"/>
        </w:rPr>
        <w:t>the implementation of the ETR 132</w:t>
      </w:r>
      <w:r w:rsidR="003852A2" w:rsidRPr="00063682">
        <w:rPr>
          <w:lang w:val="en-GB"/>
        </w:rPr>
        <w:t xml:space="preserve"> [15]</w:t>
      </w:r>
      <w:r w:rsidR="007C5C3F" w:rsidRPr="00063682">
        <w:rPr>
          <w:lang w:val="en-GB"/>
        </w:rPr>
        <w:t xml:space="preserve"> </w:t>
      </w:r>
      <w:r w:rsidR="00DB6D67" w:rsidRPr="00063682">
        <w:rPr>
          <w:lang w:val="en-GB"/>
        </w:rPr>
        <w:t xml:space="preserve">is reported to </w:t>
      </w:r>
      <w:r w:rsidR="007C5C3F" w:rsidRPr="00063682">
        <w:rPr>
          <w:lang w:val="en-GB"/>
        </w:rPr>
        <w:t>ha</w:t>
      </w:r>
      <w:r w:rsidR="00DB6D67" w:rsidRPr="00063682">
        <w:rPr>
          <w:lang w:val="en-GB"/>
        </w:rPr>
        <w:t>ve</w:t>
      </w:r>
      <w:r w:rsidR="007C5C3F" w:rsidRPr="00063682">
        <w:rPr>
          <w:lang w:val="en-GB"/>
        </w:rPr>
        <w:t xml:space="preserve"> positively contributed to reduce </w:t>
      </w:r>
      <w:r w:rsidR="0042417F" w:rsidRPr="00063682">
        <w:rPr>
          <w:lang w:val="en-GB"/>
        </w:rPr>
        <w:t>risks associated with vegetation management</w:t>
      </w:r>
      <w:r w:rsidR="00FB3713" w:rsidRPr="00063682">
        <w:rPr>
          <w:lang w:val="en-GB"/>
        </w:rPr>
        <w:t xml:space="preserve">. </w:t>
      </w:r>
      <w:r w:rsidR="009D4C92" w:rsidRPr="00063682">
        <w:rPr>
          <w:lang w:val="en-GB"/>
        </w:rPr>
        <w:t xml:space="preserve">Existing processes </w:t>
      </w:r>
      <w:r w:rsidR="0063434B" w:rsidRPr="00063682">
        <w:rPr>
          <w:lang w:val="en-GB"/>
        </w:rPr>
        <w:t xml:space="preserve">to mitigate risks associated with wildlife and vegetation growth </w:t>
      </w:r>
      <w:r w:rsidR="009D4C92" w:rsidRPr="00063682">
        <w:rPr>
          <w:lang w:val="en-GB"/>
        </w:rPr>
        <w:t>are considered to be suitable</w:t>
      </w:r>
      <w:r w:rsidR="00C15563" w:rsidRPr="00063682">
        <w:rPr>
          <w:lang w:val="en-GB"/>
        </w:rPr>
        <w:t>, whereas the potential need for additional resource</w:t>
      </w:r>
      <w:r w:rsidR="00D34170" w:rsidRPr="00063682">
        <w:rPr>
          <w:lang w:val="en-GB"/>
        </w:rPr>
        <w:t>s</w:t>
      </w:r>
      <w:r w:rsidR="00C15563" w:rsidRPr="00063682">
        <w:rPr>
          <w:lang w:val="en-GB"/>
        </w:rPr>
        <w:t xml:space="preserve"> and investment</w:t>
      </w:r>
      <w:r w:rsidR="00D34170" w:rsidRPr="00063682">
        <w:rPr>
          <w:lang w:val="en-GB"/>
        </w:rPr>
        <w:t>, given significant changes, is acknowledged</w:t>
      </w:r>
      <w:r w:rsidR="00C15563" w:rsidRPr="00063682">
        <w:rPr>
          <w:lang w:val="en-GB"/>
        </w:rPr>
        <w:t>.</w:t>
      </w:r>
      <w:r w:rsidR="003D0B3A" w:rsidRPr="00063682">
        <w:rPr>
          <w:lang w:val="en-GB"/>
        </w:rPr>
        <w:t xml:space="preserve"> </w:t>
      </w:r>
      <w:r w:rsidR="00CD7AD8" w:rsidRPr="00063682">
        <w:rPr>
          <w:lang w:val="en-GB"/>
        </w:rPr>
        <w:t>That said,</w:t>
      </w:r>
      <w:r w:rsidR="0031745B" w:rsidRPr="00063682">
        <w:rPr>
          <w:lang w:val="en-GB"/>
        </w:rPr>
        <w:t xml:space="preserve"> </w:t>
      </w:r>
      <w:r w:rsidR="00136789" w:rsidRPr="00063682">
        <w:rPr>
          <w:lang w:val="en-GB"/>
        </w:rPr>
        <w:t>decision making processes concerning</w:t>
      </w:r>
      <w:r w:rsidR="0031745B" w:rsidRPr="00063682">
        <w:rPr>
          <w:lang w:val="en-GB"/>
        </w:rPr>
        <w:t xml:space="preserve"> </w:t>
      </w:r>
      <w:r w:rsidR="006C4D92" w:rsidRPr="00063682">
        <w:rPr>
          <w:lang w:val="en-GB"/>
        </w:rPr>
        <w:t xml:space="preserve">wildlife and </w:t>
      </w:r>
      <w:r w:rsidR="0031745B" w:rsidRPr="00063682">
        <w:rPr>
          <w:lang w:val="en-GB"/>
        </w:rPr>
        <w:t>vegetation management</w:t>
      </w:r>
      <w:r w:rsidR="00136789" w:rsidRPr="00063682">
        <w:rPr>
          <w:lang w:val="en-GB"/>
        </w:rPr>
        <w:t xml:space="preserve"> can be </w:t>
      </w:r>
      <w:r w:rsidR="00453AB2" w:rsidRPr="00063682">
        <w:rPr>
          <w:lang w:val="en-GB"/>
        </w:rPr>
        <w:t xml:space="preserve">improved. By </w:t>
      </w:r>
      <w:r w:rsidR="00D83AC5" w:rsidRPr="00063682">
        <w:rPr>
          <w:lang w:val="en-GB"/>
        </w:rPr>
        <w:t xml:space="preserve">better </w:t>
      </w:r>
      <w:r w:rsidR="00453AB2" w:rsidRPr="00063682">
        <w:rPr>
          <w:lang w:val="en-GB"/>
        </w:rPr>
        <w:t xml:space="preserve">identifying where and when to trim or remove vegetation in the electricity network surrounding areas, </w:t>
      </w:r>
      <w:r w:rsidR="00D83AC5" w:rsidRPr="00063682">
        <w:rPr>
          <w:lang w:val="en-GB"/>
        </w:rPr>
        <w:t>operation and maintenance costs associated with vegetation management</w:t>
      </w:r>
      <w:r w:rsidR="00FD533D" w:rsidRPr="00063682">
        <w:rPr>
          <w:lang w:val="en-GB"/>
        </w:rPr>
        <w:t xml:space="preserve"> – reported to exceed several millions of pounds every year</w:t>
      </w:r>
      <w:r w:rsidR="009F7B59" w:rsidRPr="00063682">
        <w:rPr>
          <w:lang w:val="en-GB"/>
        </w:rPr>
        <w:t xml:space="preserve"> by DNO license area</w:t>
      </w:r>
      <w:r w:rsidR="00B93A76" w:rsidRPr="00063682">
        <w:rPr>
          <w:lang w:val="en-GB"/>
        </w:rPr>
        <w:t xml:space="preserve"> – can be reduce</w:t>
      </w:r>
      <w:r w:rsidR="009C562C" w:rsidRPr="00063682">
        <w:rPr>
          <w:lang w:val="en-GB"/>
        </w:rPr>
        <w:t>d</w:t>
      </w:r>
      <w:r w:rsidR="005E1E28" w:rsidRPr="00063682">
        <w:rPr>
          <w:lang w:val="en-GB"/>
        </w:rPr>
        <w:t>. Likewise</w:t>
      </w:r>
      <w:r w:rsidR="00633159" w:rsidRPr="00063682">
        <w:rPr>
          <w:lang w:val="en-GB"/>
        </w:rPr>
        <w:t xml:space="preserve">, </w:t>
      </w:r>
      <w:r w:rsidR="006C4D92" w:rsidRPr="00063682">
        <w:rPr>
          <w:lang w:val="en-GB"/>
        </w:rPr>
        <w:t xml:space="preserve">by </w:t>
      </w:r>
      <w:r w:rsidR="00891B0B" w:rsidRPr="00063682">
        <w:rPr>
          <w:lang w:val="en-GB"/>
        </w:rPr>
        <w:t>i</w:t>
      </w:r>
      <w:r w:rsidR="006C4D92" w:rsidRPr="00063682">
        <w:rPr>
          <w:lang w:val="en-GB"/>
        </w:rPr>
        <w:t>dentifying</w:t>
      </w:r>
      <w:r w:rsidR="00C33BEB" w:rsidRPr="00063682">
        <w:rPr>
          <w:lang w:val="en-GB"/>
        </w:rPr>
        <w:t xml:space="preserve"> how </w:t>
      </w:r>
      <w:r w:rsidR="00400C87" w:rsidRPr="00063682">
        <w:rPr>
          <w:lang w:val="en-GB"/>
        </w:rPr>
        <w:t xml:space="preserve">projected </w:t>
      </w:r>
      <w:r w:rsidR="00C33BEB" w:rsidRPr="00063682">
        <w:rPr>
          <w:lang w:val="en-GB"/>
        </w:rPr>
        <w:t xml:space="preserve">changes in ecosystems </w:t>
      </w:r>
      <w:r w:rsidR="00FC2D2F" w:rsidRPr="00063682">
        <w:rPr>
          <w:lang w:val="en-GB"/>
        </w:rPr>
        <w:t>can affect</w:t>
      </w:r>
      <w:r w:rsidR="006C4D92" w:rsidRPr="00063682">
        <w:rPr>
          <w:lang w:val="en-GB"/>
        </w:rPr>
        <w:t xml:space="preserve"> network </w:t>
      </w:r>
      <w:r w:rsidR="00FC2D2F" w:rsidRPr="00063682">
        <w:rPr>
          <w:lang w:val="en-GB"/>
        </w:rPr>
        <w:t xml:space="preserve">components and operation, </w:t>
      </w:r>
      <w:r w:rsidR="0001639E" w:rsidRPr="00063682">
        <w:rPr>
          <w:lang w:val="en-GB"/>
        </w:rPr>
        <w:t xml:space="preserve">DNOs can reduce </w:t>
      </w:r>
      <w:r w:rsidR="00FB40CB" w:rsidRPr="00063682">
        <w:rPr>
          <w:lang w:val="en-GB"/>
        </w:rPr>
        <w:t>investment</w:t>
      </w:r>
      <w:r w:rsidR="0001639E" w:rsidRPr="00063682">
        <w:rPr>
          <w:lang w:val="en-GB"/>
        </w:rPr>
        <w:t xml:space="preserve"> cost</w:t>
      </w:r>
      <w:r w:rsidR="00891B0B" w:rsidRPr="00063682">
        <w:rPr>
          <w:lang w:val="en-GB"/>
        </w:rPr>
        <w:t>s</w:t>
      </w:r>
      <w:r w:rsidR="0001639E" w:rsidRPr="00063682">
        <w:rPr>
          <w:lang w:val="en-GB"/>
        </w:rPr>
        <w:t xml:space="preserve"> </w:t>
      </w:r>
      <w:r w:rsidR="00FD2431" w:rsidRPr="00063682">
        <w:rPr>
          <w:lang w:val="en-GB"/>
        </w:rPr>
        <w:t>in</w:t>
      </w:r>
      <w:r w:rsidR="00FB40CB" w:rsidRPr="00063682">
        <w:rPr>
          <w:lang w:val="en-GB"/>
        </w:rPr>
        <w:t xml:space="preserve"> network upgrades</w:t>
      </w:r>
      <w:r w:rsidR="00377ACA" w:rsidRPr="00063682">
        <w:rPr>
          <w:lang w:val="en-GB"/>
        </w:rPr>
        <w:t xml:space="preserve"> and relocation</w:t>
      </w:r>
      <w:r w:rsidR="00891B0B" w:rsidRPr="00063682">
        <w:rPr>
          <w:lang w:val="en-GB"/>
        </w:rPr>
        <w:t xml:space="preserve"> to mitigate these risks</w:t>
      </w:r>
      <w:r w:rsidR="00FB40CB" w:rsidRPr="00063682">
        <w:rPr>
          <w:lang w:val="en-GB"/>
        </w:rPr>
        <w:t>.</w:t>
      </w:r>
    </w:p>
    <w:p w14:paraId="7AEC7CF4" w14:textId="3F2EF090" w:rsidR="654135F9" w:rsidRPr="00063682" w:rsidRDefault="00DC603B" w:rsidP="0085084A">
      <w:pPr>
        <w:pStyle w:val="NoSpacing"/>
        <w:numPr>
          <w:ilvl w:val="0"/>
          <w:numId w:val="6"/>
        </w:numPr>
        <w:jc w:val="both"/>
        <w:rPr>
          <w:lang w:val="en-GB"/>
        </w:rPr>
      </w:pPr>
      <w:r w:rsidRPr="00063682">
        <w:rPr>
          <w:u w:val="single"/>
          <w:lang w:val="en-GB"/>
        </w:rPr>
        <w:t>Distinguishing between reliability and resilience problems</w:t>
      </w:r>
      <w:r w:rsidRPr="00063682">
        <w:rPr>
          <w:lang w:val="en-GB"/>
        </w:rPr>
        <w:t>: It is important to distinguish between reliability and resilience problems which may affect electricity networks so that appropriate risk mitigation measures can be implemented</w:t>
      </w:r>
      <w:r w:rsidR="00F917A3" w:rsidRPr="00063682">
        <w:rPr>
          <w:lang w:val="en-GB"/>
        </w:rPr>
        <w:t xml:space="preserve"> (in line with </w:t>
      </w:r>
      <w:r w:rsidR="0085084A" w:rsidRPr="00063682">
        <w:rPr>
          <w:lang w:val="en-GB"/>
        </w:rPr>
        <w:t>the overview document, section</w:t>
      </w:r>
      <w:r w:rsidR="003852A2" w:rsidRPr="00063682">
        <w:rPr>
          <w:lang w:val="en-GB"/>
        </w:rPr>
        <w:t>s</w:t>
      </w:r>
      <w:r w:rsidR="0085084A" w:rsidRPr="00063682">
        <w:rPr>
          <w:lang w:val="en-GB"/>
        </w:rPr>
        <w:t xml:space="preserve"> 6.</w:t>
      </w:r>
      <w:r w:rsidR="00FD51BA" w:rsidRPr="00063682">
        <w:rPr>
          <w:lang w:val="en-GB"/>
        </w:rPr>
        <w:t>157</w:t>
      </w:r>
      <w:r w:rsidR="00CE3A8C" w:rsidRPr="00063682">
        <w:rPr>
          <w:lang w:val="en-GB"/>
        </w:rPr>
        <w:t xml:space="preserve"> to </w:t>
      </w:r>
      <w:r w:rsidR="0085084A" w:rsidRPr="00063682">
        <w:rPr>
          <w:lang w:val="en-GB"/>
        </w:rPr>
        <w:t>6.</w:t>
      </w:r>
      <w:r w:rsidR="00FD51BA" w:rsidRPr="00063682">
        <w:rPr>
          <w:lang w:val="en-GB"/>
        </w:rPr>
        <w:t>1</w:t>
      </w:r>
      <w:r w:rsidR="00A30E65" w:rsidRPr="00063682">
        <w:rPr>
          <w:lang w:val="en-GB"/>
        </w:rPr>
        <w:t>6</w:t>
      </w:r>
      <w:r w:rsidR="00FD51BA" w:rsidRPr="00063682">
        <w:rPr>
          <w:lang w:val="en-GB"/>
        </w:rPr>
        <w:t>2)</w:t>
      </w:r>
      <w:r w:rsidRPr="00063682">
        <w:rPr>
          <w:lang w:val="en-GB"/>
        </w:rPr>
        <w:t>. Power system failures caused by weather include adverse weather conditions (high probability, low impact) and exceptional circumstances (low probability, high impact events). In turn, power supply issues caused by fauna and flora range from transient interruptions (e.g., due to vegetation touching an overhead line) to severe damage (e.g., caused by fallen trees onto the lines). Therefore, it is important to distinguish between high probability, low impact events in the scope of reliability and low probability, high impact events in the scope of resilience. It is important to investigate the conditions in which they may occur and which risks can and cannot be tolerated.</w:t>
      </w:r>
    </w:p>
    <w:p w14:paraId="54854759" w14:textId="6AB52159" w:rsidR="16E3638D" w:rsidRPr="00063682" w:rsidRDefault="003B7661" w:rsidP="0085084A">
      <w:pPr>
        <w:pStyle w:val="NoSpacing"/>
        <w:numPr>
          <w:ilvl w:val="0"/>
          <w:numId w:val="6"/>
        </w:numPr>
        <w:jc w:val="both"/>
        <w:rPr>
          <w:lang w:val="en-GB"/>
        </w:rPr>
      </w:pPr>
      <w:r w:rsidRPr="00063682">
        <w:rPr>
          <w:u w:val="single"/>
          <w:lang w:val="en-GB"/>
        </w:rPr>
        <w:t>M</w:t>
      </w:r>
      <w:r w:rsidR="02767475" w:rsidRPr="00063682">
        <w:rPr>
          <w:u w:val="single"/>
          <w:lang w:val="en-GB"/>
        </w:rPr>
        <w:t>ethodolog</w:t>
      </w:r>
      <w:r w:rsidR="00F75852" w:rsidRPr="00063682">
        <w:rPr>
          <w:u w:val="single"/>
          <w:lang w:val="en-GB"/>
        </w:rPr>
        <w:t>ical approach</w:t>
      </w:r>
      <w:r w:rsidR="02767475" w:rsidRPr="00063682">
        <w:rPr>
          <w:lang w:val="en-GB"/>
        </w:rPr>
        <w:t>:</w:t>
      </w:r>
      <w:r w:rsidR="00F75852" w:rsidRPr="00063682">
        <w:rPr>
          <w:lang w:val="en-GB"/>
        </w:rPr>
        <w:t xml:space="preserve"> </w:t>
      </w:r>
      <w:r w:rsidR="00D70A03" w:rsidRPr="00063682">
        <w:rPr>
          <w:lang w:val="en-GB"/>
        </w:rPr>
        <w:t xml:space="preserve">The methodology should make use </w:t>
      </w:r>
      <w:r w:rsidR="00B82375" w:rsidRPr="00063682">
        <w:rPr>
          <w:lang w:val="en-GB"/>
        </w:rPr>
        <w:t xml:space="preserve">of an </w:t>
      </w:r>
      <w:r w:rsidR="009D2B35" w:rsidRPr="00063682">
        <w:rPr>
          <w:lang w:val="en-GB"/>
        </w:rPr>
        <w:t>appropriate</w:t>
      </w:r>
      <w:r w:rsidR="00F75852" w:rsidRPr="00063682">
        <w:rPr>
          <w:lang w:val="en-GB"/>
        </w:rPr>
        <w:t xml:space="preserve"> defin</w:t>
      </w:r>
      <w:r w:rsidR="00B82375" w:rsidRPr="00063682">
        <w:rPr>
          <w:lang w:val="en-GB"/>
        </w:rPr>
        <w:t>ition</w:t>
      </w:r>
      <w:r w:rsidR="00F75852" w:rsidRPr="00063682">
        <w:rPr>
          <w:lang w:val="en-GB"/>
        </w:rPr>
        <w:t xml:space="preserve"> and quantifi</w:t>
      </w:r>
      <w:r w:rsidR="00B82375" w:rsidRPr="00063682">
        <w:rPr>
          <w:lang w:val="en-GB"/>
        </w:rPr>
        <w:t>cation of climate resilience</w:t>
      </w:r>
      <w:r w:rsidR="00210988" w:rsidRPr="00063682">
        <w:rPr>
          <w:lang w:val="en-GB"/>
        </w:rPr>
        <w:t xml:space="preserve"> </w:t>
      </w:r>
      <w:r w:rsidR="009D2B35" w:rsidRPr="00063682">
        <w:rPr>
          <w:lang w:val="en-GB"/>
        </w:rPr>
        <w:t xml:space="preserve">over different timescales and </w:t>
      </w:r>
      <w:r w:rsidR="00210988" w:rsidRPr="00063682">
        <w:rPr>
          <w:lang w:val="en-GB"/>
        </w:rPr>
        <w:t>at different locations</w:t>
      </w:r>
      <w:r w:rsidR="00320773" w:rsidRPr="00063682">
        <w:rPr>
          <w:lang w:val="en-GB"/>
        </w:rPr>
        <w:t>, considering different risks and regional differences.</w:t>
      </w:r>
      <w:r w:rsidR="00F75852" w:rsidRPr="00063682">
        <w:rPr>
          <w:lang w:val="en-GB"/>
        </w:rPr>
        <w:t xml:space="preserve"> </w:t>
      </w:r>
      <w:r w:rsidR="00E94D9F" w:rsidRPr="00063682">
        <w:rPr>
          <w:lang w:val="en-GB"/>
        </w:rPr>
        <w:t xml:space="preserve">Consideration of these aspects </w:t>
      </w:r>
      <w:r w:rsidR="00771805" w:rsidRPr="00063682">
        <w:rPr>
          <w:lang w:val="en-GB"/>
        </w:rPr>
        <w:t xml:space="preserve">will </w:t>
      </w:r>
      <w:r w:rsidR="00354B19" w:rsidRPr="00063682">
        <w:rPr>
          <w:lang w:val="en-GB"/>
        </w:rPr>
        <w:t>improv</w:t>
      </w:r>
      <w:r w:rsidR="00771805" w:rsidRPr="00063682">
        <w:rPr>
          <w:lang w:val="en-GB"/>
        </w:rPr>
        <w:t>e</w:t>
      </w:r>
      <w:r w:rsidR="00CA3BD0" w:rsidRPr="00063682">
        <w:rPr>
          <w:lang w:val="en-GB"/>
        </w:rPr>
        <w:t xml:space="preserve"> assessment</w:t>
      </w:r>
      <w:r w:rsidR="00355D95" w:rsidRPr="00063682">
        <w:rPr>
          <w:lang w:val="en-GB"/>
        </w:rPr>
        <w:t xml:space="preserve"> of climate risks</w:t>
      </w:r>
      <w:r w:rsidR="004A1D50" w:rsidRPr="00063682">
        <w:rPr>
          <w:lang w:val="en-GB"/>
        </w:rPr>
        <w:t xml:space="preserve"> at regional level</w:t>
      </w:r>
      <w:r w:rsidR="00CA3BD0" w:rsidRPr="00063682">
        <w:rPr>
          <w:lang w:val="en-GB"/>
        </w:rPr>
        <w:t xml:space="preserve"> and</w:t>
      </w:r>
      <w:r w:rsidR="00150277" w:rsidRPr="00063682">
        <w:rPr>
          <w:lang w:val="en-GB"/>
        </w:rPr>
        <w:t xml:space="preserve"> </w:t>
      </w:r>
      <w:r w:rsidR="00B4646B" w:rsidRPr="00063682">
        <w:rPr>
          <w:lang w:val="en-GB"/>
        </w:rPr>
        <w:t>facilitate identification and selection of appropriate measures for mitigation</w:t>
      </w:r>
      <w:r w:rsidR="004A1D50" w:rsidRPr="00063682">
        <w:rPr>
          <w:lang w:val="en-GB"/>
        </w:rPr>
        <w:t xml:space="preserve"> of these risks</w:t>
      </w:r>
      <w:r w:rsidR="00A30E65" w:rsidRPr="00063682">
        <w:rPr>
          <w:lang w:val="en-GB"/>
        </w:rPr>
        <w:t xml:space="preserve"> (in line with </w:t>
      </w:r>
      <w:r w:rsidR="0085084A" w:rsidRPr="00063682">
        <w:rPr>
          <w:lang w:val="en-GB"/>
        </w:rPr>
        <w:t>the overview document, section</w:t>
      </w:r>
      <w:r w:rsidR="00CE3A8C" w:rsidRPr="00063682">
        <w:rPr>
          <w:lang w:val="en-GB"/>
        </w:rPr>
        <w:t>s</w:t>
      </w:r>
      <w:r w:rsidR="0085084A" w:rsidRPr="00063682">
        <w:rPr>
          <w:lang w:val="en-GB"/>
        </w:rPr>
        <w:t xml:space="preserve"> 6.</w:t>
      </w:r>
      <w:r w:rsidR="00A30E65" w:rsidRPr="00063682">
        <w:rPr>
          <w:lang w:val="en-GB"/>
        </w:rPr>
        <w:t>157</w:t>
      </w:r>
      <w:r w:rsidR="00CE3A8C" w:rsidRPr="00063682">
        <w:rPr>
          <w:lang w:val="en-GB"/>
        </w:rPr>
        <w:t xml:space="preserve"> to</w:t>
      </w:r>
      <w:r w:rsidR="0085084A" w:rsidRPr="00063682">
        <w:rPr>
          <w:lang w:val="en-GB"/>
        </w:rPr>
        <w:t xml:space="preserve"> 6.</w:t>
      </w:r>
      <w:r w:rsidR="00A30E65" w:rsidRPr="00063682">
        <w:rPr>
          <w:lang w:val="en-GB"/>
        </w:rPr>
        <w:t>162)</w:t>
      </w:r>
      <w:r w:rsidR="00CA3BD0" w:rsidRPr="00063682">
        <w:rPr>
          <w:lang w:val="en-GB"/>
        </w:rPr>
        <w:t>.</w:t>
      </w:r>
      <w:r w:rsidR="00771805" w:rsidRPr="00063682">
        <w:rPr>
          <w:lang w:val="en-GB"/>
        </w:rPr>
        <w:t xml:space="preserve"> </w:t>
      </w:r>
      <w:r w:rsidR="00127D59" w:rsidRPr="00063682">
        <w:rPr>
          <w:lang w:val="en-GB"/>
        </w:rPr>
        <w:t xml:space="preserve">To this extent, </w:t>
      </w:r>
      <w:r w:rsidR="00FE1BB1" w:rsidRPr="00063682">
        <w:rPr>
          <w:lang w:val="en-GB"/>
        </w:rPr>
        <w:t>the m</w:t>
      </w:r>
      <w:r w:rsidR="16E3638D" w:rsidRPr="00063682">
        <w:rPr>
          <w:lang w:val="en-GB"/>
        </w:rPr>
        <w:t xml:space="preserve">ethodology should suitably incorporate both asset investment and </w:t>
      </w:r>
      <w:r w:rsidR="661791B3" w:rsidRPr="00063682">
        <w:rPr>
          <w:lang w:val="en-GB"/>
        </w:rPr>
        <w:t>operational</w:t>
      </w:r>
      <w:r w:rsidR="16E3638D" w:rsidRPr="00063682">
        <w:rPr>
          <w:lang w:val="en-GB"/>
        </w:rPr>
        <w:t xml:space="preserve"> flexibility as options for</w:t>
      </w:r>
      <w:r w:rsidR="00803863" w:rsidRPr="00063682">
        <w:rPr>
          <w:lang w:val="en-GB"/>
        </w:rPr>
        <w:t xml:space="preserve"> risk mitigation and </w:t>
      </w:r>
      <w:r w:rsidR="16E3638D" w:rsidRPr="00063682">
        <w:rPr>
          <w:lang w:val="en-GB"/>
        </w:rPr>
        <w:t>resilience enhancement</w:t>
      </w:r>
      <w:r w:rsidR="00803863" w:rsidRPr="00063682">
        <w:rPr>
          <w:lang w:val="en-GB"/>
        </w:rPr>
        <w:t>s</w:t>
      </w:r>
      <w:r w:rsidR="16E3638D" w:rsidRPr="00063682">
        <w:rPr>
          <w:lang w:val="en-GB"/>
        </w:rPr>
        <w:t xml:space="preserve">. For example, </w:t>
      </w:r>
      <w:r w:rsidR="00BB0B94" w:rsidRPr="00063682">
        <w:rPr>
          <w:lang w:val="en-GB"/>
        </w:rPr>
        <w:t xml:space="preserve">in </w:t>
      </w:r>
      <w:r w:rsidR="00AF36AB" w:rsidRPr="00063682">
        <w:rPr>
          <w:lang w:val="en-GB"/>
        </w:rPr>
        <w:t>[16]</w:t>
      </w:r>
      <w:r w:rsidR="00BB0B94" w:rsidRPr="00063682">
        <w:rPr>
          <w:lang w:val="en-GB"/>
        </w:rPr>
        <w:t xml:space="preserve"> it is shown that hardening measures at strategic locations can significantly reduce the impacts of extreme weather events and enhance mid- to long-term resilience; </w:t>
      </w:r>
      <w:r w:rsidR="16E3638D" w:rsidRPr="00063682">
        <w:rPr>
          <w:lang w:val="en-GB"/>
        </w:rPr>
        <w:t xml:space="preserve">in </w:t>
      </w:r>
      <w:r w:rsidR="00AF36AB" w:rsidRPr="00063682">
        <w:rPr>
          <w:lang w:val="en-GB"/>
        </w:rPr>
        <w:t>[17</w:t>
      </w:r>
      <w:r w:rsidR="06C51F1B" w:rsidRPr="00063682">
        <w:rPr>
          <w:lang w:val="en-GB"/>
        </w:rPr>
        <w:t>] it is shown that operational measures can be used to significantly reduce cascading failure risk</w:t>
      </w:r>
      <w:r w:rsidR="006C4E4D" w:rsidRPr="00063682">
        <w:rPr>
          <w:lang w:val="en-GB"/>
        </w:rPr>
        <w:t>.</w:t>
      </w:r>
      <w:r w:rsidR="007467F7" w:rsidRPr="00063682">
        <w:rPr>
          <w:lang w:val="en-GB"/>
        </w:rPr>
        <w:t xml:space="preserve"> </w:t>
      </w:r>
      <w:r w:rsidR="00041AF6" w:rsidRPr="00063682">
        <w:rPr>
          <w:lang w:val="en-GB"/>
        </w:rPr>
        <w:t>This brings ope</w:t>
      </w:r>
      <w:r w:rsidR="00425440" w:rsidRPr="00063682">
        <w:rPr>
          <w:lang w:val="en-GB"/>
        </w:rPr>
        <w:t>rational</w:t>
      </w:r>
      <w:r w:rsidR="00041AF6" w:rsidRPr="00063682">
        <w:rPr>
          <w:lang w:val="en-GB"/>
        </w:rPr>
        <w:t xml:space="preserve"> costs that need to be weighed against investment costs for network hardening strategies. </w:t>
      </w:r>
      <w:r w:rsidR="00EB4BCC" w:rsidRPr="00063682">
        <w:rPr>
          <w:lang w:val="en-GB"/>
        </w:rPr>
        <w:t>In this context, a</w:t>
      </w:r>
      <w:r w:rsidR="00D0760F" w:rsidRPr="00063682">
        <w:rPr>
          <w:lang w:val="en-GB"/>
        </w:rPr>
        <w:t xml:space="preserve"> joint </w:t>
      </w:r>
      <w:r w:rsidR="00A64202" w:rsidRPr="00063682">
        <w:rPr>
          <w:lang w:val="en-GB"/>
        </w:rPr>
        <w:t>evalu</w:t>
      </w:r>
      <w:r w:rsidR="00BB0B94" w:rsidRPr="00063682">
        <w:rPr>
          <w:lang w:val="en-GB"/>
        </w:rPr>
        <w:t>ation of hardening and</w:t>
      </w:r>
      <w:r w:rsidR="00771679" w:rsidRPr="00063682">
        <w:rPr>
          <w:lang w:val="en-GB"/>
        </w:rPr>
        <w:t xml:space="preserve"> operational </w:t>
      </w:r>
      <w:r w:rsidR="005F22F7" w:rsidRPr="00063682">
        <w:rPr>
          <w:lang w:val="en-GB"/>
        </w:rPr>
        <w:t>measure</w:t>
      </w:r>
      <w:r w:rsidR="00771679" w:rsidRPr="00063682">
        <w:rPr>
          <w:lang w:val="en-GB"/>
        </w:rPr>
        <w:t>s</w:t>
      </w:r>
      <w:r w:rsidR="005B075C" w:rsidRPr="00063682">
        <w:rPr>
          <w:lang w:val="en-GB"/>
        </w:rPr>
        <w:t xml:space="preserve"> </w:t>
      </w:r>
      <w:r w:rsidR="00F63AEA" w:rsidRPr="00063682">
        <w:rPr>
          <w:lang w:val="en-GB"/>
        </w:rPr>
        <w:t xml:space="preserve">should </w:t>
      </w:r>
      <w:r w:rsidR="00B5353A" w:rsidRPr="00063682">
        <w:rPr>
          <w:lang w:val="en-GB"/>
        </w:rPr>
        <w:t>facilitate identification, selection, and implementation of the best feasible solutions</w:t>
      </w:r>
      <w:r w:rsidR="007C4D1D" w:rsidRPr="00063682">
        <w:rPr>
          <w:lang w:val="en-GB"/>
        </w:rPr>
        <w:t xml:space="preserve"> for resilience enhancements</w:t>
      </w:r>
      <w:r w:rsidR="00696213" w:rsidRPr="00063682">
        <w:rPr>
          <w:lang w:val="en-GB"/>
        </w:rPr>
        <w:t>.</w:t>
      </w:r>
      <w:r w:rsidR="00F63AEA" w:rsidRPr="00063682">
        <w:rPr>
          <w:lang w:val="en-GB"/>
        </w:rPr>
        <w:t xml:space="preserve"> </w:t>
      </w:r>
      <w:r w:rsidR="00325193" w:rsidRPr="00063682">
        <w:rPr>
          <w:lang w:val="en-GB"/>
        </w:rPr>
        <w:t>For it to be possible, however,</w:t>
      </w:r>
      <w:r w:rsidR="00312502" w:rsidRPr="00063682">
        <w:rPr>
          <w:lang w:val="en-GB"/>
        </w:rPr>
        <w:t xml:space="preserve"> </w:t>
      </w:r>
      <w:r w:rsidR="000F39B8" w:rsidRPr="00063682">
        <w:rPr>
          <w:lang w:val="en-GB"/>
        </w:rPr>
        <w:t>not just the investment and operational costs associated with implemen</w:t>
      </w:r>
      <w:r w:rsidR="002E49DE" w:rsidRPr="00063682">
        <w:rPr>
          <w:lang w:val="en-GB"/>
        </w:rPr>
        <w:t>tation of different measures</w:t>
      </w:r>
      <w:r w:rsidR="00325193" w:rsidRPr="00063682">
        <w:rPr>
          <w:lang w:val="en-GB"/>
        </w:rPr>
        <w:t xml:space="preserve"> should be quantified</w:t>
      </w:r>
      <w:r w:rsidR="00557662" w:rsidRPr="00063682">
        <w:rPr>
          <w:lang w:val="en-GB"/>
        </w:rPr>
        <w:t xml:space="preserve">, but also the </w:t>
      </w:r>
      <w:r w:rsidR="00332F36" w:rsidRPr="00063682">
        <w:rPr>
          <w:lang w:val="en-GB"/>
        </w:rPr>
        <w:t xml:space="preserve">resulting financial losses </w:t>
      </w:r>
      <w:r w:rsidR="00595E77" w:rsidRPr="00063682">
        <w:rPr>
          <w:lang w:val="en-GB"/>
        </w:rPr>
        <w:t>(</w:t>
      </w:r>
      <w:r w:rsidR="00AE524C" w:rsidRPr="00063682">
        <w:rPr>
          <w:lang w:val="en-GB"/>
        </w:rPr>
        <w:t xml:space="preserve">or </w:t>
      </w:r>
      <w:r w:rsidR="00557662" w:rsidRPr="00063682">
        <w:rPr>
          <w:lang w:val="en-GB"/>
        </w:rPr>
        <w:t>avoided losses</w:t>
      </w:r>
      <w:r w:rsidR="00595E77" w:rsidRPr="00063682">
        <w:rPr>
          <w:lang w:val="en-GB"/>
        </w:rPr>
        <w:t>)</w:t>
      </w:r>
      <w:r w:rsidR="00557662" w:rsidRPr="00063682">
        <w:rPr>
          <w:lang w:val="en-GB"/>
        </w:rPr>
        <w:t>.</w:t>
      </w:r>
      <w:r w:rsidR="002E49DE" w:rsidRPr="00063682">
        <w:rPr>
          <w:lang w:val="en-GB"/>
        </w:rPr>
        <w:t xml:space="preserve"> </w:t>
      </w:r>
      <w:r w:rsidR="0071673E" w:rsidRPr="00063682">
        <w:rPr>
          <w:lang w:val="en-GB"/>
        </w:rPr>
        <w:t xml:space="preserve">To </w:t>
      </w:r>
      <w:r w:rsidR="00325193" w:rsidRPr="00063682">
        <w:rPr>
          <w:lang w:val="en-GB"/>
        </w:rPr>
        <w:t>achieve this</w:t>
      </w:r>
      <w:r w:rsidR="0071673E" w:rsidRPr="00063682">
        <w:rPr>
          <w:lang w:val="en-GB"/>
        </w:rPr>
        <w:t xml:space="preserve">, </w:t>
      </w:r>
      <w:r w:rsidR="000F52FB" w:rsidRPr="00063682">
        <w:rPr>
          <w:lang w:val="en-GB"/>
        </w:rPr>
        <w:t xml:space="preserve">well established methods for </w:t>
      </w:r>
      <w:r w:rsidR="007F3800" w:rsidRPr="00063682">
        <w:rPr>
          <w:lang w:val="en-GB"/>
        </w:rPr>
        <w:t>economic analysis</w:t>
      </w:r>
      <w:r w:rsidR="000F52FB" w:rsidRPr="00063682">
        <w:rPr>
          <w:lang w:val="en-GB"/>
        </w:rPr>
        <w:t xml:space="preserve"> can be utili</w:t>
      </w:r>
      <w:r w:rsidR="00063682">
        <w:rPr>
          <w:lang w:val="en-GB"/>
        </w:rPr>
        <w:t>s</w:t>
      </w:r>
      <w:r w:rsidR="000F52FB" w:rsidRPr="00063682">
        <w:rPr>
          <w:lang w:val="en-GB"/>
        </w:rPr>
        <w:t>ed.</w:t>
      </w:r>
      <w:r w:rsidR="003B0E7D" w:rsidRPr="00063682">
        <w:rPr>
          <w:lang w:val="en-GB"/>
        </w:rPr>
        <w:t xml:space="preserve"> However, </w:t>
      </w:r>
      <w:r w:rsidR="00896F32" w:rsidRPr="00063682">
        <w:rPr>
          <w:lang w:val="en-GB"/>
        </w:rPr>
        <w:t xml:space="preserve">results are conditioned </w:t>
      </w:r>
      <w:r w:rsidR="00A43D91" w:rsidRPr="00063682">
        <w:rPr>
          <w:lang w:val="en-GB"/>
        </w:rPr>
        <w:t>by the definition of unacceptable risks</w:t>
      </w:r>
      <w:r w:rsidR="00D0131C" w:rsidRPr="00063682">
        <w:rPr>
          <w:lang w:val="en-GB"/>
        </w:rPr>
        <w:t xml:space="preserve"> (i.e., unacceptable levels of threat, exposure, and impact)</w:t>
      </w:r>
      <w:r w:rsidR="00274CDD" w:rsidRPr="00063682">
        <w:rPr>
          <w:lang w:val="en-GB"/>
        </w:rPr>
        <w:t xml:space="preserve"> at different locations and over different timescales</w:t>
      </w:r>
      <w:r w:rsidR="004A5F8D" w:rsidRPr="00063682">
        <w:rPr>
          <w:lang w:val="en-GB"/>
        </w:rPr>
        <w:t xml:space="preserve"> (</w:t>
      </w:r>
      <w:r w:rsidR="00523426" w:rsidRPr="00063682">
        <w:rPr>
          <w:lang w:val="en-GB"/>
        </w:rPr>
        <w:t xml:space="preserve">in line with </w:t>
      </w:r>
      <w:r w:rsidR="0085084A" w:rsidRPr="00063682">
        <w:rPr>
          <w:lang w:val="en-GB"/>
        </w:rPr>
        <w:t>the overview document, section 6.</w:t>
      </w:r>
      <w:r w:rsidR="00523426" w:rsidRPr="00063682">
        <w:rPr>
          <w:lang w:val="en-GB"/>
        </w:rPr>
        <w:t>159)</w:t>
      </w:r>
      <w:r w:rsidR="00C82992" w:rsidRPr="00063682">
        <w:rPr>
          <w:lang w:val="en-GB"/>
        </w:rPr>
        <w:t>.</w:t>
      </w:r>
    </w:p>
    <w:p w14:paraId="136A1D12" w14:textId="77777777" w:rsidR="007C522D" w:rsidRPr="00063682" w:rsidRDefault="007C522D" w:rsidP="0085084A">
      <w:pPr>
        <w:pStyle w:val="NoSpacing"/>
        <w:jc w:val="both"/>
        <w:rPr>
          <w:lang w:val="en-GB"/>
        </w:rPr>
      </w:pPr>
    </w:p>
    <w:p w14:paraId="46690255" w14:textId="16CAC7CA" w:rsidR="008A2468" w:rsidRPr="00063682" w:rsidRDefault="00E11390" w:rsidP="0085084A">
      <w:pPr>
        <w:pStyle w:val="NoSpacing"/>
        <w:jc w:val="both"/>
        <w:rPr>
          <w:lang w:val="en-GB"/>
        </w:rPr>
      </w:pPr>
      <w:r w:rsidRPr="00063682">
        <w:rPr>
          <w:b/>
          <w:bCs/>
          <w:lang w:val="en-GB"/>
        </w:rPr>
        <w:t>OVQ2</w:t>
      </w:r>
      <w:r w:rsidR="008A2468" w:rsidRPr="00063682">
        <w:rPr>
          <w:b/>
          <w:bCs/>
          <w:lang w:val="en-GB"/>
        </w:rPr>
        <w:t>4.</w:t>
      </w:r>
      <w:r w:rsidR="008A2468" w:rsidRPr="00063682">
        <w:rPr>
          <w:lang w:val="en-GB"/>
        </w:rPr>
        <w:t xml:space="preserve"> Are there any early learnings we should be aware of/incorporate to make progress on this in RIIO-3 or beyond? </w:t>
      </w:r>
    </w:p>
    <w:p w14:paraId="54A1F483" w14:textId="36082EDE" w:rsidR="00D601B6" w:rsidRPr="00063682" w:rsidRDefault="001124EC" w:rsidP="0085084A">
      <w:pPr>
        <w:pStyle w:val="NoSpacing"/>
        <w:jc w:val="both"/>
        <w:rPr>
          <w:lang w:val="en-GB"/>
        </w:rPr>
      </w:pPr>
      <w:r w:rsidRPr="00063682">
        <w:rPr>
          <w:b/>
          <w:bCs/>
          <w:lang w:val="en-GB"/>
        </w:rPr>
        <w:t>Answer</w:t>
      </w:r>
      <w:r w:rsidR="007C522D" w:rsidRPr="00063682">
        <w:rPr>
          <w:b/>
          <w:bCs/>
          <w:lang w:val="en-GB"/>
        </w:rPr>
        <w:t>:</w:t>
      </w:r>
      <w:r w:rsidR="00AB5C2E" w:rsidRPr="00063682">
        <w:rPr>
          <w:lang w:val="en-GB"/>
        </w:rPr>
        <w:t xml:space="preserve"> </w:t>
      </w:r>
      <w:r w:rsidR="006A76E8" w:rsidRPr="00063682">
        <w:rPr>
          <w:lang w:val="en-GB"/>
        </w:rPr>
        <w:t xml:space="preserve">To make progress on climate resilience in this RIIO-3 and beyond, </w:t>
      </w:r>
      <w:bookmarkStart w:id="1" w:name="_Hlk160549542"/>
      <w:r w:rsidR="00D75213" w:rsidRPr="00063682">
        <w:rPr>
          <w:lang w:val="en-GB"/>
        </w:rPr>
        <w:t>incorporating early learnings</w:t>
      </w:r>
      <w:r w:rsidR="00635030" w:rsidRPr="00063682">
        <w:rPr>
          <w:lang w:val="en-GB"/>
        </w:rPr>
        <w:t xml:space="preserve"> </w:t>
      </w:r>
      <w:r w:rsidR="00777CD0" w:rsidRPr="00063682">
        <w:rPr>
          <w:lang w:val="en-GB"/>
        </w:rPr>
        <w:t xml:space="preserve">from </w:t>
      </w:r>
      <w:r w:rsidR="001C0910" w:rsidRPr="00063682">
        <w:rPr>
          <w:lang w:val="en-GB"/>
        </w:rPr>
        <w:t>related</w:t>
      </w:r>
      <w:r w:rsidR="00777CD0" w:rsidRPr="00063682">
        <w:rPr>
          <w:lang w:val="en-GB"/>
        </w:rPr>
        <w:t xml:space="preserve"> projects</w:t>
      </w:r>
      <w:bookmarkEnd w:id="1"/>
      <w:r w:rsidR="003E506B" w:rsidRPr="00063682">
        <w:rPr>
          <w:lang w:val="en-GB"/>
        </w:rPr>
        <w:t xml:space="preserve"> into the proposed approach is</w:t>
      </w:r>
      <w:r w:rsidR="00136BC9" w:rsidRPr="00063682">
        <w:rPr>
          <w:lang w:val="en-GB"/>
        </w:rPr>
        <w:t xml:space="preserve"> critical. Likewise, lessons learned</w:t>
      </w:r>
      <w:r w:rsidR="00777CD0" w:rsidRPr="00063682">
        <w:rPr>
          <w:lang w:val="en-GB"/>
        </w:rPr>
        <w:t xml:space="preserve"> from the handling of</w:t>
      </w:r>
      <w:r w:rsidR="00051694" w:rsidRPr="00063682">
        <w:rPr>
          <w:lang w:val="en-GB"/>
        </w:rPr>
        <w:t xml:space="preserve"> </w:t>
      </w:r>
      <w:r w:rsidR="00D448A8" w:rsidRPr="00063682">
        <w:rPr>
          <w:lang w:val="en-GB"/>
        </w:rPr>
        <w:t>past</w:t>
      </w:r>
      <w:r w:rsidR="00CC293C" w:rsidRPr="00063682">
        <w:rPr>
          <w:lang w:val="en-GB"/>
        </w:rPr>
        <w:t xml:space="preserve"> severe</w:t>
      </w:r>
      <w:r w:rsidR="00CF7BF8" w:rsidRPr="00063682">
        <w:rPr>
          <w:lang w:val="en-GB"/>
        </w:rPr>
        <w:t xml:space="preserve"> weather incidents</w:t>
      </w:r>
      <w:r w:rsidR="00777CD0" w:rsidRPr="00063682">
        <w:rPr>
          <w:lang w:val="en-GB"/>
        </w:rPr>
        <w:t xml:space="preserve"> </w:t>
      </w:r>
      <w:r w:rsidR="003E506B" w:rsidRPr="00063682">
        <w:rPr>
          <w:lang w:val="en-GB"/>
        </w:rPr>
        <w:t xml:space="preserve">should not be </w:t>
      </w:r>
      <w:r w:rsidR="003C337A" w:rsidRPr="00063682">
        <w:rPr>
          <w:lang w:val="en-GB"/>
        </w:rPr>
        <w:t>neglected</w:t>
      </w:r>
      <w:r w:rsidR="00DF19EC" w:rsidRPr="00063682">
        <w:rPr>
          <w:lang w:val="en-GB"/>
        </w:rPr>
        <w:t xml:space="preserve"> to improve</w:t>
      </w:r>
      <w:r w:rsidR="00362F56" w:rsidRPr="00063682">
        <w:rPr>
          <w:lang w:val="en-GB"/>
        </w:rPr>
        <w:t xml:space="preserve"> </w:t>
      </w:r>
      <w:r w:rsidR="00FC2D7C" w:rsidRPr="00063682">
        <w:rPr>
          <w:lang w:val="en-GB"/>
        </w:rPr>
        <w:t xml:space="preserve">distribution network </w:t>
      </w:r>
      <w:r w:rsidR="00DF19EC" w:rsidRPr="00063682">
        <w:rPr>
          <w:lang w:val="en-GB"/>
        </w:rPr>
        <w:t>preparedness and response</w:t>
      </w:r>
      <w:r w:rsidR="005B6887" w:rsidRPr="00063682">
        <w:rPr>
          <w:lang w:val="en-GB"/>
        </w:rPr>
        <w:t xml:space="preserve"> to disruptive weather</w:t>
      </w:r>
      <w:r w:rsidR="00FC2D7C" w:rsidRPr="00063682">
        <w:rPr>
          <w:lang w:val="en-GB"/>
        </w:rPr>
        <w:t xml:space="preserve"> in </w:t>
      </w:r>
      <w:r w:rsidR="00E6459A" w:rsidRPr="00063682">
        <w:rPr>
          <w:lang w:val="en-GB"/>
        </w:rPr>
        <w:t>a changing climate</w:t>
      </w:r>
      <w:r w:rsidR="006A76E8" w:rsidRPr="00063682">
        <w:rPr>
          <w:lang w:val="en-GB"/>
        </w:rPr>
        <w:t>.</w:t>
      </w:r>
      <w:r w:rsidR="00C914FA" w:rsidRPr="00063682">
        <w:rPr>
          <w:lang w:val="en-GB"/>
        </w:rPr>
        <w:t xml:space="preserve"> </w:t>
      </w:r>
      <w:r w:rsidR="00524674" w:rsidRPr="00063682">
        <w:rPr>
          <w:lang w:val="en-GB"/>
        </w:rPr>
        <w:t>These learnings should come not just from past severe weather incidents in the UK, bu</w:t>
      </w:r>
      <w:r w:rsidR="00B873EC" w:rsidRPr="00063682">
        <w:rPr>
          <w:lang w:val="en-GB"/>
        </w:rPr>
        <w:t>t also from international experiences, especially to less known risks in the UK at present time.</w:t>
      </w:r>
      <w:r w:rsidR="00524674" w:rsidRPr="00063682">
        <w:rPr>
          <w:lang w:val="en-GB"/>
        </w:rPr>
        <w:t xml:space="preserve"> </w:t>
      </w:r>
      <w:r w:rsidR="00C914FA" w:rsidRPr="00063682">
        <w:rPr>
          <w:lang w:val="en-GB"/>
        </w:rPr>
        <w:t>The following</w:t>
      </w:r>
      <w:r w:rsidR="00E655DF" w:rsidRPr="00063682">
        <w:rPr>
          <w:lang w:val="en-GB"/>
        </w:rPr>
        <w:t xml:space="preserve"> </w:t>
      </w:r>
      <w:r w:rsidR="00653D2E" w:rsidRPr="00063682">
        <w:rPr>
          <w:lang w:val="en-GB"/>
        </w:rPr>
        <w:t>aspects should be considered</w:t>
      </w:r>
      <w:r w:rsidR="00832C99" w:rsidRPr="00063682">
        <w:rPr>
          <w:lang w:val="en-GB"/>
        </w:rPr>
        <w:t>:</w:t>
      </w:r>
    </w:p>
    <w:p w14:paraId="6033CD56" w14:textId="79952845" w:rsidR="00DA4106" w:rsidRPr="00063682" w:rsidRDefault="00DA4106" w:rsidP="0085084A">
      <w:pPr>
        <w:pStyle w:val="NoSpacing"/>
        <w:numPr>
          <w:ilvl w:val="0"/>
          <w:numId w:val="4"/>
        </w:numPr>
        <w:jc w:val="both"/>
        <w:rPr>
          <w:lang w:val="en-GB"/>
        </w:rPr>
      </w:pPr>
      <w:r w:rsidRPr="00063682">
        <w:rPr>
          <w:u w:val="single"/>
          <w:lang w:val="en-GB"/>
        </w:rPr>
        <w:t>Preparation plans</w:t>
      </w:r>
      <w:r w:rsidR="00E42D0A" w:rsidRPr="00063682">
        <w:rPr>
          <w:u w:val="single"/>
          <w:lang w:val="en-GB"/>
        </w:rPr>
        <w:t xml:space="preserve"> in the UK</w:t>
      </w:r>
      <w:r w:rsidRPr="00063682">
        <w:rPr>
          <w:lang w:val="en-GB"/>
        </w:rPr>
        <w:t xml:space="preserve">: </w:t>
      </w:r>
      <w:r w:rsidR="00796089" w:rsidRPr="00063682">
        <w:rPr>
          <w:lang w:val="en-GB"/>
        </w:rPr>
        <w:t xml:space="preserve">As reported in </w:t>
      </w:r>
      <w:r w:rsidR="00AF36AB" w:rsidRPr="00063682">
        <w:rPr>
          <w:lang w:val="en-GB"/>
        </w:rPr>
        <w:t>[18</w:t>
      </w:r>
      <w:r w:rsidR="00796089" w:rsidRPr="00063682">
        <w:rPr>
          <w:lang w:val="en-GB"/>
        </w:rPr>
        <w:t xml:space="preserve">], </w:t>
      </w:r>
      <w:r w:rsidR="002E459B" w:rsidRPr="00063682">
        <w:rPr>
          <w:lang w:val="en-GB"/>
        </w:rPr>
        <w:t>DNO</w:t>
      </w:r>
      <w:r w:rsidR="00796089" w:rsidRPr="00063682">
        <w:rPr>
          <w:lang w:val="en-GB"/>
        </w:rPr>
        <w:t>s</w:t>
      </w:r>
      <w:r w:rsidR="0068464F" w:rsidRPr="00063682">
        <w:rPr>
          <w:lang w:val="en-GB"/>
        </w:rPr>
        <w:t xml:space="preserve"> </w:t>
      </w:r>
      <w:r w:rsidR="005846F3" w:rsidRPr="00063682">
        <w:rPr>
          <w:lang w:val="en-GB"/>
        </w:rPr>
        <w:t xml:space="preserve">currently </w:t>
      </w:r>
      <w:r w:rsidR="0068464F" w:rsidRPr="00063682">
        <w:rPr>
          <w:lang w:val="en-GB"/>
        </w:rPr>
        <w:t xml:space="preserve">watch </w:t>
      </w:r>
      <w:r w:rsidR="00796089" w:rsidRPr="00063682">
        <w:rPr>
          <w:lang w:val="en-GB"/>
        </w:rPr>
        <w:t>weather fronts and ha</w:t>
      </w:r>
      <w:r w:rsidR="008F45DA" w:rsidRPr="00063682">
        <w:rPr>
          <w:lang w:val="en-GB"/>
        </w:rPr>
        <w:t>ve</w:t>
      </w:r>
      <w:r w:rsidR="00796089" w:rsidRPr="00063682">
        <w:rPr>
          <w:lang w:val="en-GB"/>
        </w:rPr>
        <w:t xml:space="preserve"> access to additional weather information </w:t>
      </w:r>
      <w:r w:rsidR="008F45DA" w:rsidRPr="00063682">
        <w:rPr>
          <w:lang w:val="en-GB"/>
        </w:rPr>
        <w:t>f</w:t>
      </w:r>
      <w:r w:rsidR="00796089" w:rsidRPr="00063682">
        <w:rPr>
          <w:lang w:val="en-GB"/>
        </w:rPr>
        <w:t>rom third part</w:t>
      </w:r>
      <w:r w:rsidR="008F45DA" w:rsidRPr="00063682">
        <w:rPr>
          <w:lang w:val="en-GB"/>
        </w:rPr>
        <w:t>ies</w:t>
      </w:r>
      <w:r w:rsidR="001C6A4D" w:rsidRPr="00063682">
        <w:rPr>
          <w:lang w:val="en-GB"/>
        </w:rPr>
        <w:t>. This information enables them to forecast</w:t>
      </w:r>
      <w:r w:rsidR="0025448E" w:rsidRPr="00063682">
        <w:rPr>
          <w:lang w:val="en-GB"/>
        </w:rPr>
        <w:t xml:space="preserve"> </w:t>
      </w:r>
      <w:r w:rsidR="001C6A4D" w:rsidRPr="00063682">
        <w:rPr>
          <w:lang w:val="en-GB"/>
        </w:rPr>
        <w:t>severe weather events</w:t>
      </w:r>
      <w:r w:rsidR="00175E14" w:rsidRPr="00063682">
        <w:rPr>
          <w:lang w:val="en-GB"/>
        </w:rPr>
        <w:t xml:space="preserve"> and their spatiotemporal evolution</w:t>
      </w:r>
      <w:r w:rsidR="00A12BF2" w:rsidRPr="00063682">
        <w:rPr>
          <w:lang w:val="en-GB"/>
        </w:rPr>
        <w:t xml:space="preserve"> a few days ahead of their occurrence</w:t>
      </w:r>
      <w:r w:rsidR="000B5990" w:rsidRPr="00063682">
        <w:rPr>
          <w:lang w:val="en-GB"/>
        </w:rPr>
        <w:t>, when</w:t>
      </w:r>
      <w:r w:rsidR="0008001C" w:rsidRPr="00063682">
        <w:rPr>
          <w:lang w:val="en-GB"/>
        </w:rPr>
        <w:t xml:space="preserve"> </w:t>
      </w:r>
      <w:r w:rsidR="00E93875" w:rsidRPr="00063682">
        <w:rPr>
          <w:lang w:val="en-GB"/>
        </w:rPr>
        <w:t>emergency plans</w:t>
      </w:r>
      <w:r w:rsidR="000B5990" w:rsidRPr="00063682">
        <w:rPr>
          <w:lang w:val="en-GB"/>
        </w:rPr>
        <w:t xml:space="preserve"> are initiated</w:t>
      </w:r>
      <w:r w:rsidR="00A12BF2" w:rsidRPr="00063682">
        <w:rPr>
          <w:lang w:val="en-GB"/>
        </w:rPr>
        <w:t>.</w:t>
      </w:r>
      <w:r w:rsidR="005B56DC" w:rsidRPr="00063682">
        <w:rPr>
          <w:lang w:val="en-GB"/>
        </w:rPr>
        <w:t xml:space="preserve"> </w:t>
      </w:r>
      <w:r w:rsidR="00762E7E" w:rsidRPr="00063682">
        <w:rPr>
          <w:lang w:val="en-GB"/>
        </w:rPr>
        <w:t xml:space="preserve">Nevertheless, </w:t>
      </w:r>
      <w:r w:rsidR="00A63163" w:rsidRPr="00063682">
        <w:rPr>
          <w:lang w:val="en-GB"/>
        </w:rPr>
        <w:t xml:space="preserve">approaches adopted by different </w:t>
      </w:r>
      <w:r w:rsidR="002E459B" w:rsidRPr="00063682">
        <w:rPr>
          <w:lang w:val="en-GB"/>
        </w:rPr>
        <w:t>DNO</w:t>
      </w:r>
      <w:r w:rsidR="00A63163" w:rsidRPr="00063682">
        <w:rPr>
          <w:lang w:val="en-GB"/>
        </w:rPr>
        <w:t xml:space="preserve">s </w:t>
      </w:r>
      <w:r w:rsidR="00C47921" w:rsidRPr="00063682">
        <w:rPr>
          <w:lang w:val="en-GB"/>
        </w:rPr>
        <w:t xml:space="preserve">are different and can </w:t>
      </w:r>
      <w:r w:rsidR="00E17695" w:rsidRPr="00063682">
        <w:rPr>
          <w:lang w:val="en-GB"/>
        </w:rPr>
        <w:t xml:space="preserve">be </w:t>
      </w:r>
      <w:r w:rsidR="00F43326" w:rsidRPr="00063682">
        <w:rPr>
          <w:lang w:val="en-GB"/>
        </w:rPr>
        <w:t>insufficient to prevent long supply interruption durations,</w:t>
      </w:r>
      <w:r w:rsidR="00762E7E" w:rsidRPr="00063682">
        <w:rPr>
          <w:lang w:val="en-GB"/>
        </w:rPr>
        <w:t xml:space="preserve"> </w:t>
      </w:r>
      <w:r w:rsidR="00C47921" w:rsidRPr="00063682">
        <w:rPr>
          <w:lang w:val="en-GB"/>
        </w:rPr>
        <w:t xml:space="preserve">as reported in </w:t>
      </w:r>
      <w:r w:rsidR="00AF36AB" w:rsidRPr="00063682">
        <w:rPr>
          <w:lang w:val="en-GB"/>
        </w:rPr>
        <w:t>[18</w:t>
      </w:r>
      <w:r w:rsidR="00C47921" w:rsidRPr="00063682">
        <w:rPr>
          <w:lang w:val="en-GB"/>
        </w:rPr>
        <w:t>].</w:t>
      </w:r>
      <w:r w:rsidR="00FA1559" w:rsidRPr="00063682">
        <w:rPr>
          <w:lang w:val="en-GB"/>
        </w:rPr>
        <w:t xml:space="preserve"> </w:t>
      </w:r>
      <w:r w:rsidR="006511E0" w:rsidRPr="00063682">
        <w:rPr>
          <w:lang w:val="en-GB"/>
        </w:rPr>
        <w:t>Us</w:t>
      </w:r>
      <w:r w:rsidR="004D7E11" w:rsidRPr="00063682">
        <w:rPr>
          <w:lang w:val="en-GB"/>
        </w:rPr>
        <w:t>ing</w:t>
      </w:r>
      <w:r w:rsidR="006511E0" w:rsidRPr="00063682">
        <w:rPr>
          <w:lang w:val="en-GB"/>
        </w:rPr>
        <w:t xml:space="preserve"> mobile </w:t>
      </w:r>
      <w:r w:rsidR="00CE3A8C" w:rsidRPr="00063682">
        <w:rPr>
          <w:lang w:val="en-GB"/>
        </w:rPr>
        <w:t>energy resource</w:t>
      </w:r>
      <w:r w:rsidR="006511E0" w:rsidRPr="00063682">
        <w:rPr>
          <w:lang w:val="en-GB"/>
        </w:rPr>
        <w:t>s for quick r</w:t>
      </w:r>
      <w:r w:rsidR="00422AEF" w:rsidRPr="00063682">
        <w:rPr>
          <w:lang w:val="en-GB"/>
        </w:rPr>
        <w:t xml:space="preserve">estoration </w:t>
      </w:r>
      <w:r w:rsidR="006511E0" w:rsidRPr="00063682">
        <w:rPr>
          <w:lang w:val="en-GB"/>
        </w:rPr>
        <w:t xml:space="preserve">of parts of the network </w:t>
      </w:r>
      <w:r w:rsidR="00A82F7E" w:rsidRPr="00063682">
        <w:rPr>
          <w:lang w:val="en-GB"/>
        </w:rPr>
        <w:t>is</w:t>
      </w:r>
      <w:r w:rsidR="006511E0" w:rsidRPr="00063682">
        <w:rPr>
          <w:lang w:val="en-GB"/>
        </w:rPr>
        <w:t xml:space="preserve"> impractical </w:t>
      </w:r>
      <w:r w:rsidR="00A82F7E" w:rsidRPr="00063682">
        <w:rPr>
          <w:lang w:val="en-GB"/>
        </w:rPr>
        <w:t>if their availability is limited</w:t>
      </w:r>
      <w:r w:rsidR="00B56326" w:rsidRPr="00063682">
        <w:rPr>
          <w:lang w:val="en-GB"/>
        </w:rPr>
        <w:t xml:space="preserve"> (e.g., </w:t>
      </w:r>
      <w:r w:rsidR="00EF160B" w:rsidRPr="00063682">
        <w:rPr>
          <w:lang w:val="en-GB"/>
        </w:rPr>
        <w:t>given the number of customer interruptions or fuel constraints)</w:t>
      </w:r>
      <w:r w:rsidR="00A82F7E" w:rsidRPr="00063682">
        <w:rPr>
          <w:lang w:val="en-GB"/>
        </w:rPr>
        <w:t>.</w:t>
      </w:r>
      <w:r w:rsidR="00725D5D" w:rsidRPr="00063682">
        <w:rPr>
          <w:lang w:val="en-GB"/>
        </w:rPr>
        <w:t xml:space="preserve"> In turn, n</w:t>
      </w:r>
      <w:r w:rsidR="00FB6B0C" w:rsidRPr="00063682">
        <w:rPr>
          <w:lang w:val="en-GB"/>
        </w:rPr>
        <w:t xml:space="preserve">etwork repair tasks can </w:t>
      </w:r>
      <w:r w:rsidR="00C15587" w:rsidRPr="00063682">
        <w:rPr>
          <w:lang w:val="en-GB"/>
        </w:rPr>
        <w:t>take several days</w:t>
      </w:r>
      <w:r w:rsidR="00183A31" w:rsidRPr="00063682">
        <w:rPr>
          <w:lang w:val="en-GB"/>
        </w:rPr>
        <w:t xml:space="preserve"> to be executed</w:t>
      </w:r>
      <w:r w:rsidR="00725D5D" w:rsidRPr="00063682">
        <w:rPr>
          <w:lang w:val="en-GB"/>
        </w:rPr>
        <w:t xml:space="preserve"> when </w:t>
      </w:r>
      <w:r w:rsidR="00B56326" w:rsidRPr="00063682">
        <w:rPr>
          <w:lang w:val="en-GB"/>
        </w:rPr>
        <w:t>the affected parts of the network are inaccessible</w:t>
      </w:r>
      <w:r w:rsidR="005C70BA" w:rsidRPr="00063682">
        <w:rPr>
          <w:lang w:val="en-GB"/>
        </w:rPr>
        <w:t xml:space="preserve"> (e.g., due to road blockage</w:t>
      </w:r>
      <w:r w:rsidR="00E07A13" w:rsidRPr="00063682">
        <w:rPr>
          <w:lang w:val="en-GB"/>
        </w:rPr>
        <w:t>s</w:t>
      </w:r>
      <w:r w:rsidR="005C70BA" w:rsidRPr="00063682">
        <w:rPr>
          <w:lang w:val="en-GB"/>
        </w:rPr>
        <w:t xml:space="preserve"> or </w:t>
      </w:r>
      <w:r w:rsidR="00E07A13" w:rsidRPr="00063682">
        <w:rPr>
          <w:lang w:val="en-GB"/>
        </w:rPr>
        <w:t>extensive damage)</w:t>
      </w:r>
      <w:r w:rsidR="00B56326" w:rsidRPr="00063682">
        <w:rPr>
          <w:lang w:val="en-GB"/>
        </w:rPr>
        <w:t>.</w:t>
      </w:r>
      <w:r w:rsidR="00E07A13" w:rsidRPr="00063682">
        <w:rPr>
          <w:lang w:val="en-GB"/>
        </w:rPr>
        <w:t xml:space="preserve"> </w:t>
      </w:r>
      <w:r w:rsidR="00996176" w:rsidRPr="00063682">
        <w:rPr>
          <w:lang w:val="en-GB"/>
        </w:rPr>
        <w:t>Usage</w:t>
      </w:r>
      <w:r w:rsidR="00D92F50" w:rsidRPr="00063682">
        <w:rPr>
          <w:lang w:val="en-GB"/>
        </w:rPr>
        <w:t xml:space="preserve"> of additional pieces of information </w:t>
      </w:r>
      <w:r w:rsidR="000F2938" w:rsidRPr="00063682">
        <w:rPr>
          <w:lang w:val="en-GB"/>
        </w:rPr>
        <w:t xml:space="preserve">from weather patterns could </w:t>
      </w:r>
      <w:r w:rsidR="00996176" w:rsidRPr="00063682">
        <w:rPr>
          <w:lang w:val="en-GB"/>
        </w:rPr>
        <w:t xml:space="preserve">help overcome this limitation </w:t>
      </w:r>
      <w:r w:rsidR="00420901" w:rsidRPr="00063682">
        <w:rPr>
          <w:lang w:val="en-GB"/>
        </w:rPr>
        <w:t>by</w:t>
      </w:r>
      <w:r w:rsidR="00996176" w:rsidRPr="00063682">
        <w:rPr>
          <w:lang w:val="en-GB"/>
        </w:rPr>
        <w:t xml:space="preserve"> </w:t>
      </w:r>
      <w:r w:rsidR="000F2938" w:rsidRPr="00063682">
        <w:rPr>
          <w:lang w:val="en-GB"/>
        </w:rPr>
        <w:t>increas</w:t>
      </w:r>
      <w:r w:rsidR="00420901" w:rsidRPr="00063682">
        <w:rPr>
          <w:lang w:val="en-GB"/>
        </w:rPr>
        <w:t>ing</w:t>
      </w:r>
      <w:r w:rsidR="000F2938" w:rsidRPr="00063682">
        <w:rPr>
          <w:lang w:val="en-GB"/>
        </w:rPr>
        <w:t xml:space="preserve"> forecast times </w:t>
      </w:r>
      <w:r w:rsidR="004D67D6" w:rsidRPr="00063682">
        <w:rPr>
          <w:lang w:val="en-GB"/>
        </w:rPr>
        <w:t>up to several weeks in advance</w:t>
      </w:r>
      <w:r w:rsidR="001D0517" w:rsidRPr="00063682">
        <w:rPr>
          <w:lang w:val="en-GB"/>
        </w:rPr>
        <w:t>, as shown by</w:t>
      </w:r>
      <w:r w:rsidR="00757546" w:rsidRPr="00063682">
        <w:rPr>
          <w:lang w:val="en-GB"/>
        </w:rPr>
        <w:t xml:space="preserve"> </w:t>
      </w:r>
      <w:r w:rsidR="00AF36AB" w:rsidRPr="00063682">
        <w:rPr>
          <w:lang w:val="en-GB"/>
        </w:rPr>
        <w:t>[11]</w:t>
      </w:r>
      <w:r w:rsidR="00757546" w:rsidRPr="00063682">
        <w:rPr>
          <w:lang w:val="en-GB"/>
        </w:rPr>
        <w:t xml:space="preserve"> and </w:t>
      </w:r>
      <w:r w:rsidR="00AF36AB" w:rsidRPr="00063682">
        <w:rPr>
          <w:lang w:val="en-GB"/>
        </w:rPr>
        <w:t>[12]</w:t>
      </w:r>
      <w:r w:rsidR="004D67D6" w:rsidRPr="00063682">
        <w:rPr>
          <w:lang w:val="en-GB"/>
        </w:rPr>
        <w:t>.</w:t>
      </w:r>
      <w:r w:rsidR="00D92F50" w:rsidRPr="00063682">
        <w:rPr>
          <w:lang w:val="en-GB"/>
        </w:rPr>
        <w:t xml:space="preserve"> </w:t>
      </w:r>
      <w:r w:rsidR="00AE0DDA" w:rsidRPr="00063682">
        <w:rPr>
          <w:lang w:val="en-GB"/>
        </w:rPr>
        <w:t xml:space="preserve">This </w:t>
      </w:r>
      <w:r w:rsidR="00FE09CD" w:rsidRPr="00063682">
        <w:rPr>
          <w:lang w:val="en-GB"/>
        </w:rPr>
        <w:t xml:space="preserve">approach </w:t>
      </w:r>
      <w:r w:rsidR="00EA066D" w:rsidRPr="00063682">
        <w:rPr>
          <w:lang w:val="en-GB"/>
        </w:rPr>
        <w:t xml:space="preserve">would enable </w:t>
      </w:r>
      <w:r w:rsidR="002E459B" w:rsidRPr="00063682">
        <w:rPr>
          <w:lang w:val="en-GB"/>
        </w:rPr>
        <w:t>DNO</w:t>
      </w:r>
      <w:r w:rsidR="00EA066D" w:rsidRPr="00063682">
        <w:rPr>
          <w:lang w:val="en-GB"/>
        </w:rPr>
        <w:t xml:space="preserve">s to anticipate </w:t>
      </w:r>
      <w:r w:rsidR="00CB440A" w:rsidRPr="00063682">
        <w:rPr>
          <w:lang w:val="en-GB"/>
        </w:rPr>
        <w:t>their emergency plans and mobili</w:t>
      </w:r>
      <w:r w:rsidR="00063682">
        <w:rPr>
          <w:lang w:val="en-GB"/>
        </w:rPr>
        <w:t>s</w:t>
      </w:r>
      <w:r w:rsidR="00CB440A" w:rsidRPr="00063682">
        <w:rPr>
          <w:lang w:val="en-GB"/>
        </w:rPr>
        <w:t xml:space="preserve">e additional resources for repair and restoration tasks. </w:t>
      </w:r>
    </w:p>
    <w:p w14:paraId="333DD3D0" w14:textId="7526D18A" w:rsidR="00832C99" w:rsidRPr="00063682" w:rsidRDefault="00D3021D" w:rsidP="0085084A">
      <w:pPr>
        <w:pStyle w:val="NoSpacing"/>
        <w:numPr>
          <w:ilvl w:val="0"/>
          <w:numId w:val="4"/>
        </w:numPr>
        <w:jc w:val="both"/>
        <w:rPr>
          <w:lang w:val="en-GB"/>
        </w:rPr>
      </w:pPr>
      <w:r w:rsidRPr="00063682">
        <w:rPr>
          <w:u w:val="single"/>
          <w:lang w:val="en-GB"/>
        </w:rPr>
        <w:t>R</w:t>
      </w:r>
      <w:r w:rsidR="00832C99" w:rsidRPr="00063682">
        <w:rPr>
          <w:u w:val="single"/>
          <w:lang w:val="en-GB"/>
        </w:rPr>
        <w:t>esponse to weather incidents</w:t>
      </w:r>
      <w:r w:rsidR="00E42D0A" w:rsidRPr="00063682">
        <w:rPr>
          <w:u w:val="single"/>
          <w:lang w:val="en-GB"/>
        </w:rPr>
        <w:t xml:space="preserve"> in the UK</w:t>
      </w:r>
      <w:r w:rsidR="00176431" w:rsidRPr="00063682">
        <w:rPr>
          <w:lang w:val="en-GB"/>
        </w:rPr>
        <w:t>:</w:t>
      </w:r>
      <w:r w:rsidR="00635364" w:rsidRPr="00063682">
        <w:rPr>
          <w:lang w:val="en-GB"/>
        </w:rPr>
        <w:t xml:space="preserve"> </w:t>
      </w:r>
      <w:r w:rsidR="003E3AC9" w:rsidRPr="00063682">
        <w:rPr>
          <w:lang w:val="en-GB"/>
        </w:rPr>
        <w:t xml:space="preserve">As </w:t>
      </w:r>
      <w:r w:rsidR="007127CF" w:rsidRPr="00063682">
        <w:rPr>
          <w:lang w:val="en-GB"/>
        </w:rPr>
        <w:t>mention</w:t>
      </w:r>
      <w:r w:rsidR="003E3AC9" w:rsidRPr="00063682">
        <w:rPr>
          <w:lang w:val="en-GB"/>
        </w:rPr>
        <w:t xml:space="preserve">ed in </w:t>
      </w:r>
      <w:r w:rsidR="00AF36AB" w:rsidRPr="00063682">
        <w:rPr>
          <w:lang w:val="en-GB"/>
        </w:rPr>
        <w:t>[18</w:t>
      </w:r>
      <w:r w:rsidR="003E3AC9" w:rsidRPr="00063682">
        <w:rPr>
          <w:lang w:val="en-GB"/>
        </w:rPr>
        <w:t xml:space="preserve">], </w:t>
      </w:r>
      <w:r w:rsidR="000E3C58" w:rsidRPr="00063682">
        <w:rPr>
          <w:lang w:val="en-GB"/>
        </w:rPr>
        <w:t xml:space="preserve">the response of </w:t>
      </w:r>
      <w:r w:rsidR="00CE3A8C" w:rsidRPr="00063682">
        <w:rPr>
          <w:lang w:val="en-GB"/>
        </w:rPr>
        <w:t>DNO</w:t>
      </w:r>
      <w:r w:rsidR="003E3AC9" w:rsidRPr="00063682">
        <w:rPr>
          <w:lang w:val="en-GB"/>
        </w:rPr>
        <w:t xml:space="preserve">s </w:t>
      </w:r>
      <w:r w:rsidR="000E3C58" w:rsidRPr="00063682">
        <w:rPr>
          <w:lang w:val="en-GB"/>
        </w:rPr>
        <w:t xml:space="preserve">to </w:t>
      </w:r>
      <w:r w:rsidR="00F70F05" w:rsidRPr="00063682">
        <w:rPr>
          <w:lang w:val="en-GB"/>
        </w:rPr>
        <w:t>fault</w:t>
      </w:r>
      <w:r w:rsidR="000E3C58" w:rsidRPr="00063682">
        <w:rPr>
          <w:lang w:val="en-GB"/>
        </w:rPr>
        <w:t xml:space="preserve"> incidents is </w:t>
      </w:r>
      <w:r w:rsidR="00664ACD" w:rsidRPr="00063682">
        <w:rPr>
          <w:lang w:val="en-GB"/>
        </w:rPr>
        <w:t>evaluat</w:t>
      </w:r>
      <w:r w:rsidR="000E3C58" w:rsidRPr="00063682">
        <w:rPr>
          <w:lang w:val="en-GB"/>
        </w:rPr>
        <w:t xml:space="preserve">ed </w:t>
      </w:r>
      <w:r w:rsidR="00664ACD" w:rsidRPr="00063682">
        <w:rPr>
          <w:lang w:val="en-GB"/>
        </w:rPr>
        <w:t>according to the number of customer interruptions</w:t>
      </w:r>
      <w:r w:rsidR="00847FE2" w:rsidRPr="00063682">
        <w:rPr>
          <w:lang w:val="en-GB"/>
        </w:rPr>
        <w:t xml:space="preserve"> and customer minutes lost</w:t>
      </w:r>
      <w:r w:rsidR="003E3AC9" w:rsidRPr="00063682">
        <w:rPr>
          <w:lang w:val="en-GB"/>
        </w:rPr>
        <w:t>.</w:t>
      </w:r>
      <w:r w:rsidR="00A90902" w:rsidRPr="00063682">
        <w:rPr>
          <w:lang w:val="en-GB"/>
        </w:rPr>
        <w:t xml:space="preserve"> Approaches </w:t>
      </w:r>
      <w:r w:rsidR="00C90679" w:rsidRPr="00063682">
        <w:rPr>
          <w:lang w:val="en-GB"/>
        </w:rPr>
        <w:t xml:space="preserve">currently adopted by </w:t>
      </w:r>
      <w:r w:rsidR="00063682" w:rsidRPr="00063682">
        <w:rPr>
          <w:lang w:val="en-GB"/>
        </w:rPr>
        <w:t>DNO</w:t>
      </w:r>
      <w:r w:rsidR="00C90679" w:rsidRPr="00063682">
        <w:rPr>
          <w:lang w:val="en-GB"/>
        </w:rPr>
        <w:t xml:space="preserve">s </w:t>
      </w:r>
      <w:r w:rsidR="005C3E6C" w:rsidRPr="00063682">
        <w:rPr>
          <w:lang w:val="en-GB"/>
        </w:rPr>
        <w:t>c</w:t>
      </w:r>
      <w:r w:rsidR="004E6CAB" w:rsidRPr="00063682">
        <w:rPr>
          <w:lang w:val="en-GB"/>
        </w:rPr>
        <w:t>ombin</w:t>
      </w:r>
      <w:r w:rsidR="005C3E6C" w:rsidRPr="00063682">
        <w:rPr>
          <w:lang w:val="en-GB"/>
        </w:rPr>
        <w:t>e</w:t>
      </w:r>
      <w:r w:rsidR="004E6CAB" w:rsidRPr="00063682">
        <w:rPr>
          <w:lang w:val="en-GB"/>
        </w:rPr>
        <w:t xml:space="preserve"> and prioriti</w:t>
      </w:r>
      <w:r w:rsidR="00063682">
        <w:rPr>
          <w:lang w:val="en-GB"/>
        </w:rPr>
        <w:t>s</w:t>
      </w:r>
      <w:r w:rsidR="005C3E6C" w:rsidRPr="00063682">
        <w:rPr>
          <w:lang w:val="en-GB"/>
        </w:rPr>
        <w:t>e</w:t>
      </w:r>
      <w:r w:rsidR="004E6CAB" w:rsidRPr="00063682">
        <w:rPr>
          <w:lang w:val="en-GB"/>
        </w:rPr>
        <w:t xml:space="preserve"> repair and restoration strategies</w:t>
      </w:r>
      <w:r w:rsidR="005C3E6C" w:rsidRPr="00063682">
        <w:rPr>
          <w:lang w:val="en-GB"/>
        </w:rPr>
        <w:t xml:space="preserve"> in different ways</w:t>
      </w:r>
      <w:r w:rsidR="004E6CAB" w:rsidRPr="00063682">
        <w:rPr>
          <w:lang w:val="en-GB"/>
        </w:rPr>
        <w:t>.</w:t>
      </w:r>
      <w:r w:rsidR="00CD0C5C" w:rsidRPr="00063682">
        <w:rPr>
          <w:lang w:val="en-GB"/>
        </w:rPr>
        <w:t xml:space="preserve"> They also take advantage of </w:t>
      </w:r>
      <w:r w:rsidR="002F31B6" w:rsidRPr="00063682">
        <w:rPr>
          <w:lang w:val="en-GB"/>
        </w:rPr>
        <w:t xml:space="preserve">mutual assistance with other </w:t>
      </w:r>
      <w:r w:rsidR="00063682" w:rsidRPr="00063682">
        <w:rPr>
          <w:lang w:val="en-GB"/>
        </w:rPr>
        <w:t>DNO</w:t>
      </w:r>
      <w:r w:rsidR="002F31B6" w:rsidRPr="00063682">
        <w:rPr>
          <w:lang w:val="en-GB"/>
        </w:rPr>
        <w:t>s</w:t>
      </w:r>
      <w:r w:rsidR="00F40E85" w:rsidRPr="00063682">
        <w:rPr>
          <w:lang w:val="en-GB"/>
        </w:rPr>
        <w:t xml:space="preserve"> to bring in additional resources to help </w:t>
      </w:r>
      <w:r w:rsidR="008A184F" w:rsidRPr="00063682">
        <w:rPr>
          <w:lang w:val="en-GB"/>
        </w:rPr>
        <w:t>restoration of supply</w:t>
      </w:r>
      <w:r w:rsidR="00030F16" w:rsidRPr="00063682">
        <w:rPr>
          <w:lang w:val="en-GB"/>
        </w:rPr>
        <w:t>,</w:t>
      </w:r>
      <w:r w:rsidR="008A184F" w:rsidRPr="00063682">
        <w:rPr>
          <w:lang w:val="en-GB"/>
        </w:rPr>
        <w:t xml:space="preserve"> </w:t>
      </w:r>
      <w:r w:rsidR="00F40E85" w:rsidRPr="00063682">
        <w:rPr>
          <w:lang w:val="en-GB"/>
        </w:rPr>
        <w:t>if needed.</w:t>
      </w:r>
      <w:r w:rsidR="00030F16" w:rsidRPr="00063682">
        <w:rPr>
          <w:lang w:val="en-GB"/>
        </w:rPr>
        <w:t xml:space="preserve"> </w:t>
      </w:r>
      <w:r w:rsidR="00CA5478" w:rsidRPr="00063682">
        <w:rPr>
          <w:lang w:val="en-GB"/>
        </w:rPr>
        <w:t xml:space="preserve">Nevertheless, </w:t>
      </w:r>
      <w:r w:rsidR="002E78F3" w:rsidRPr="00063682">
        <w:rPr>
          <w:lang w:val="en-GB"/>
        </w:rPr>
        <w:t xml:space="preserve">the effectiveness of the response </w:t>
      </w:r>
      <w:r w:rsidR="00FF3349" w:rsidRPr="00063682">
        <w:rPr>
          <w:lang w:val="en-GB"/>
        </w:rPr>
        <w:t>strategies currently</w:t>
      </w:r>
      <w:r w:rsidR="002E78F3" w:rsidRPr="00063682">
        <w:rPr>
          <w:lang w:val="en-GB"/>
        </w:rPr>
        <w:t xml:space="preserve"> adopted by </w:t>
      </w:r>
      <w:r w:rsidR="00063682" w:rsidRPr="00063682">
        <w:rPr>
          <w:lang w:val="en-GB"/>
        </w:rPr>
        <w:t>DNO</w:t>
      </w:r>
      <w:r w:rsidR="002E78F3" w:rsidRPr="00063682">
        <w:rPr>
          <w:lang w:val="en-GB"/>
        </w:rPr>
        <w:t>s</w:t>
      </w:r>
      <w:r w:rsidR="00554B36" w:rsidRPr="00063682">
        <w:rPr>
          <w:lang w:val="en-GB"/>
        </w:rPr>
        <w:t xml:space="preserve"> is strongly influenced by the extent of damage to network components</w:t>
      </w:r>
      <w:r w:rsidR="00C55EE3" w:rsidRPr="00063682">
        <w:rPr>
          <w:lang w:val="en-GB"/>
        </w:rPr>
        <w:t>.</w:t>
      </w:r>
      <w:r w:rsidR="00A90902" w:rsidRPr="00063682">
        <w:rPr>
          <w:lang w:val="en-GB"/>
        </w:rPr>
        <w:t xml:space="preserve"> </w:t>
      </w:r>
      <w:r w:rsidR="00B53755" w:rsidRPr="00063682">
        <w:rPr>
          <w:lang w:val="en-GB"/>
        </w:rPr>
        <w:t xml:space="preserve">To overcome this limitation, </w:t>
      </w:r>
      <w:r w:rsidR="00371583" w:rsidRPr="00063682">
        <w:rPr>
          <w:lang w:val="en-GB"/>
        </w:rPr>
        <w:t xml:space="preserve">increasing </w:t>
      </w:r>
      <w:r w:rsidR="00B53755" w:rsidRPr="00063682">
        <w:rPr>
          <w:lang w:val="en-GB"/>
        </w:rPr>
        <w:t>usage of mobile energy resources</w:t>
      </w:r>
      <w:r w:rsidR="006D4258" w:rsidRPr="00063682">
        <w:rPr>
          <w:lang w:val="en-GB"/>
        </w:rPr>
        <w:t xml:space="preserve"> </w:t>
      </w:r>
      <w:r w:rsidR="00E74085" w:rsidRPr="00063682">
        <w:rPr>
          <w:lang w:val="en-GB"/>
        </w:rPr>
        <w:t>should be considered</w:t>
      </w:r>
      <w:r w:rsidR="006D4258" w:rsidRPr="00063682">
        <w:rPr>
          <w:lang w:val="en-GB"/>
        </w:rPr>
        <w:t xml:space="preserve"> to reduce supply interruption durations, as shown by the authors in </w:t>
      </w:r>
      <w:r w:rsidR="00AF36AB" w:rsidRPr="00063682">
        <w:rPr>
          <w:lang w:val="en-GB"/>
        </w:rPr>
        <w:t>[19</w:t>
      </w:r>
      <w:r w:rsidR="006D4258" w:rsidRPr="00063682">
        <w:rPr>
          <w:lang w:val="en-GB"/>
        </w:rPr>
        <w:t xml:space="preserve">]. </w:t>
      </w:r>
      <w:r w:rsidR="00A4217F" w:rsidRPr="00063682">
        <w:rPr>
          <w:lang w:val="en-GB"/>
        </w:rPr>
        <w:t xml:space="preserve">Likewise, </w:t>
      </w:r>
      <w:r w:rsidR="00063682" w:rsidRPr="00063682">
        <w:rPr>
          <w:lang w:val="en-GB"/>
        </w:rPr>
        <w:t xml:space="preserve">effective </w:t>
      </w:r>
      <w:r w:rsidR="00371583" w:rsidRPr="00063682">
        <w:rPr>
          <w:lang w:val="en-GB"/>
        </w:rPr>
        <w:t>strategies for pre-positioning</w:t>
      </w:r>
      <w:r w:rsidR="00F11CA6" w:rsidRPr="00063682">
        <w:rPr>
          <w:lang w:val="en-GB"/>
        </w:rPr>
        <w:t xml:space="preserve"> of repair and restoration crews</w:t>
      </w:r>
      <w:r w:rsidR="00440CF6" w:rsidRPr="00063682">
        <w:rPr>
          <w:lang w:val="en-GB"/>
        </w:rPr>
        <w:t xml:space="preserve"> and fault clearance prioriti</w:t>
      </w:r>
      <w:r w:rsidR="00063682">
        <w:rPr>
          <w:lang w:val="en-GB"/>
        </w:rPr>
        <w:t>s</w:t>
      </w:r>
      <w:r w:rsidR="00440CF6" w:rsidRPr="00063682">
        <w:rPr>
          <w:lang w:val="en-GB"/>
        </w:rPr>
        <w:t>ation</w:t>
      </w:r>
      <w:r w:rsidR="000742BA" w:rsidRPr="00063682">
        <w:rPr>
          <w:lang w:val="en-GB"/>
        </w:rPr>
        <w:t xml:space="preserve"> </w:t>
      </w:r>
      <w:r w:rsidR="00874DCC" w:rsidRPr="00063682">
        <w:rPr>
          <w:lang w:val="en-GB"/>
        </w:rPr>
        <w:t xml:space="preserve">should be adopted </w:t>
      </w:r>
      <w:r w:rsidR="000742BA" w:rsidRPr="00063682">
        <w:rPr>
          <w:lang w:val="en-GB"/>
        </w:rPr>
        <w:t>to accelerate repair and restoration tasks</w:t>
      </w:r>
      <w:r w:rsidR="00F11CA6" w:rsidRPr="00063682">
        <w:rPr>
          <w:lang w:val="en-GB"/>
        </w:rPr>
        <w:t>.</w:t>
      </w:r>
      <w:r w:rsidR="0001265E" w:rsidRPr="00063682">
        <w:rPr>
          <w:lang w:val="en-GB"/>
        </w:rPr>
        <w:t xml:space="preserve"> </w:t>
      </w:r>
      <w:r w:rsidR="00202833" w:rsidRPr="00063682">
        <w:rPr>
          <w:lang w:val="en-GB"/>
        </w:rPr>
        <w:t xml:space="preserve">These strategies should be complementary to the </w:t>
      </w:r>
      <w:r w:rsidR="00E953D1" w:rsidRPr="00063682">
        <w:rPr>
          <w:lang w:val="en-GB"/>
        </w:rPr>
        <w:t>P</w:t>
      </w:r>
      <w:r w:rsidR="00202833" w:rsidRPr="00063682">
        <w:rPr>
          <w:lang w:val="en-GB"/>
        </w:rPr>
        <w:t xml:space="preserve">riority </w:t>
      </w:r>
      <w:r w:rsidR="00E953D1" w:rsidRPr="00063682">
        <w:rPr>
          <w:lang w:val="en-GB"/>
        </w:rPr>
        <w:t>S</w:t>
      </w:r>
      <w:r w:rsidR="00202833" w:rsidRPr="00063682">
        <w:rPr>
          <w:lang w:val="en-GB"/>
        </w:rPr>
        <w:t xml:space="preserve">ervices </w:t>
      </w:r>
      <w:r w:rsidR="00E953D1" w:rsidRPr="00063682">
        <w:rPr>
          <w:lang w:val="en-GB"/>
        </w:rPr>
        <w:t>R</w:t>
      </w:r>
      <w:r w:rsidR="00202833" w:rsidRPr="00063682">
        <w:rPr>
          <w:lang w:val="en-GB"/>
        </w:rPr>
        <w:t>egister</w:t>
      </w:r>
      <w:r w:rsidR="008E3EF6" w:rsidRPr="00063682">
        <w:rPr>
          <w:lang w:val="en-GB"/>
        </w:rPr>
        <w:t xml:space="preserve"> to extend help to vulne</w:t>
      </w:r>
      <w:r w:rsidR="0051483D" w:rsidRPr="00063682">
        <w:rPr>
          <w:lang w:val="en-GB"/>
        </w:rPr>
        <w:t>rable customers under exceptional circumstances.</w:t>
      </w:r>
      <w:r w:rsidR="00736C62" w:rsidRPr="00063682">
        <w:rPr>
          <w:lang w:val="en-GB"/>
        </w:rPr>
        <w:t xml:space="preserve"> </w:t>
      </w:r>
      <w:r w:rsidR="004C1391" w:rsidRPr="00063682">
        <w:rPr>
          <w:lang w:val="en-GB"/>
        </w:rPr>
        <w:t xml:space="preserve">Improving </w:t>
      </w:r>
      <w:r w:rsidR="004C7ADB" w:rsidRPr="00063682">
        <w:rPr>
          <w:lang w:val="en-GB"/>
        </w:rPr>
        <w:t>c</w:t>
      </w:r>
      <w:r w:rsidR="004C1391" w:rsidRPr="00063682">
        <w:rPr>
          <w:lang w:val="en-GB"/>
        </w:rPr>
        <w:t>oord</w:t>
      </w:r>
      <w:r w:rsidR="004C7ADB" w:rsidRPr="00063682">
        <w:rPr>
          <w:lang w:val="en-GB"/>
        </w:rPr>
        <w:t>i</w:t>
      </w:r>
      <w:r w:rsidR="004C1391" w:rsidRPr="00063682">
        <w:rPr>
          <w:lang w:val="en-GB"/>
        </w:rPr>
        <w:t>nation</w:t>
      </w:r>
      <w:r w:rsidR="004C7ADB" w:rsidRPr="00063682">
        <w:rPr>
          <w:lang w:val="en-GB"/>
        </w:rPr>
        <w:t xml:space="preserve"> with</w:t>
      </w:r>
      <w:r w:rsidR="004C1391" w:rsidRPr="00063682">
        <w:rPr>
          <w:lang w:val="en-GB"/>
        </w:rPr>
        <w:t xml:space="preserve"> government agencies </w:t>
      </w:r>
      <w:r w:rsidR="004C7ADB" w:rsidRPr="00063682">
        <w:rPr>
          <w:lang w:val="en-GB"/>
        </w:rPr>
        <w:t>for</w:t>
      </w:r>
      <w:r w:rsidR="004C1391" w:rsidRPr="00063682">
        <w:rPr>
          <w:lang w:val="en-GB"/>
        </w:rPr>
        <w:t xml:space="preserve"> logistics and community support</w:t>
      </w:r>
      <w:r w:rsidR="004C7ADB" w:rsidRPr="00063682">
        <w:rPr>
          <w:lang w:val="en-GB"/>
        </w:rPr>
        <w:t xml:space="preserve"> </w:t>
      </w:r>
      <w:r w:rsidR="002B1B4C" w:rsidRPr="00063682">
        <w:rPr>
          <w:lang w:val="en-GB"/>
        </w:rPr>
        <w:t xml:space="preserve">under exceptional circumstances </w:t>
      </w:r>
      <w:r w:rsidR="004C7ADB" w:rsidRPr="00063682">
        <w:rPr>
          <w:lang w:val="en-GB"/>
        </w:rPr>
        <w:t>can also reduce impacts on customers</w:t>
      </w:r>
      <w:r w:rsidR="008345F8" w:rsidRPr="00063682">
        <w:rPr>
          <w:lang w:val="en-GB"/>
        </w:rPr>
        <w:t xml:space="preserve"> beyond supply interruption</w:t>
      </w:r>
      <w:r w:rsidR="0028507C" w:rsidRPr="00063682">
        <w:rPr>
          <w:lang w:val="en-GB"/>
        </w:rPr>
        <w:t>.</w:t>
      </w:r>
    </w:p>
    <w:p w14:paraId="486137AF" w14:textId="79F6257A" w:rsidR="699A926F" w:rsidRPr="00063682" w:rsidRDefault="003C4B32" w:rsidP="0085084A">
      <w:pPr>
        <w:pStyle w:val="NoSpacing"/>
        <w:numPr>
          <w:ilvl w:val="0"/>
          <w:numId w:val="4"/>
        </w:numPr>
        <w:jc w:val="both"/>
        <w:rPr>
          <w:rFonts w:ascii="Calibri" w:eastAsia="Calibri" w:hAnsi="Calibri" w:cs="Calibri"/>
          <w:lang w:val="en-GB"/>
        </w:rPr>
      </w:pPr>
      <w:r w:rsidRPr="00063682">
        <w:rPr>
          <w:u w:val="single"/>
          <w:lang w:val="en-GB"/>
        </w:rPr>
        <w:t>Risk assessment</w:t>
      </w:r>
      <w:r w:rsidRPr="00063682">
        <w:rPr>
          <w:lang w:val="en-GB"/>
        </w:rPr>
        <w:t>:</w:t>
      </w:r>
      <w:r w:rsidR="00421952" w:rsidRPr="00063682">
        <w:rPr>
          <w:lang w:val="en-GB"/>
        </w:rPr>
        <w:t xml:space="preserve"> </w:t>
      </w:r>
      <w:r w:rsidR="699A926F" w:rsidRPr="00063682">
        <w:rPr>
          <w:lang w:val="en-GB"/>
        </w:rPr>
        <w:t xml:space="preserve">SIF project WELLNESS (Whole Energy System Resilience Vulnerability Assessment) </w:t>
      </w:r>
      <w:r w:rsidR="00CE3A8C" w:rsidRPr="00063682">
        <w:rPr>
          <w:lang w:val="en-GB"/>
        </w:rPr>
        <w:t>– c</w:t>
      </w:r>
      <w:r w:rsidR="699A926F" w:rsidRPr="00063682">
        <w:rPr>
          <w:lang w:val="en-GB"/>
        </w:rPr>
        <w:t xml:space="preserve">urrently in Alpha phase – is </w:t>
      </w:r>
      <w:r w:rsidR="699A926F" w:rsidRPr="00063682">
        <w:rPr>
          <w:rFonts w:ascii="Calibri" w:eastAsia="Calibri" w:hAnsi="Calibri" w:cs="Calibri"/>
          <w:lang w:val="en-GB"/>
        </w:rPr>
        <w:t>set out to provide core evidence and a coherent approach to resilience standards, assessment, and quantitative metrics that can inform the decision-making process</w:t>
      </w:r>
      <w:r w:rsidR="526DC256" w:rsidRPr="00063682">
        <w:rPr>
          <w:rFonts w:ascii="Calibri" w:eastAsia="Calibri" w:hAnsi="Calibri" w:cs="Calibri"/>
          <w:lang w:val="en-GB"/>
        </w:rPr>
        <w:t xml:space="preserve"> for energy networks</w:t>
      </w:r>
      <w:r w:rsidR="00CE3A8C" w:rsidRPr="00063682">
        <w:rPr>
          <w:rFonts w:ascii="Calibri" w:eastAsia="Calibri" w:hAnsi="Calibri" w:cs="Calibri"/>
          <w:lang w:val="en-GB"/>
        </w:rPr>
        <w:t xml:space="preserve"> [8]</w:t>
      </w:r>
      <w:r w:rsidR="526DC256" w:rsidRPr="00063682">
        <w:rPr>
          <w:rFonts w:ascii="Calibri" w:eastAsia="Calibri" w:hAnsi="Calibri" w:cs="Calibri"/>
          <w:lang w:val="en-GB"/>
        </w:rPr>
        <w:t xml:space="preserve">. The intent is to fairly and transparently value the resilience contribution from different resources on a level playing field. </w:t>
      </w:r>
      <w:r w:rsidR="69FE83BC" w:rsidRPr="00063682">
        <w:rPr>
          <w:rFonts w:ascii="Calibri" w:eastAsia="Calibri" w:hAnsi="Calibri" w:cs="Calibri"/>
          <w:lang w:val="en-GB"/>
        </w:rPr>
        <w:t>Significant work is underway covering event modelling, data needs, network impact, metric assessment</w:t>
      </w:r>
      <w:r w:rsidR="2ED10070" w:rsidRPr="00063682">
        <w:rPr>
          <w:rFonts w:ascii="Calibri" w:eastAsia="Calibri" w:hAnsi="Calibri" w:cs="Calibri"/>
          <w:lang w:val="en-GB"/>
        </w:rPr>
        <w:t xml:space="preserve"> and selection</w:t>
      </w:r>
      <w:r w:rsidR="69FE83BC" w:rsidRPr="00063682">
        <w:rPr>
          <w:rFonts w:ascii="Calibri" w:eastAsia="Calibri" w:hAnsi="Calibri" w:cs="Calibri"/>
          <w:lang w:val="en-GB"/>
        </w:rPr>
        <w:t>, integration of flexible devices, and appropriate cost-benefit analysis methods within this project. Strong engagement with the pro</w:t>
      </w:r>
      <w:r w:rsidR="17793DEC" w:rsidRPr="00063682">
        <w:rPr>
          <w:rFonts w:ascii="Calibri" w:eastAsia="Calibri" w:hAnsi="Calibri" w:cs="Calibri"/>
          <w:lang w:val="en-GB"/>
        </w:rPr>
        <w:t>ject team is recommended.</w:t>
      </w:r>
    </w:p>
    <w:p w14:paraId="1F38E4D7" w14:textId="09D419DA" w:rsidR="654135F9" w:rsidRPr="00063682" w:rsidRDefault="00E05721" w:rsidP="0085084A">
      <w:pPr>
        <w:pStyle w:val="NoSpacing"/>
        <w:numPr>
          <w:ilvl w:val="0"/>
          <w:numId w:val="4"/>
        </w:numPr>
        <w:jc w:val="both"/>
        <w:rPr>
          <w:rFonts w:ascii="Calibri" w:eastAsia="Calibri" w:hAnsi="Calibri" w:cs="Calibri"/>
          <w:lang w:val="en-GB"/>
        </w:rPr>
      </w:pPr>
      <w:r w:rsidRPr="00063682">
        <w:rPr>
          <w:rFonts w:ascii="Calibri" w:eastAsia="Calibri" w:hAnsi="Calibri" w:cs="Calibri"/>
          <w:u w:val="single"/>
          <w:lang w:val="en-GB"/>
        </w:rPr>
        <w:t>International experiences</w:t>
      </w:r>
      <w:r w:rsidRPr="00063682">
        <w:rPr>
          <w:rFonts w:ascii="Calibri" w:eastAsia="Calibri" w:hAnsi="Calibri" w:cs="Calibri"/>
          <w:lang w:val="en-GB"/>
        </w:rPr>
        <w:t>:</w:t>
      </w:r>
      <w:r w:rsidR="00C66869" w:rsidRPr="00063682">
        <w:rPr>
          <w:rFonts w:ascii="Calibri" w:eastAsia="Calibri" w:hAnsi="Calibri" w:cs="Calibri"/>
          <w:lang w:val="en-GB"/>
        </w:rPr>
        <w:t xml:space="preserve"> International experiences should </w:t>
      </w:r>
      <w:r w:rsidR="005D4AE0" w:rsidRPr="00063682">
        <w:rPr>
          <w:rFonts w:ascii="Calibri" w:eastAsia="Calibri" w:hAnsi="Calibri" w:cs="Calibri"/>
          <w:lang w:val="en-GB"/>
        </w:rPr>
        <w:t xml:space="preserve">also </w:t>
      </w:r>
      <w:r w:rsidR="00C66869" w:rsidRPr="00063682">
        <w:rPr>
          <w:rFonts w:ascii="Calibri" w:eastAsia="Calibri" w:hAnsi="Calibri" w:cs="Calibri"/>
          <w:lang w:val="en-GB"/>
        </w:rPr>
        <w:t xml:space="preserve">be leveraged </w:t>
      </w:r>
      <w:r w:rsidR="005D4AE0" w:rsidRPr="00063682">
        <w:rPr>
          <w:rFonts w:ascii="Calibri" w:eastAsia="Calibri" w:hAnsi="Calibri" w:cs="Calibri"/>
          <w:lang w:val="en-GB"/>
        </w:rPr>
        <w:t>so that</w:t>
      </w:r>
      <w:r w:rsidR="00C66869" w:rsidRPr="00063682">
        <w:rPr>
          <w:rFonts w:ascii="Calibri" w:eastAsia="Calibri" w:hAnsi="Calibri" w:cs="Calibri"/>
          <w:lang w:val="en-GB"/>
        </w:rPr>
        <w:t xml:space="preserve"> significant progress on climate resilience </w:t>
      </w:r>
      <w:r w:rsidR="005D4AE0" w:rsidRPr="00063682">
        <w:rPr>
          <w:rFonts w:ascii="Calibri" w:eastAsia="Calibri" w:hAnsi="Calibri" w:cs="Calibri"/>
          <w:lang w:val="en-GB"/>
        </w:rPr>
        <w:t xml:space="preserve">can be made in RIIO-3 and beyond. This is particularly important to </w:t>
      </w:r>
      <w:r w:rsidR="00D03DCF" w:rsidRPr="00063682">
        <w:rPr>
          <w:rFonts w:ascii="Calibri" w:eastAsia="Calibri" w:hAnsi="Calibri" w:cs="Calibri"/>
          <w:lang w:val="en-GB"/>
        </w:rPr>
        <w:t xml:space="preserve">improve preparedness and responsiveness to </w:t>
      </w:r>
      <w:r w:rsidR="00C66869" w:rsidRPr="00063682">
        <w:rPr>
          <w:rFonts w:ascii="Calibri" w:eastAsia="Calibri" w:hAnsi="Calibri" w:cs="Calibri"/>
          <w:lang w:val="en-GB"/>
        </w:rPr>
        <w:t xml:space="preserve">less known risks in the UK, such as heatwaves. A recent example from the California Independent System Operator </w:t>
      </w:r>
      <w:r w:rsidR="00DC16BE" w:rsidRPr="00063682">
        <w:rPr>
          <w:rFonts w:ascii="Calibri" w:eastAsia="Calibri" w:hAnsi="Calibri" w:cs="Calibri"/>
          <w:lang w:val="en-GB"/>
        </w:rPr>
        <w:t>showed</w:t>
      </w:r>
      <w:r w:rsidR="00C66869" w:rsidRPr="00063682">
        <w:rPr>
          <w:rFonts w:ascii="Calibri" w:eastAsia="Calibri" w:hAnsi="Calibri" w:cs="Calibri"/>
          <w:lang w:val="en-GB"/>
        </w:rPr>
        <w:t xml:space="preserve"> that demand response and demand reduction schemes can help prevent blackouts under extreme weather conditions</w:t>
      </w:r>
      <w:r w:rsidR="00DC16BE" w:rsidRPr="00063682">
        <w:rPr>
          <w:rFonts w:ascii="Calibri" w:eastAsia="Calibri" w:hAnsi="Calibri" w:cs="Calibri"/>
          <w:lang w:val="en-GB"/>
        </w:rPr>
        <w:t xml:space="preserve"> linked to high temperature and wildfire</w:t>
      </w:r>
      <w:r w:rsidR="00B8381B" w:rsidRPr="00063682">
        <w:rPr>
          <w:rFonts w:ascii="Calibri" w:eastAsia="Calibri" w:hAnsi="Calibri" w:cs="Calibri"/>
          <w:lang w:val="en-GB"/>
        </w:rPr>
        <w:t>s</w:t>
      </w:r>
      <w:r w:rsidR="00C66869" w:rsidRPr="00063682">
        <w:rPr>
          <w:rFonts w:ascii="Calibri" w:eastAsia="Calibri" w:hAnsi="Calibri" w:cs="Calibri"/>
          <w:lang w:val="en-GB"/>
        </w:rPr>
        <w:t xml:space="preserve"> </w:t>
      </w:r>
      <w:r w:rsidR="00AF36AB" w:rsidRPr="00063682">
        <w:rPr>
          <w:rFonts w:ascii="Calibri" w:eastAsia="Calibri" w:hAnsi="Calibri" w:cs="Calibri"/>
          <w:lang w:val="en-GB"/>
        </w:rPr>
        <w:t>[20</w:t>
      </w:r>
      <w:r w:rsidR="00C66869" w:rsidRPr="00063682">
        <w:rPr>
          <w:rFonts w:ascii="Calibri" w:eastAsia="Calibri" w:hAnsi="Calibri" w:cs="Calibri"/>
          <w:lang w:val="en-GB"/>
        </w:rPr>
        <w:t xml:space="preserve">]. </w:t>
      </w:r>
      <w:r w:rsidR="00AC2C26" w:rsidRPr="00063682">
        <w:rPr>
          <w:rFonts w:ascii="Calibri" w:eastAsia="Calibri" w:hAnsi="Calibri" w:cs="Calibri"/>
          <w:lang w:val="en-GB"/>
        </w:rPr>
        <w:t xml:space="preserve">Other examples </w:t>
      </w:r>
      <w:r w:rsidR="000D0EFE" w:rsidRPr="00063682">
        <w:rPr>
          <w:rFonts w:ascii="Calibri" w:eastAsia="Calibri" w:hAnsi="Calibri" w:cs="Calibri"/>
          <w:lang w:val="en-GB"/>
        </w:rPr>
        <w:t xml:space="preserve">indicate the importance of resilience planning </w:t>
      </w:r>
      <w:r w:rsidR="001A7E56" w:rsidRPr="00063682">
        <w:rPr>
          <w:rFonts w:ascii="Calibri" w:eastAsia="Calibri" w:hAnsi="Calibri" w:cs="Calibri"/>
          <w:lang w:val="en-GB"/>
        </w:rPr>
        <w:t>for</w:t>
      </w:r>
      <w:r w:rsidR="000D0EFE" w:rsidRPr="00063682">
        <w:rPr>
          <w:rFonts w:ascii="Calibri" w:eastAsia="Calibri" w:hAnsi="Calibri" w:cs="Calibri"/>
          <w:lang w:val="en-GB"/>
        </w:rPr>
        <w:t xml:space="preserve"> energy systems</w:t>
      </w:r>
      <w:r w:rsidR="001A7E56" w:rsidRPr="00063682">
        <w:rPr>
          <w:rFonts w:ascii="Calibri" w:eastAsia="Calibri" w:hAnsi="Calibri" w:cs="Calibri"/>
          <w:lang w:val="en-GB"/>
        </w:rPr>
        <w:t xml:space="preserve"> in a changing climate</w:t>
      </w:r>
      <w:r w:rsidR="000D0EFE" w:rsidRPr="00063682">
        <w:rPr>
          <w:rFonts w:ascii="Calibri" w:eastAsia="Calibri" w:hAnsi="Calibri" w:cs="Calibri"/>
          <w:lang w:val="en-GB"/>
        </w:rPr>
        <w:t xml:space="preserve">. </w:t>
      </w:r>
      <w:r w:rsidR="000C0F5B" w:rsidRPr="00063682">
        <w:rPr>
          <w:rFonts w:ascii="Calibri" w:eastAsia="Calibri" w:hAnsi="Calibri" w:cs="Calibri"/>
          <w:lang w:val="en-GB"/>
        </w:rPr>
        <w:t xml:space="preserve">The </w:t>
      </w:r>
      <w:r w:rsidR="007B0C35" w:rsidRPr="00063682">
        <w:rPr>
          <w:rFonts w:ascii="Calibri" w:eastAsia="Calibri" w:hAnsi="Calibri" w:cs="Calibri"/>
          <w:lang w:val="en-GB"/>
        </w:rPr>
        <w:t xml:space="preserve">Australian Energy Market Operator’s </w:t>
      </w:r>
      <w:r w:rsidR="00D241A1" w:rsidRPr="00063682">
        <w:rPr>
          <w:rFonts w:ascii="Calibri" w:eastAsia="Calibri" w:hAnsi="Calibri" w:cs="Calibri"/>
          <w:lang w:val="en-GB"/>
        </w:rPr>
        <w:t xml:space="preserve">2020 Integrated System Plan </w:t>
      </w:r>
      <w:r w:rsidR="004F5F42" w:rsidRPr="00063682">
        <w:rPr>
          <w:rFonts w:ascii="Calibri" w:eastAsia="Calibri" w:hAnsi="Calibri" w:cs="Calibri"/>
          <w:lang w:val="en-GB"/>
        </w:rPr>
        <w:t>emphasi</w:t>
      </w:r>
      <w:r w:rsidR="00063682">
        <w:rPr>
          <w:rFonts w:ascii="Calibri" w:eastAsia="Calibri" w:hAnsi="Calibri" w:cs="Calibri"/>
          <w:lang w:val="en-GB"/>
        </w:rPr>
        <w:t>s</w:t>
      </w:r>
      <w:r w:rsidR="004F5F42" w:rsidRPr="00063682">
        <w:rPr>
          <w:rFonts w:ascii="Calibri" w:eastAsia="Calibri" w:hAnsi="Calibri" w:cs="Calibri"/>
          <w:lang w:val="en-GB"/>
        </w:rPr>
        <w:t>e</w:t>
      </w:r>
      <w:r w:rsidR="0008710F" w:rsidRPr="00063682">
        <w:rPr>
          <w:rFonts w:ascii="Calibri" w:eastAsia="Calibri" w:hAnsi="Calibri" w:cs="Calibri"/>
          <w:lang w:val="en-GB"/>
        </w:rPr>
        <w:t>d</w:t>
      </w:r>
      <w:r w:rsidR="004F5F42" w:rsidRPr="00063682">
        <w:rPr>
          <w:rFonts w:ascii="Calibri" w:eastAsia="Calibri" w:hAnsi="Calibri" w:cs="Calibri"/>
          <w:lang w:val="en-GB"/>
        </w:rPr>
        <w:t xml:space="preserve"> th</w:t>
      </w:r>
      <w:r w:rsidR="0008710F" w:rsidRPr="00063682">
        <w:rPr>
          <w:rFonts w:ascii="Calibri" w:eastAsia="Calibri" w:hAnsi="Calibri" w:cs="Calibri"/>
          <w:lang w:val="en-GB"/>
        </w:rPr>
        <w:t>at</w:t>
      </w:r>
      <w:r w:rsidR="006C03E5" w:rsidRPr="00063682">
        <w:rPr>
          <w:rFonts w:ascii="Calibri" w:eastAsia="Calibri" w:hAnsi="Calibri" w:cs="Calibri"/>
          <w:lang w:val="en-GB"/>
        </w:rPr>
        <w:t xml:space="preserve"> enhanced climate and energy system modelling </w:t>
      </w:r>
      <w:r w:rsidR="009D513D" w:rsidRPr="00063682">
        <w:rPr>
          <w:rFonts w:ascii="Calibri" w:eastAsia="Calibri" w:hAnsi="Calibri" w:cs="Calibri"/>
          <w:lang w:val="en-GB"/>
        </w:rPr>
        <w:t>are needed</w:t>
      </w:r>
      <w:r w:rsidR="00B12F88" w:rsidRPr="00063682">
        <w:rPr>
          <w:rFonts w:ascii="Calibri" w:eastAsia="Calibri" w:hAnsi="Calibri" w:cs="Calibri"/>
          <w:lang w:val="en-GB"/>
        </w:rPr>
        <w:t xml:space="preserve"> to </w:t>
      </w:r>
      <w:r w:rsidR="00072A18" w:rsidRPr="00063682">
        <w:rPr>
          <w:rFonts w:ascii="Calibri" w:eastAsia="Calibri" w:hAnsi="Calibri" w:cs="Calibri"/>
          <w:lang w:val="en-GB"/>
        </w:rPr>
        <w:t>improve analysis of</w:t>
      </w:r>
      <w:r w:rsidR="00B12F88" w:rsidRPr="00063682">
        <w:rPr>
          <w:rFonts w:ascii="Calibri" w:eastAsia="Calibri" w:hAnsi="Calibri" w:cs="Calibri"/>
          <w:lang w:val="en-GB"/>
        </w:rPr>
        <w:t xml:space="preserve"> </w:t>
      </w:r>
      <w:r w:rsidR="00973D9C" w:rsidRPr="00063682">
        <w:rPr>
          <w:rFonts w:ascii="Calibri" w:eastAsia="Calibri" w:hAnsi="Calibri" w:cs="Calibri"/>
          <w:lang w:val="en-GB"/>
        </w:rPr>
        <w:t>risks associated with extreme weather events</w:t>
      </w:r>
      <w:r w:rsidR="00C00117" w:rsidRPr="00063682">
        <w:rPr>
          <w:rFonts w:ascii="Calibri" w:eastAsia="Calibri" w:hAnsi="Calibri" w:cs="Calibri"/>
          <w:lang w:val="en-GB"/>
        </w:rPr>
        <w:t xml:space="preserve"> </w:t>
      </w:r>
      <w:r w:rsidR="00AF36AB" w:rsidRPr="00063682">
        <w:rPr>
          <w:rFonts w:ascii="Calibri" w:eastAsia="Calibri" w:hAnsi="Calibri" w:cs="Calibri"/>
          <w:lang w:val="en-GB"/>
        </w:rPr>
        <w:t>[21</w:t>
      </w:r>
      <w:r w:rsidR="00C00117" w:rsidRPr="00063682">
        <w:rPr>
          <w:rFonts w:ascii="Calibri" w:eastAsia="Calibri" w:hAnsi="Calibri" w:cs="Calibri"/>
          <w:lang w:val="en-GB"/>
        </w:rPr>
        <w:t>]</w:t>
      </w:r>
      <w:r w:rsidR="00973D9C" w:rsidRPr="00063682">
        <w:rPr>
          <w:rFonts w:ascii="Calibri" w:eastAsia="Calibri" w:hAnsi="Calibri" w:cs="Calibri"/>
          <w:lang w:val="en-GB"/>
        </w:rPr>
        <w:t>.</w:t>
      </w:r>
      <w:r w:rsidR="004F5F42" w:rsidRPr="00063682">
        <w:rPr>
          <w:rFonts w:ascii="Calibri" w:eastAsia="Calibri" w:hAnsi="Calibri" w:cs="Calibri"/>
          <w:lang w:val="en-GB"/>
        </w:rPr>
        <w:t xml:space="preserve"> </w:t>
      </w:r>
      <w:r w:rsidR="00F2244F" w:rsidRPr="00063682">
        <w:rPr>
          <w:rFonts w:ascii="Calibri" w:eastAsia="Calibri" w:hAnsi="Calibri" w:cs="Calibri"/>
          <w:lang w:val="en-GB"/>
        </w:rPr>
        <w:t>It also indicate</w:t>
      </w:r>
      <w:r w:rsidR="00F02CDA" w:rsidRPr="00063682">
        <w:rPr>
          <w:rFonts w:ascii="Calibri" w:eastAsia="Calibri" w:hAnsi="Calibri" w:cs="Calibri"/>
          <w:lang w:val="en-GB"/>
        </w:rPr>
        <w:t>d</w:t>
      </w:r>
      <w:r w:rsidR="00F2244F" w:rsidRPr="00063682">
        <w:rPr>
          <w:rFonts w:ascii="Calibri" w:eastAsia="Calibri" w:hAnsi="Calibri" w:cs="Calibri"/>
          <w:lang w:val="en-GB"/>
        </w:rPr>
        <w:t xml:space="preserve"> th</w:t>
      </w:r>
      <w:r w:rsidR="00F02CDA" w:rsidRPr="00063682">
        <w:rPr>
          <w:rFonts w:ascii="Calibri" w:eastAsia="Calibri" w:hAnsi="Calibri" w:cs="Calibri"/>
          <w:lang w:val="en-GB"/>
        </w:rPr>
        <w:t>e contribution of</w:t>
      </w:r>
      <w:r w:rsidR="00F2244F" w:rsidRPr="00063682">
        <w:rPr>
          <w:rFonts w:ascii="Calibri" w:eastAsia="Calibri" w:hAnsi="Calibri" w:cs="Calibri"/>
          <w:lang w:val="en-GB"/>
        </w:rPr>
        <w:t xml:space="preserve"> </w:t>
      </w:r>
      <w:r w:rsidR="00F02CDA" w:rsidRPr="00063682">
        <w:rPr>
          <w:rFonts w:ascii="Calibri" w:eastAsia="Calibri" w:hAnsi="Calibri" w:cs="Calibri"/>
          <w:lang w:val="en-GB"/>
        </w:rPr>
        <w:t xml:space="preserve">planning standards to improve </w:t>
      </w:r>
      <w:r w:rsidR="004819AC" w:rsidRPr="00063682">
        <w:rPr>
          <w:rFonts w:ascii="Calibri" w:eastAsia="Calibri" w:hAnsi="Calibri" w:cs="Calibri"/>
          <w:lang w:val="en-GB"/>
        </w:rPr>
        <w:t xml:space="preserve">overall </w:t>
      </w:r>
      <w:r w:rsidR="0011298F" w:rsidRPr="00063682">
        <w:rPr>
          <w:rFonts w:ascii="Calibri" w:eastAsia="Calibri" w:hAnsi="Calibri" w:cs="Calibri"/>
          <w:lang w:val="en-GB"/>
        </w:rPr>
        <w:t xml:space="preserve">system </w:t>
      </w:r>
      <w:r w:rsidR="00F02CDA" w:rsidRPr="00063682">
        <w:rPr>
          <w:rFonts w:ascii="Calibri" w:eastAsia="Calibri" w:hAnsi="Calibri" w:cs="Calibri"/>
          <w:lang w:val="en-GB"/>
        </w:rPr>
        <w:t>resilience</w:t>
      </w:r>
      <w:r w:rsidR="0011298F" w:rsidRPr="00063682">
        <w:rPr>
          <w:rFonts w:ascii="Calibri" w:eastAsia="Calibri" w:hAnsi="Calibri" w:cs="Calibri"/>
          <w:lang w:val="en-GB"/>
        </w:rPr>
        <w:t xml:space="preserve">, and the </w:t>
      </w:r>
      <w:r w:rsidR="0021544B" w:rsidRPr="00063682">
        <w:rPr>
          <w:rFonts w:ascii="Calibri" w:eastAsia="Calibri" w:hAnsi="Calibri" w:cs="Calibri"/>
          <w:lang w:val="en-GB"/>
        </w:rPr>
        <w:t>impo</w:t>
      </w:r>
      <w:r w:rsidR="004819AC" w:rsidRPr="00063682">
        <w:rPr>
          <w:rFonts w:ascii="Calibri" w:eastAsia="Calibri" w:hAnsi="Calibri" w:cs="Calibri"/>
          <w:lang w:val="en-GB"/>
        </w:rPr>
        <w:t>r</w:t>
      </w:r>
      <w:r w:rsidR="0021544B" w:rsidRPr="00063682">
        <w:rPr>
          <w:rFonts w:ascii="Calibri" w:eastAsia="Calibri" w:hAnsi="Calibri" w:cs="Calibri"/>
          <w:lang w:val="en-GB"/>
        </w:rPr>
        <w:t xml:space="preserve">tance of revising these standards to address </w:t>
      </w:r>
      <w:r w:rsidR="004819AC" w:rsidRPr="00063682">
        <w:rPr>
          <w:rFonts w:ascii="Calibri" w:eastAsia="Calibri" w:hAnsi="Calibri" w:cs="Calibri"/>
          <w:lang w:val="en-GB"/>
        </w:rPr>
        <w:t>all current and future risks.</w:t>
      </w:r>
      <w:r w:rsidR="00C00117" w:rsidRPr="00063682">
        <w:rPr>
          <w:rFonts w:ascii="Calibri" w:eastAsia="Calibri" w:hAnsi="Calibri" w:cs="Calibri"/>
          <w:lang w:val="en-GB"/>
        </w:rPr>
        <w:t xml:space="preserve"> </w:t>
      </w:r>
      <w:r w:rsidR="00D07664" w:rsidRPr="00063682">
        <w:rPr>
          <w:rFonts w:ascii="Calibri" w:eastAsia="Calibri" w:hAnsi="Calibri" w:cs="Calibri"/>
          <w:lang w:val="en-GB"/>
        </w:rPr>
        <w:t>T</w:t>
      </w:r>
      <w:r w:rsidR="009C5717" w:rsidRPr="00063682">
        <w:rPr>
          <w:rFonts w:ascii="Calibri" w:eastAsia="Calibri" w:hAnsi="Calibri" w:cs="Calibri"/>
          <w:lang w:val="en-GB"/>
        </w:rPr>
        <w:t>he Brazilian National System Operator</w:t>
      </w:r>
      <w:r w:rsidR="00AD04E8" w:rsidRPr="00063682">
        <w:rPr>
          <w:rFonts w:ascii="Calibri" w:eastAsia="Calibri" w:hAnsi="Calibri" w:cs="Calibri"/>
          <w:lang w:val="en-GB"/>
        </w:rPr>
        <w:t xml:space="preserve"> a</w:t>
      </w:r>
      <w:r w:rsidR="00F52F50" w:rsidRPr="00063682">
        <w:rPr>
          <w:rFonts w:ascii="Calibri" w:eastAsia="Calibri" w:hAnsi="Calibri" w:cs="Calibri"/>
          <w:lang w:val="en-GB"/>
        </w:rPr>
        <w:t xml:space="preserve">ccounts for </w:t>
      </w:r>
      <w:r w:rsidR="00217BCE" w:rsidRPr="00063682">
        <w:rPr>
          <w:rFonts w:ascii="Calibri" w:eastAsia="Calibri" w:hAnsi="Calibri" w:cs="Calibri"/>
          <w:lang w:val="en-GB"/>
        </w:rPr>
        <w:t xml:space="preserve">adverse climate </w:t>
      </w:r>
      <w:r w:rsidR="00B03C80" w:rsidRPr="00063682">
        <w:rPr>
          <w:rFonts w:ascii="Calibri" w:eastAsia="Calibri" w:hAnsi="Calibri" w:cs="Calibri"/>
          <w:lang w:val="en-GB"/>
        </w:rPr>
        <w:t>scenario</w:t>
      </w:r>
      <w:r w:rsidR="00217BCE" w:rsidRPr="00063682">
        <w:rPr>
          <w:rFonts w:ascii="Calibri" w:eastAsia="Calibri" w:hAnsi="Calibri" w:cs="Calibri"/>
          <w:lang w:val="en-GB"/>
        </w:rPr>
        <w:t>s</w:t>
      </w:r>
      <w:r w:rsidR="00C704C5" w:rsidRPr="00063682">
        <w:rPr>
          <w:rFonts w:ascii="Calibri" w:eastAsia="Calibri" w:hAnsi="Calibri" w:cs="Calibri"/>
          <w:lang w:val="en-GB"/>
        </w:rPr>
        <w:t xml:space="preserve"> </w:t>
      </w:r>
      <w:r w:rsidR="00B03C80" w:rsidRPr="00063682">
        <w:rPr>
          <w:rFonts w:ascii="Calibri" w:eastAsia="Calibri" w:hAnsi="Calibri" w:cs="Calibri"/>
          <w:lang w:val="en-GB"/>
        </w:rPr>
        <w:t xml:space="preserve">which </w:t>
      </w:r>
      <w:r w:rsidR="00B55C5E" w:rsidRPr="00063682">
        <w:rPr>
          <w:rFonts w:ascii="Calibri" w:eastAsia="Calibri" w:hAnsi="Calibri" w:cs="Calibri"/>
          <w:lang w:val="en-GB"/>
        </w:rPr>
        <w:t xml:space="preserve">may </w:t>
      </w:r>
      <w:r w:rsidR="00B03C80" w:rsidRPr="00063682">
        <w:rPr>
          <w:rFonts w:ascii="Calibri" w:eastAsia="Calibri" w:hAnsi="Calibri" w:cs="Calibri"/>
          <w:lang w:val="en-GB"/>
        </w:rPr>
        <w:t>pose</w:t>
      </w:r>
      <w:r w:rsidR="00B55C5E" w:rsidRPr="00063682">
        <w:rPr>
          <w:rFonts w:ascii="Calibri" w:eastAsia="Calibri" w:hAnsi="Calibri" w:cs="Calibri"/>
          <w:lang w:val="en-GB"/>
        </w:rPr>
        <w:t xml:space="preserve"> risks for </w:t>
      </w:r>
      <w:r w:rsidR="00B03C80" w:rsidRPr="00063682">
        <w:rPr>
          <w:rFonts w:ascii="Calibri" w:eastAsia="Calibri" w:hAnsi="Calibri" w:cs="Calibri"/>
          <w:lang w:val="en-GB"/>
        </w:rPr>
        <w:t xml:space="preserve">the </w:t>
      </w:r>
      <w:r w:rsidR="00B55C5E" w:rsidRPr="00063682">
        <w:rPr>
          <w:rFonts w:ascii="Calibri" w:eastAsia="Calibri" w:hAnsi="Calibri" w:cs="Calibri"/>
          <w:lang w:val="en-GB"/>
        </w:rPr>
        <w:t>security of supply</w:t>
      </w:r>
      <w:r w:rsidR="00D07664" w:rsidRPr="00063682">
        <w:rPr>
          <w:rFonts w:ascii="Calibri" w:eastAsia="Calibri" w:hAnsi="Calibri" w:cs="Calibri"/>
          <w:lang w:val="en-GB"/>
        </w:rPr>
        <w:t xml:space="preserve"> to </w:t>
      </w:r>
      <w:r w:rsidR="00C01057" w:rsidRPr="00063682">
        <w:rPr>
          <w:rFonts w:ascii="Calibri" w:eastAsia="Calibri" w:hAnsi="Calibri" w:cs="Calibri"/>
          <w:lang w:val="en-GB"/>
        </w:rPr>
        <w:t xml:space="preserve">conduct feasibility studies of </w:t>
      </w:r>
      <w:r w:rsidR="003556B8" w:rsidRPr="00063682">
        <w:rPr>
          <w:rFonts w:ascii="Calibri" w:eastAsia="Calibri" w:hAnsi="Calibri" w:cs="Calibri"/>
          <w:lang w:val="en-GB"/>
        </w:rPr>
        <w:t>capacity expansion</w:t>
      </w:r>
      <w:r w:rsidR="00C01057" w:rsidRPr="00063682">
        <w:rPr>
          <w:rFonts w:ascii="Calibri" w:eastAsia="Calibri" w:hAnsi="Calibri" w:cs="Calibri"/>
          <w:lang w:val="en-GB"/>
        </w:rPr>
        <w:t xml:space="preserve"> and generation procurement</w:t>
      </w:r>
      <w:r w:rsidR="009A1182" w:rsidRPr="00063682">
        <w:rPr>
          <w:rFonts w:ascii="Calibri" w:eastAsia="Calibri" w:hAnsi="Calibri" w:cs="Calibri"/>
          <w:lang w:val="en-GB"/>
        </w:rPr>
        <w:t xml:space="preserve"> </w:t>
      </w:r>
      <w:r w:rsidR="00AF36AB" w:rsidRPr="00063682">
        <w:rPr>
          <w:rFonts w:ascii="Calibri" w:eastAsia="Calibri" w:hAnsi="Calibri" w:cs="Calibri"/>
          <w:lang w:val="en-GB"/>
        </w:rPr>
        <w:t>[22</w:t>
      </w:r>
      <w:r w:rsidR="009A1182" w:rsidRPr="00063682">
        <w:rPr>
          <w:rFonts w:ascii="Calibri" w:eastAsia="Calibri" w:hAnsi="Calibri" w:cs="Calibri"/>
          <w:lang w:val="en-GB"/>
        </w:rPr>
        <w:t>]</w:t>
      </w:r>
      <w:r w:rsidR="00B55C5E" w:rsidRPr="00063682">
        <w:rPr>
          <w:rFonts w:ascii="Calibri" w:eastAsia="Calibri" w:hAnsi="Calibri" w:cs="Calibri"/>
          <w:lang w:val="en-GB"/>
        </w:rPr>
        <w:t>.</w:t>
      </w:r>
      <w:r w:rsidR="001B0697" w:rsidRPr="00063682">
        <w:rPr>
          <w:rFonts w:ascii="Calibri" w:eastAsia="Calibri" w:hAnsi="Calibri" w:cs="Calibri"/>
          <w:lang w:val="en-GB"/>
        </w:rPr>
        <w:t xml:space="preserve"> It currently adopts the N-2 </w:t>
      </w:r>
      <w:r w:rsidR="0004404D" w:rsidRPr="00063682">
        <w:rPr>
          <w:rFonts w:ascii="Calibri" w:eastAsia="Calibri" w:hAnsi="Calibri" w:cs="Calibri"/>
          <w:lang w:val="en-GB"/>
        </w:rPr>
        <w:t xml:space="preserve">security criterion </w:t>
      </w:r>
      <w:r w:rsidR="007F4C89" w:rsidRPr="00063682">
        <w:rPr>
          <w:rFonts w:ascii="Calibri" w:eastAsia="Calibri" w:hAnsi="Calibri" w:cs="Calibri"/>
          <w:lang w:val="en-GB"/>
        </w:rPr>
        <w:t xml:space="preserve">for the design and operation of </w:t>
      </w:r>
      <w:r w:rsidR="0004404D" w:rsidRPr="00063682">
        <w:rPr>
          <w:rFonts w:ascii="Calibri" w:eastAsia="Calibri" w:hAnsi="Calibri" w:cs="Calibri"/>
          <w:lang w:val="en-GB"/>
        </w:rPr>
        <w:t xml:space="preserve">transmission </w:t>
      </w:r>
      <w:r w:rsidR="007F4C89" w:rsidRPr="00063682">
        <w:rPr>
          <w:rFonts w:ascii="Calibri" w:eastAsia="Calibri" w:hAnsi="Calibri" w:cs="Calibri"/>
          <w:lang w:val="en-GB"/>
        </w:rPr>
        <w:t>corridors</w:t>
      </w:r>
      <w:r w:rsidR="00167164" w:rsidRPr="00063682">
        <w:rPr>
          <w:rFonts w:ascii="Calibri" w:eastAsia="Calibri" w:hAnsi="Calibri" w:cs="Calibri"/>
          <w:lang w:val="en-GB"/>
        </w:rPr>
        <w:t xml:space="preserve"> to mitigate the impact</w:t>
      </w:r>
      <w:r w:rsidR="00904DB8" w:rsidRPr="00063682">
        <w:rPr>
          <w:rFonts w:ascii="Calibri" w:eastAsia="Calibri" w:hAnsi="Calibri" w:cs="Calibri"/>
          <w:lang w:val="en-GB"/>
        </w:rPr>
        <w:t xml:space="preserve"> of perturbations resulting from adverse weather events</w:t>
      </w:r>
      <w:r w:rsidR="007A27DC" w:rsidRPr="00063682">
        <w:rPr>
          <w:rFonts w:ascii="Calibri" w:eastAsia="Calibri" w:hAnsi="Calibri" w:cs="Calibri"/>
          <w:lang w:val="en-GB"/>
        </w:rPr>
        <w:t xml:space="preserve"> on the interconnected system</w:t>
      </w:r>
      <w:r w:rsidR="00904DB8" w:rsidRPr="00063682">
        <w:rPr>
          <w:rFonts w:ascii="Calibri" w:eastAsia="Calibri" w:hAnsi="Calibri" w:cs="Calibri"/>
          <w:lang w:val="en-GB"/>
        </w:rPr>
        <w:t>.</w:t>
      </w:r>
    </w:p>
    <w:p w14:paraId="02745F29" w14:textId="3DC9E1AE" w:rsidR="654135F9" w:rsidRPr="00063682" w:rsidRDefault="654135F9" w:rsidP="0085084A">
      <w:pPr>
        <w:pStyle w:val="NoSpacing"/>
        <w:jc w:val="both"/>
        <w:rPr>
          <w:lang w:val="en-GB"/>
        </w:rPr>
      </w:pPr>
    </w:p>
    <w:p w14:paraId="3AB628C9" w14:textId="6DCF3FB0" w:rsidR="00A74B14" w:rsidRPr="00063682" w:rsidRDefault="00E11390" w:rsidP="0085084A">
      <w:pPr>
        <w:pStyle w:val="NoSpacing"/>
        <w:jc w:val="both"/>
        <w:rPr>
          <w:lang w:val="en-GB"/>
        </w:rPr>
      </w:pPr>
      <w:r w:rsidRPr="00063682">
        <w:rPr>
          <w:b/>
          <w:bCs/>
          <w:lang w:val="en-GB"/>
        </w:rPr>
        <w:t>OVQ2</w:t>
      </w:r>
      <w:r w:rsidR="008A2468" w:rsidRPr="00063682">
        <w:rPr>
          <w:b/>
          <w:bCs/>
          <w:lang w:val="en-GB"/>
        </w:rPr>
        <w:t>5.</w:t>
      </w:r>
      <w:r w:rsidR="008A2468" w:rsidRPr="00063682">
        <w:rPr>
          <w:lang w:val="en-GB"/>
        </w:rPr>
        <w:t xml:space="preserve"> Do you agree with our suggested approach for embedding climate resilience into RIIO3, namely: introducing resilience strategies; developing forward-looking resilience metrics; and introducing climate resilience working groups? </w:t>
      </w:r>
    </w:p>
    <w:p w14:paraId="31935C60" w14:textId="1AD1662F" w:rsidR="00555ADD" w:rsidRPr="00063682" w:rsidRDefault="001124EC" w:rsidP="0085084A">
      <w:pPr>
        <w:pStyle w:val="NoSpacing"/>
        <w:jc w:val="both"/>
        <w:rPr>
          <w:lang w:val="en-GB"/>
        </w:rPr>
      </w:pPr>
      <w:r w:rsidRPr="00063682">
        <w:rPr>
          <w:b/>
          <w:bCs/>
          <w:lang w:val="en-GB"/>
        </w:rPr>
        <w:t>Answer</w:t>
      </w:r>
      <w:r w:rsidR="00555ADD" w:rsidRPr="00063682">
        <w:rPr>
          <w:b/>
          <w:bCs/>
          <w:lang w:val="en-GB"/>
        </w:rPr>
        <w:t>:</w:t>
      </w:r>
      <w:r w:rsidR="00555ADD" w:rsidRPr="00063682">
        <w:rPr>
          <w:lang w:val="en-GB"/>
        </w:rPr>
        <w:t xml:space="preserve"> </w:t>
      </w:r>
      <w:r w:rsidR="004D3549" w:rsidRPr="00063682">
        <w:rPr>
          <w:lang w:val="en-GB"/>
        </w:rPr>
        <w:t xml:space="preserve">The proposed approach for embedding climate resilience into RIIO-3 needs </w:t>
      </w:r>
      <w:r w:rsidR="00B67303" w:rsidRPr="00063682">
        <w:rPr>
          <w:lang w:val="en-GB"/>
        </w:rPr>
        <w:t xml:space="preserve">more </w:t>
      </w:r>
      <w:r w:rsidR="004D3549" w:rsidRPr="00063682">
        <w:rPr>
          <w:lang w:val="en-GB"/>
        </w:rPr>
        <w:t>reasoning</w:t>
      </w:r>
      <w:r w:rsidR="00342ABD" w:rsidRPr="00063682">
        <w:rPr>
          <w:lang w:val="en-GB"/>
        </w:rPr>
        <w:t>.</w:t>
      </w:r>
      <w:r w:rsidR="004D3549" w:rsidRPr="00063682">
        <w:rPr>
          <w:lang w:val="en-GB"/>
        </w:rPr>
        <w:t xml:space="preserve"> </w:t>
      </w:r>
      <w:r w:rsidR="00342ABD" w:rsidRPr="00063682">
        <w:rPr>
          <w:lang w:val="en-GB"/>
        </w:rPr>
        <w:t>The</w:t>
      </w:r>
      <w:r w:rsidR="00237833" w:rsidRPr="00063682">
        <w:rPr>
          <w:lang w:val="en-GB"/>
        </w:rPr>
        <w:t xml:space="preserve"> following aspects should be considered</w:t>
      </w:r>
      <w:r w:rsidR="00342ABD" w:rsidRPr="00063682">
        <w:rPr>
          <w:lang w:val="en-GB"/>
        </w:rPr>
        <w:t xml:space="preserve"> </w:t>
      </w:r>
      <w:r w:rsidR="00237833" w:rsidRPr="00063682">
        <w:rPr>
          <w:lang w:val="en-GB"/>
        </w:rPr>
        <w:t>for</w:t>
      </w:r>
      <w:r w:rsidR="007C602E" w:rsidRPr="00063682">
        <w:rPr>
          <w:lang w:val="en-GB"/>
        </w:rPr>
        <w:t xml:space="preserve"> an appropriate</w:t>
      </w:r>
      <w:r w:rsidR="00342ABD" w:rsidRPr="00063682">
        <w:rPr>
          <w:lang w:val="en-GB"/>
        </w:rPr>
        <w:t xml:space="preserve"> introduction of</w:t>
      </w:r>
      <w:r w:rsidR="00B2384A" w:rsidRPr="00063682">
        <w:rPr>
          <w:lang w:val="en-GB"/>
        </w:rPr>
        <w:t xml:space="preserve"> resilience strategies, forward-looking </w:t>
      </w:r>
      <w:r w:rsidR="00AB0914" w:rsidRPr="00063682">
        <w:rPr>
          <w:lang w:val="en-GB"/>
        </w:rPr>
        <w:t xml:space="preserve">resilience </w:t>
      </w:r>
      <w:r w:rsidR="00B2384A" w:rsidRPr="00063682">
        <w:rPr>
          <w:lang w:val="en-GB"/>
        </w:rPr>
        <w:t>metrics, and climate resilience working groups</w:t>
      </w:r>
      <w:r w:rsidR="00237833" w:rsidRPr="00063682">
        <w:rPr>
          <w:lang w:val="en-GB"/>
        </w:rPr>
        <w:t>:</w:t>
      </w:r>
      <w:r w:rsidR="008A3179" w:rsidRPr="00063682">
        <w:rPr>
          <w:lang w:val="en-GB"/>
        </w:rPr>
        <w:t xml:space="preserve"> </w:t>
      </w:r>
    </w:p>
    <w:p w14:paraId="33B8F3F6" w14:textId="2ACEE7F4" w:rsidR="008A3179" w:rsidRPr="00063682" w:rsidRDefault="008A3179" w:rsidP="0085084A">
      <w:pPr>
        <w:pStyle w:val="NoSpacing"/>
        <w:numPr>
          <w:ilvl w:val="0"/>
          <w:numId w:val="10"/>
        </w:numPr>
        <w:jc w:val="both"/>
        <w:rPr>
          <w:lang w:val="en-GB"/>
        </w:rPr>
      </w:pPr>
      <w:r w:rsidRPr="00063682">
        <w:rPr>
          <w:u w:val="single"/>
          <w:lang w:val="en-GB"/>
        </w:rPr>
        <w:t>Introducing resilience strategies</w:t>
      </w:r>
      <w:r w:rsidRPr="00063682">
        <w:rPr>
          <w:lang w:val="en-GB"/>
        </w:rPr>
        <w:t xml:space="preserve">: </w:t>
      </w:r>
      <w:r w:rsidR="000019CA" w:rsidRPr="00063682">
        <w:rPr>
          <w:lang w:val="en-GB"/>
        </w:rPr>
        <w:t>Resilience is inherently about low probability events</w:t>
      </w:r>
      <w:r w:rsidR="00400E70" w:rsidRPr="00063682">
        <w:rPr>
          <w:lang w:val="en-GB"/>
        </w:rPr>
        <w:t xml:space="preserve"> (as acknowledged in </w:t>
      </w:r>
      <w:r w:rsidR="0085084A" w:rsidRPr="00063682">
        <w:rPr>
          <w:lang w:val="en-GB"/>
        </w:rPr>
        <w:t>the overview document, section 6.</w:t>
      </w:r>
      <w:r w:rsidR="00400E70" w:rsidRPr="00063682">
        <w:rPr>
          <w:lang w:val="en-GB"/>
        </w:rPr>
        <w:t>162)</w:t>
      </w:r>
      <w:r w:rsidR="000019CA" w:rsidRPr="00063682">
        <w:rPr>
          <w:lang w:val="en-GB"/>
        </w:rPr>
        <w:t xml:space="preserve"> which means that traditional probabilistic risk modelling (taking the product of probabilities and impact costs and looking at expected outcomes) are subject to a lot of variability depending on assumptions about the uncertainty and how it is modelled/quantified. Initially, methods based on ‘threshold’ performance </w:t>
      </w:r>
      <w:r w:rsidR="0048418C" w:rsidRPr="00063682">
        <w:rPr>
          <w:lang w:val="en-GB"/>
        </w:rPr>
        <w:t xml:space="preserve">(i.e., </w:t>
      </w:r>
      <w:r w:rsidR="00674D67" w:rsidRPr="00063682">
        <w:rPr>
          <w:lang w:val="en-GB"/>
        </w:rPr>
        <w:t>thresholds based on ‘acceptable’ levels of performance degradation</w:t>
      </w:r>
      <w:r w:rsidR="0048418C" w:rsidRPr="00063682">
        <w:rPr>
          <w:lang w:val="en-GB"/>
        </w:rPr>
        <w:t xml:space="preserve">) </w:t>
      </w:r>
      <w:r w:rsidR="000019CA" w:rsidRPr="00063682">
        <w:rPr>
          <w:lang w:val="en-GB"/>
        </w:rPr>
        <w:t>may be more pragmatic. Such methods still require significant work to establish robust quantification and assessment methodologies, suitable for different shock events across different networks.</w:t>
      </w:r>
      <w:r w:rsidR="00B00CE0" w:rsidRPr="00063682">
        <w:rPr>
          <w:lang w:val="en-GB"/>
        </w:rPr>
        <w:t xml:space="preserve"> </w:t>
      </w:r>
      <w:r w:rsidR="0008247F" w:rsidRPr="00063682">
        <w:rPr>
          <w:lang w:val="en-GB"/>
        </w:rPr>
        <w:t>First</w:t>
      </w:r>
      <w:r w:rsidR="005603AD" w:rsidRPr="00063682">
        <w:rPr>
          <w:lang w:val="en-GB"/>
        </w:rPr>
        <w:t>,</w:t>
      </w:r>
      <w:r w:rsidR="0008247F" w:rsidRPr="00063682">
        <w:rPr>
          <w:lang w:val="en-GB"/>
        </w:rPr>
        <w:t xml:space="preserve"> because</w:t>
      </w:r>
      <w:r w:rsidR="005603AD" w:rsidRPr="00063682">
        <w:rPr>
          <w:lang w:val="en-GB"/>
        </w:rPr>
        <w:t xml:space="preserve"> r</w:t>
      </w:r>
      <w:r w:rsidR="00B67BAF" w:rsidRPr="00063682">
        <w:rPr>
          <w:lang w:val="en-GB"/>
        </w:rPr>
        <w:t xml:space="preserve">esilience enhancements </w:t>
      </w:r>
      <w:r w:rsidR="005B01A3" w:rsidRPr="00063682">
        <w:rPr>
          <w:lang w:val="en-GB"/>
        </w:rPr>
        <w:t xml:space="preserve">may </w:t>
      </w:r>
      <w:r w:rsidR="0008247F" w:rsidRPr="00063682">
        <w:rPr>
          <w:lang w:val="en-GB"/>
        </w:rPr>
        <w:t>combine</w:t>
      </w:r>
      <w:r w:rsidR="00B67BAF" w:rsidRPr="00063682">
        <w:rPr>
          <w:lang w:val="en-GB"/>
        </w:rPr>
        <w:t xml:space="preserve"> different </w:t>
      </w:r>
      <w:r w:rsidR="005B01A3" w:rsidRPr="00063682">
        <w:rPr>
          <w:lang w:val="en-GB"/>
        </w:rPr>
        <w:t>planning and operational strategies implement</w:t>
      </w:r>
      <w:r w:rsidR="005603AD" w:rsidRPr="00063682">
        <w:rPr>
          <w:lang w:val="en-GB"/>
        </w:rPr>
        <w:t>able</w:t>
      </w:r>
      <w:r w:rsidR="005B01A3" w:rsidRPr="00063682">
        <w:rPr>
          <w:lang w:val="en-GB"/>
        </w:rPr>
        <w:t xml:space="preserve"> over different</w:t>
      </w:r>
      <w:r w:rsidR="00B00CE0" w:rsidRPr="00063682">
        <w:rPr>
          <w:lang w:val="en-GB"/>
        </w:rPr>
        <w:t xml:space="preserve"> </w:t>
      </w:r>
      <w:r w:rsidR="00DC4167" w:rsidRPr="00063682">
        <w:rPr>
          <w:lang w:val="en-GB"/>
        </w:rPr>
        <w:t>spatiotemporal resolutions to maximi</w:t>
      </w:r>
      <w:r w:rsidR="00063682">
        <w:rPr>
          <w:lang w:val="en-GB"/>
        </w:rPr>
        <w:t>s</w:t>
      </w:r>
      <w:r w:rsidR="00DC4167" w:rsidRPr="00063682">
        <w:rPr>
          <w:lang w:val="en-GB"/>
        </w:rPr>
        <w:t>e resilience benefits.</w:t>
      </w:r>
      <w:r w:rsidR="0008247F" w:rsidRPr="00063682">
        <w:rPr>
          <w:lang w:val="en-GB"/>
        </w:rPr>
        <w:t xml:space="preserve"> Second, because the selection of resilience enhancements based on ‘threshold’ performance will require significant investments – likely to exceed several billions of pounds over the implementation period</w:t>
      </w:r>
      <w:r w:rsidR="00CE3A8C" w:rsidRPr="00063682">
        <w:rPr>
          <w:lang w:val="en-GB"/>
        </w:rPr>
        <w:t xml:space="preserve"> for each DNO license area</w:t>
      </w:r>
      <w:r w:rsidR="0008247F" w:rsidRPr="00063682">
        <w:rPr>
          <w:lang w:val="en-GB"/>
        </w:rPr>
        <w:t xml:space="preserve"> – to ensure compliance with minimum requirements. </w:t>
      </w:r>
    </w:p>
    <w:p w14:paraId="213C8038" w14:textId="067A8044" w:rsidR="008A3179" w:rsidRPr="00063682" w:rsidRDefault="008A3179" w:rsidP="0085084A">
      <w:pPr>
        <w:pStyle w:val="NoSpacing"/>
        <w:numPr>
          <w:ilvl w:val="0"/>
          <w:numId w:val="10"/>
        </w:numPr>
        <w:jc w:val="both"/>
        <w:rPr>
          <w:lang w:val="en-GB"/>
        </w:rPr>
      </w:pPr>
      <w:r w:rsidRPr="00063682">
        <w:rPr>
          <w:u w:val="single"/>
          <w:lang w:val="en-GB"/>
        </w:rPr>
        <w:t>Developing forward-looking resilience metrics</w:t>
      </w:r>
      <w:r w:rsidR="00761EAD" w:rsidRPr="00063682">
        <w:rPr>
          <w:lang w:val="en-GB"/>
        </w:rPr>
        <w:t>: Resilience quantification is not currently standardised sufficiently to enable off-the-shelf methods or products to be used. Methods for impact assessment are currently more developed than methods for restoration assessment. Both aspects are needed to make complete assessments.</w:t>
      </w:r>
      <w:r w:rsidR="004660F3" w:rsidRPr="00063682">
        <w:rPr>
          <w:lang w:val="en-GB"/>
        </w:rPr>
        <w:t xml:space="preserve"> </w:t>
      </w:r>
      <w:r w:rsidR="006E6730" w:rsidRPr="00063682">
        <w:rPr>
          <w:lang w:val="en-GB"/>
        </w:rPr>
        <w:t>Moreover,</w:t>
      </w:r>
      <w:r w:rsidR="008C51A5" w:rsidRPr="00063682">
        <w:rPr>
          <w:lang w:val="en-GB"/>
        </w:rPr>
        <w:t xml:space="preserve"> exceptional circumstances</w:t>
      </w:r>
      <w:r w:rsidR="00E35A55" w:rsidRPr="00063682">
        <w:rPr>
          <w:lang w:val="en-GB"/>
        </w:rPr>
        <w:t>,</w:t>
      </w:r>
      <w:r w:rsidR="006E6730" w:rsidRPr="00063682">
        <w:rPr>
          <w:lang w:val="en-GB"/>
        </w:rPr>
        <w:t xml:space="preserve"> such as extreme weather events</w:t>
      </w:r>
      <w:r w:rsidR="00E35A55" w:rsidRPr="00063682">
        <w:rPr>
          <w:lang w:val="en-GB"/>
        </w:rPr>
        <w:t xml:space="preserve">, are currently excluded from </w:t>
      </w:r>
      <w:r w:rsidR="00D06CD7" w:rsidRPr="00063682">
        <w:rPr>
          <w:lang w:val="en-GB"/>
        </w:rPr>
        <w:t>the</w:t>
      </w:r>
      <w:r w:rsidR="00E35A55" w:rsidRPr="00063682">
        <w:rPr>
          <w:lang w:val="en-GB"/>
        </w:rPr>
        <w:t xml:space="preserve"> performance figures</w:t>
      </w:r>
      <w:r w:rsidR="00D06CD7" w:rsidRPr="00063682">
        <w:rPr>
          <w:lang w:val="en-GB"/>
        </w:rPr>
        <w:t xml:space="preserve"> of DNOs. </w:t>
      </w:r>
      <w:r w:rsidR="00F4208B" w:rsidRPr="00063682">
        <w:rPr>
          <w:lang w:val="en-GB"/>
        </w:rPr>
        <w:t xml:space="preserve">Although performance indicators can be </w:t>
      </w:r>
      <w:r w:rsidR="005E2D74" w:rsidRPr="00063682">
        <w:rPr>
          <w:lang w:val="en-GB"/>
        </w:rPr>
        <w:t>computed for different</w:t>
      </w:r>
      <w:r w:rsidR="004C11B7" w:rsidRPr="00063682">
        <w:rPr>
          <w:lang w:val="en-GB"/>
        </w:rPr>
        <w:t xml:space="preserve"> </w:t>
      </w:r>
      <w:r w:rsidR="005E2D74" w:rsidRPr="00063682">
        <w:rPr>
          <w:lang w:val="en-GB"/>
        </w:rPr>
        <w:t xml:space="preserve">interruption categories, it </w:t>
      </w:r>
      <w:r w:rsidR="00856112" w:rsidRPr="00063682">
        <w:rPr>
          <w:lang w:val="en-GB"/>
        </w:rPr>
        <w:t xml:space="preserve">remains a question as how to </w:t>
      </w:r>
      <w:r w:rsidR="005E2D74" w:rsidRPr="00063682">
        <w:rPr>
          <w:lang w:val="en-GB"/>
        </w:rPr>
        <w:t xml:space="preserve">define </w:t>
      </w:r>
      <w:r w:rsidR="00D06953" w:rsidRPr="00063682">
        <w:rPr>
          <w:lang w:val="en-GB"/>
        </w:rPr>
        <w:t>‘</w:t>
      </w:r>
      <w:r w:rsidR="005E2D74" w:rsidRPr="00063682">
        <w:rPr>
          <w:lang w:val="en-GB"/>
        </w:rPr>
        <w:t>acceptable</w:t>
      </w:r>
      <w:r w:rsidR="00D06953" w:rsidRPr="00063682">
        <w:rPr>
          <w:lang w:val="en-GB"/>
        </w:rPr>
        <w:t>’</w:t>
      </w:r>
      <w:r w:rsidR="005E2D74" w:rsidRPr="00063682">
        <w:rPr>
          <w:lang w:val="en-GB"/>
        </w:rPr>
        <w:t xml:space="preserve"> levels</w:t>
      </w:r>
      <w:r w:rsidR="00D06953" w:rsidRPr="00063682">
        <w:rPr>
          <w:lang w:val="en-GB"/>
        </w:rPr>
        <w:t xml:space="preserve"> of performance degradation for </w:t>
      </w:r>
      <w:r w:rsidR="00687F41" w:rsidRPr="00063682">
        <w:rPr>
          <w:lang w:val="en-GB"/>
        </w:rPr>
        <w:t xml:space="preserve">each </w:t>
      </w:r>
      <w:r w:rsidR="00805AA2" w:rsidRPr="00063682">
        <w:rPr>
          <w:lang w:val="en-GB"/>
        </w:rPr>
        <w:t>of these categories.</w:t>
      </w:r>
      <w:r w:rsidR="00856112" w:rsidRPr="00063682">
        <w:rPr>
          <w:lang w:val="en-GB"/>
        </w:rPr>
        <w:t xml:space="preserve"> </w:t>
      </w:r>
      <w:r w:rsidR="00946936" w:rsidRPr="00063682">
        <w:rPr>
          <w:lang w:val="en-GB"/>
        </w:rPr>
        <w:t xml:space="preserve">For example, </w:t>
      </w:r>
      <w:r w:rsidR="00856112" w:rsidRPr="00063682">
        <w:rPr>
          <w:lang w:val="en-GB"/>
        </w:rPr>
        <w:t xml:space="preserve">the Brazilian Electricity Regulatory Agency </w:t>
      </w:r>
      <w:r w:rsidR="009D6295" w:rsidRPr="00063682">
        <w:rPr>
          <w:lang w:val="en-GB"/>
        </w:rPr>
        <w:t xml:space="preserve">requires </w:t>
      </w:r>
      <w:r w:rsidR="00F119FF" w:rsidRPr="00063682">
        <w:rPr>
          <w:lang w:val="en-GB"/>
        </w:rPr>
        <w:t>SAIDI and SAIFI</w:t>
      </w:r>
      <w:r w:rsidR="00603707" w:rsidRPr="00063682">
        <w:rPr>
          <w:lang w:val="en-GB"/>
        </w:rPr>
        <w:t xml:space="preserve"> (i.e., DEC and FEC) values </w:t>
      </w:r>
      <w:r w:rsidR="009D6295" w:rsidRPr="00063682">
        <w:rPr>
          <w:lang w:val="en-GB"/>
        </w:rPr>
        <w:t xml:space="preserve">computed </w:t>
      </w:r>
      <w:r w:rsidR="00603707" w:rsidRPr="00063682">
        <w:rPr>
          <w:lang w:val="en-GB"/>
        </w:rPr>
        <w:t>for</w:t>
      </w:r>
      <w:r w:rsidR="00042E2C" w:rsidRPr="00063682">
        <w:rPr>
          <w:lang w:val="en-GB"/>
        </w:rPr>
        <w:t xml:space="preserve"> different interruption categories (namely</w:t>
      </w:r>
      <w:r w:rsidR="005D4674" w:rsidRPr="00063682">
        <w:rPr>
          <w:lang w:val="en-GB"/>
        </w:rPr>
        <w:t>,</w:t>
      </w:r>
      <w:r w:rsidR="00042E2C" w:rsidRPr="00063682">
        <w:rPr>
          <w:lang w:val="en-GB"/>
        </w:rPr>
        <w:t xml:space="preserve"> </w:t>
      </w:r>
      <w:r w:rsidR="00EC277E" w:rsidRPr="00063682">
        <w:rPr>
          <w:lang w:val="en-GB"/>
        </w:rPr>
        <w:t>external</w:t>
      </w:r>
      <w:r w:rsidR="00F94F42" w:rsidRPr="00063682">
        <w:rPr>
          <w:lang w:val="en-GB"/>
        </w:rPr>
        <w:t>/</w:t>
      </w:r>
      <w:r w:rsidR="00EC277E" w:rsidRPr="00063682">
        <w:rPr>
          <w:lang w:val="en-GB"/>
        </w:rPr>
        <w:t>internal</w:t>
      </w:r>
      <w:r w:rsidR="009D35C3" w:rsidRPr="00063682">
        <w:rPr>
          <w:lang w:val="en-GB"/>
        </w:rPr>
        <w:t xml:space="preserve"> causes</w:t>
      </w:r>
      <w:r w:rsidR="00F94F42" w:rsidRPr="00063682">
        <w:rPr>
          <w:lang w:val="en-GB"/>
        </w:rPr>
        <w:t>, planned/unplanned</w:t>
      </w:r>
      <w:r w:rsidR="00975BBD" w:rsidRPr="00063682">
        <w:rPr>
          <w:lang w:val="en-GB"/>
        </w:rPr>
        <w:t>, critical/non-critical</w:t>
      </w:r>
      <w:r w:rsidR="00042E2C" w:rsidRPr="00063682">
        <w:rPr>
          <w:lang w:val="en-GB"/>
        </w:rPr>
        <w:t>)</w:t>
      </w:r>
      <w:r w:rsidR="00FD5436" w:rsidRPr="00063682">
        <w:rPr>
          <w:lang w:val="en-GB"/>
        </w:rPr>
        <w:t xml:space="preserve"> </w:t>
      </w:r>
      <w:r w:rsidR="00AF36AB" w:rsidRPr="00063682">
        <w:rPr>
          <w:lang w:val="en-GB"/>
        </w:rPr>
        <w:t>[23</w:t>
      </w:r>
      <w:r w:rsidR="00FD5436" w:rsidRPr="00063682">
        <w:rPr>
          <w:lang w:val="en-GB"/>
        </w:rPr>
        <w:t>]</w:t>
      </w:r>
      <w:r w:rsidR="00042E2C" w:rsidRPr="00063682">
        <w:rPr>
          <w:lang w:val="en-GB"/>
        </w:rPr>
        <w:t xml:space="preserve">, </w:t>
      </w:r>
      <w:r w:rsidR="00603707" w:rsidRPr="00063682">
        <w:rPr>
          <w:lang w:val="en-GB"/>
        </w:rPr>
        <w:t xml:space="preserve">but </w:t>
      </w:r>
      <w:r w:rsidR="009D6295" w:rsidRPr="00063682">
        <w:rPr>
          <w:lang w:val="en-GB"/>
        </w:rPr>
        <w:t xml:space="preserve">also excludes </w:t>
      </w:r>
      <w:r w:rsidR="00603707" w:rsidRPr="00063682">
        <w:rPr>
          <w:lang w:val="en-GB"/>
        </w:rPr>
        <w:t xml:space="preserve">exceptional circumstances from </w:t>
      </w:r>
      <w:r w:rsidR="00042E2C" w:rsidRPr="00063682">
        <w:rPr>
          <w:lang w:val="en-GB"/>
        </w:rPr>
        <w:t>performance figures of energy companies.</w:t>
      </w:r>
      <w:r w:rsidR="00B47455" w:rsidRPr="00063682">
        <w:rPr>
          <w:lang w:val="en-GB"/>
        </w:rPr>
        <w:t xml:space="preserve"> </w:t>
      </w:r>
      <w:r w:rsidR="00812320" w:rsidRPr="00063682">
        <w:rPr>
          <w:lang w:val="en-GB"/>
        </w:rPr>
        <w:t>In principle, t</w:t>
      </w:r>
      <w:r w:rsidR="003D6FFF" w:rsidRPr="00063682">
        <w:rPr>
          <w:lang w:val="en-GB"/>
        </w:rPr>
        <w:t>he</w:t>
      </w:r>
      <w:r w:rsidR="00CB046C" w:rsidRPr="00063682">
        <w:rPr>
          <w:lang w:val="en-GB"/>
        </w:rPr>
        <w:t xml:space="preserve"> usage of forward-looking approaches for risk mitigation</w:t>
      </w:r>
      <w:r w:rsidR="00D02CBD" w:rsidRPr="00063682">
        <w:rPr>
          <w:lang w:val="en-GB"/>
        </w:rPr>
        <w:t xml:space="preserve"> </w:t>
      </w:r>
      <w:r w:rsidR="002578A9" w:rsidRPr="00063682">
        <w:rPr>
          <w:lang w:val="en-GB"/>
        </w:rPr>
        <w:t>c</w:t>
      </w:r>
      <w:r w:rsidR="00C45844" w:rsidRPr="00063682">
        <w:rPr>
          <w:lang w:val="en-GB"/>
        </w:rPr>
        <w:t>ould</w:t>
      </w:r>
      <w:r w:rsidR="002578A9" w:rsidRPr="00063682">
        <w:rPr>
          <w:lang w:val="en-GB"/>
        </w:rPr>
        <w:t xml:space="preserve"> </w:t>
      </w:r>
      <w:r w:rsidR="00820595" w:rsidRPr="00063682">
        <w:rPr>
          <w:lang w:val="en-GB"/>
        </w:rPr>
        <w:t>improve</w:t>
      </w:r>
      <w:r w:rsidR="002578A9" w:rsidRPr="00063682">
        <w:rPr>
          <w:lang w:val="en-GB"/>
        </w:rPr>
        <w:t xml:space="preserve"> </w:t>
      </w:r>
      <w:r w:rsidR="003D6FFF" w:rsidRPr="00063682">
        <w:rPr>
          <w:lang w:val="en-GB"/>
        </w:rPr>
        <w:t xml:space="preserve">the identification and management of risks associated with </w:t>
      </w:r>
      <w:r w:rsidR="002B6AA9" w:rsidRPr="00063682">
        <w:rPr>
          <w:lang w:val="en-GB"/>
        </w:rPr>
        <w:t>a changing climate for energy networks</w:t>
      </w:r>
      <w:r w:rsidR="004A714D" w:rsidRPr="00063682">
        <w:rPr>
          <w:lang w:val="en-GB"/>
        </w:rPr>
        <w:t xml:space="preserve"> (as </w:t>
      </w:r>
      <w:r w:rsidR="003F242D" w:rsidRPr="00063682">
        <w:rPr>
          <w:lang w:val="en-GB"/>
        </w:rPr>
        <w:t xml:space="preserve">mentioned in </w:t>
      </w:r>
      <w:r w:rsidR="0085084A" w:rsidRPr="00063682">
        <w:rPr>
          <w:lang w:val="en-GB"/>
        </w:rPr>
        <w:t>the overview document, section 6.</w:t>
      </w:r>
      <w:r w:rsidR="003F242D" w:rsidRPr="00063682">
        <w:rPr>
          <w:lang w:val="en-GB"/>
        </w:rPr>
        <w:t>167)</w:t>
      </w:r>
      <w:r w:rsidR="00812320" w:rsidRPr="00063682">
        <w:rPr>
          <w:lang w:val="en-GB"/>
        </w:rPr>
        <w:t xml:space="preserve"> – in a similar way to the NARM framework for asset</w:t>
      </w:r>
      <w:r w:rsidR="00A35CA6" w:rsidRPr="00063682">
        <w:rPr>
          <w:lang w:val="en-GB"/>
        </w:rPr>
        <w:t xml:space="preserve"> management</w:t>
      </w:r>
      <w:r w:rsidR="003D6FFF" w:rsidRPr="00063682">
        <w:rPr>
          <w:lang w:val="en-GB"/>
        </w:rPr>
        <w:t xml:space="preserve">. </w:t>
      </w:r>
      <w:r w:rsidR="005344FF" w:rsidRPr="00063682">
        <w:rPr>
          <w:lang w:val="en-GB"/>
        </w:rPr>
        <w:t>To achieve this, however,</w:t>
      </w:r>
      <w:r w:rsidR="00A35CA6" w:rsidRPr="00063682">
        <w:rPr>
          <w:lang w:val="en-GB"/>
        </w:rPr>
        <w:t xml:space="preserve"> existing</w:t>
      </w:r>
      <w:r w:rsidR="005344FF" w:rsidRPr="00063682">
        <w:rPr>
          <w:lang w:val="en-GB"/>
        </w:rPr>
        <w:t xml:space="preserve"> </w:t>
      </w:r>
      <w:r w:rsidR="00C77A12" w:rsidRPr="00063682">
        <w:rPr>
          <w:lang w:val="en-GB"/>
        </w:rPr>
        <w:t xml:space="preserve">limitations in climate and energy models must be addressed so that </w:t>
      </w:r>
      <w:r w:rsidR="005344FF" w:rsidRPr="00063682">
        <w:rPr>
          <w:lang w:val="en-GB"/>
        </w:rPr>
        <w:t xml:space="preserve">risks associated with </w:t>
      </w:r>
      <w:r w:rsidR="00E57DBA" w:rsidRPr="00063682">
        <w:rPr>
          <w:lang w:val="en-GB"/>
        </w:rPr>
        <w:t xml:space="preserve">a changing climate </w:t>
      </w:r>
      <w:r w:rsidR="00C77A12" w:rsidRPr="00063682">
        <w:rPr>
          <w:lang w:val="en-GB"/>
        </w:rPr>
        <w:t>can</w:t>
      </w:r>
      <w:r w:rsidR="00E57DBA" w:rsidRPr="00063682">
        <w:rPr>
          <w:lang w:val="en-GB"/>
        </w:rPr>
        <w:t xml:space="preserve"> be sufficiently understood</w:t>
      </w:r>
      <w:r w:rsidR="00306E5B" w:rsidRPr="00063682">
        <w:rPr>
          <w:lang w:val="en-GB"/>
        </w:rPr>
        <w:t>. R</w:t>
      </w:r>
      <w:r w:rsidR="00E57DBA" w:rsidRPr="00063682">
        <w:rPr>
          <w:lang w:val="en-GB"/>
        </w:rPr>
        <w:t xml:space="preserve">egional differences must </w:t>
      </w:r>
      <w:r w:rsidR="00306E5B" w:rsidRPr="00063682">
        <w:rPr>
          <w:lang w:val="en-GB"/>
        </w:rPr>
        <w:t xml:space="preserve">also </w:t>
      </w:r>
      <w:r w:rsidR="00E57DBA" w:rsidRPr="00063682">
        <w:rPr>
          <w:lang w:val="en-GB"/>
        </w:rPr>
        <w:t>be considered</w:t>
      </w:r>
      <w:r w:rsidR="000D089C" w:rsidRPr="00063682">
        <w:rPr>
          <w:lang w:val="en-GB"/>
        </w:rPr>
        <w:t>, as in the NARM framework, so that sector-specific approaches can be coherently developed</w:t>
      </w:r>
      <w:r w:rsidR="00E51C34" w:rsidRPr="00063682">
        <w:rPr>
          <w:lang w:val="en-GB"/>
        </w:rPr>
        <w:t>.</w:t>
      </w:r>
      <w:r w:rsidR="00761EAD" w:rsidRPr="00063682">
        <w:rPr>
          <w:lang w:val="en-GB"/>
        </w:rPr>
        <w:t xml:space="preserve"> </w:t>
      </w:r>
      <w:r w:rsidR="00433C6A" w:rsidRPr="00063682">
        <w:rPr>
          <w:lang w:val="en-GB"/>
        </w:rPr>
        <w:t>That said, the development of forward-looking resilience metrics is more complicated than</w:t>
      </w:r>
      <w:r w:rsidR="00684880" w:rsidRPr="00063682">
        <w:rPr>
          <w:lang w:val="en-GB"/>
        </w:rPr>
        <w:t xml:space="preserve"> it sounds, for the complexity of this concept</w:t>
      </w:r>
      <w:r w:rsidR="00420BF6" w:rsidRPr="00063682">
        <w:rPr>
          <w:lang w:val="en-GB"/>
        </w:rPr>
        <w:t xml:space="preserve"> (see</w:t>
      </w:r>
      <w:r w:rsidR="00AF50E2" w:rsidRPr="00063682">
        <w:rPr>
          <w:lang w:val="en-GB"/>
        </w:rPr>
        <w:t xml:space="preserve"> our answer to</w:t>
      </w:r>
      <w:r w:rsidR="00420BF6" w:rsidRPr="00063682">
        <w:rPr>
          <w:lang w:val="en-GB"/>
        </w:rPr>
        <w:t xml:space="preserve"> </w:t>
      </w:r>
      <w:r w:rsidR="00E11390" w:rsidRPr="00063682">
        <w:rPr>
          <w:lang w:val="en-GB"/>
        </w:rPr>
        <w:t>OVQ2</w:t>
      </w:r>
      <w:r w:rsidR="00420BF6" w:rsidRPr="00063682">
        <w:rPr>
          <w:lang w:val="en-GB"/>
        </w:rPr>
        <w:t>6 for more details)</w:t>
      </w:r>
      <w:r w:rsidR="00684880" w:rsidRPr="00063682">
        <w:rPr>
          <w:lang w:val="en-GB"/>
        </w:rPr>
        <w:t>.</w:t>
      </w:r>
    </w:p>
    <w:p w14:paraId="33DAAB93" w14:textId="69881C12" w:rsidR="008A3179" w:rsidRPr="00063682" w:rsidRDefault="008A3179" w:rsidP="0085084A">
      <w:pPr>
        <w:pStyle w:val="NoSpacing"/>
        <w:numPr>
          <w:ilvl w:val="0"/>
          <w:numId w:val="10"/>
        </w:numPr>
        <w:jc w:val="both"/>
        <w:rPr>
          <w:lang w:val="en-GB"/>
        </w:rPr>
      </w:pPr>
      <w:r w:rsidRPr="00063682">
        <w:rPr>
          <w:u w:val="single"/>
          <w:lang w:val="en-GB"/>
        </w:rPr>
        <w:t>Introducing climate resilience working groups</w:t>
      </w:r>
      <w:r w:rsidR="009D07A9" w:rsidRPr="00063682">
        <w:rPr>
          <w:lang w:val="en-GB"/>
        </w:rPr>
        <w:t xml:space="preserve">: Working groups are critical – and should link with academia to leverage extensive learning from CIGRE and IEEE that has already taken place in this area. </w:t>
      </w:r>
      <w:r w:rsidR="00F62C1E" w:rsidRPr="00063682">
        <w:rPr>
          <w:lang w:val="en-GB"/>
        </w:rPr>
        <w:t>Working groups should be comp</w:t>
      </w:r>
      <w:r w:rsidR="00DE6049" w:rsidRPr="00063682">
        <w:rPr>
          <w:lang w:val="en-GB"/>
        </w:rPr>
        <w:t>rised</w:t>
      </w:r>
      <w:r w:rsidR="00F62C1E" w:rsidRPr="00063682">
        <w:rPr>
          <w:lang w:val="en-GB"/>
        </w:rPr>
        <w:t xml:space="preserve"> by different stakeholders in the energy sector</w:t>
      </w:r>
      <w:r w:rsidR="00DE6049" w:rsidRPr="00063682">
        <w:rPr>
          <w:lang w:val="en-GB"/>
        </w:rPr>
        <w:t xml:space="preserve"> and</w:t>
      </w:r>
      <w:r w:rsidR="00BE0130" w:rsidRPr="00063682">
        <w:rPr>
          <w:lang w:val="en-GB"/>
        </w:rPr>
        <w:t xml:space="preserve"> beyond</w:t>
      </w:r>
      <w:r w:rsidR="00A86E01" w:rsidRPr="00063682">
        <w:rPr>
          <w:lang w:val="en-GB"/>
        </w:rPr>
        <w:t>,</w:t>
      </w:r>
      <w:r w:rsidR="00DE6049" w:rsidRPr="00063682">
        <w:rPr>
          <w:lang w:val="en-GB"/>
        </w:rPr>
        <w:t xml:space="preserve"> hav</w:t>
      </w:r>
      <w:r w:rsidR="00A86E01" w:rsidRPr="00063682">
        <w:rPr>
          <w:lang w:val="en-GB"/>
        </w:rPr>
        <w:t>ing</w:t>
      </w:r>
      <w:r w:rsidR="00DE6049" w:rsidRPr="00063682">
        <w:rPr>
          <w:lang w:val="en-GB"/>
        </w:rPr>
        <w:t xml:space="preserve"> strong cross</w:t>
      </w:r>
      <w:r w:rsidR="00A86E01" w:rsidRPr="00063682">
        <w:rPr>
          <w:lang w:val="en-GB"/>
        </w:rPr>
        <w:t>-</w:t>
      </w:r>
      <w:r w:rsidR="00DE6049" w:rsidRPr="00063682">
        <w:rPr>
          <w:lang w:val="en-GB"/>
        </w:rPr>
        <w:t>disciplinary</w:t>
      </w:r>
      <w:r w:rsidR="00A86E01" w:rsidRPr="00063682">
        <w:rPr>
          <w:lang w:val="en-GB"/>
        </w:rPr>
        <w:t xml:space="preserve"> and intersectoral</w:t>
      </w:r>
      <w:r w:rsidR="00F62C1E" w:rsidRPr="00063682">
        <w:rPr>
          <w:lang w:val="en-GB"/>
        </w:rPr>
        <w:t xml:space="preserve"> </w:t>
      </w:r>
      <w:r w:rsidR="00DE6049" w:rsidRPr="00063682">
        <w:rPr>
          <w:lang w:val="en-GB"/>
        </w:rPr>
        <w:t>contributions</w:t>
      </w:r>
      <w:r w:rsidR="000D5D42" w:rsidRPr="00063682">
        <w:rPr>
          <w:lang w:val="en-GB"/>
        </w:rPr>
        <w:t>.</w:t>
      </w:r>
      <w:r w:rsidR="00F62C1E" w:rsidRPr="00063682">
        <w:rPr>
          <w:lang w:val="en-GB"/>
        </w:rPr>
        <w:t xml:space="preserve"> </w:t>
      </w:r>
      <w:r w:rsidR="001C6F5E" w:rsidRPr="00063682">
        <w:rPr>
          <w:lang w:val="en-GB"/>
        </w:rPr>
        <w:t xml:space="preserve">This approach will ensure that different planning and operational aspects </w:t>
      </w:r>
      <w:r w:rsidR="004822C2" w:rsidRPr="00063682">
        <w:rPr>
          <w:lang w:val="en-GB"/>
        </w:rPr>
        <w:t>of the energy supply chain are taken into account</w:t>
      </w:r>
      <w:r w:rsidR="00421650" w:rsidRPr="00063682">
        <w:rPr>
          <w:lang w:val="en-GB"/>
        </w:rPr>
        <w:t xml:space="preserve"> for the </w:t>
      </w:r>
      <w:r w:rsidR="00D50582" w:rsidRPr="00063682">
        <w:rPr>
          <w:lang w:val="en-GB"/>
        </w:rPr>
        <w:t>selection</w:t>
      </w:r>
      <w:r w:rsidR="00421650" w:rsidRPr="00063682">
        <w:rPr>
          <w:lang w:val="en-GB"/>
        </w:rPr>
        <w:t xml:space="preserve"> of appropriate </w:t>
      </w:r>
      <w:r w:rsidR="008A08DE" w:rsidRPr="00063682">
        <w:rPr>
          <w:lang w:val="en-GB"/>
        </w:rPr>
        <w:t xml:space="preserve">climate </w:t>
      </w:r>
      <w:r w:rsidR="00421650" w:rsidRPr="00063682">
        <w:rPr>
          <w:lang w:val="en-GB"/>
        </w:rPr>
        <w:t>resilience</w:t>
      </w:r>
      <w:r w:rsidR="00AD0966" w:rsidRPr="00063682">
        <w:rPr>
          <w:lang w:val="en-GB"/>
        </w:rPr>
        <w:t xml:space="preserve"> enhancement measures</w:t>
      </w:r>
      <w:r w:rsidR="00995D27" w:rsidRPr="00063682">
        <w:rPr>
          <w:lang w:val="en-GB"/>
        </w:rPr>
        <w:t xml:space="preserve"> (in line with </w:t>
      </w:r>
      <w:r w:rsidR="00101FB5" w:rsidRPr="00063682">
        <w:rPr>
          <w:lang w:val="en-GB"/>
        </w:rPr>
        <w:t xml:space="preserve">the objectives described in </w:t>
      </w:r>
      <w:r w:rsidR="0085084A" w:rsidRPr="00063682">
        <w:rPr>
          <w:lang w:val="en-GB"/>
        </w:rPr>
        <w:t>the overview document, section 6.</w:t>
      </w:r>
      <w:r w:rsidR="00995D27" w:rsidRPr="00063682">
        <w:rPr>
          <w:lang w:val="en-GB"/>
        </w:rPr>
        <w:t>160)</w:t>
      </w:r>
      <w:r w:rsidR="004822C2" w:rsidRPr="00063682">
        <w:rPr>
          <w:lang w:val="en-GB"/>
        </w:rPr>
        <w:t xml:space="preserve">. </w:t>
      </w:r>
    </w:p>
    <w:p w14:paraId="5C3E1DD2" w14:textId="77777777" w:rsidR="004B1B44" w:rsidRPr="00063682" w:rsidRDefault="004B1B44" w:rsidP="0085084A">
      <w:pPr>
        <w:pStyle w:val="NoSpacing"/>
        <w:jc w:val="both"/>
        <w:rPr>
          <w:lang w:val="en-GB"/>
        </w:rPr>
      </w:pPr>
    </w:p>
    <w:p w14:paraId="7ECFECDB" w14:textId="1D7C1B71" w:rsidR="003D3766" w:rsidRPr="00063682" w:rsidRDefault="003D3766" w:rsidP="0085084A">
      <w:pPr>
        <w:pStyle w:val="NoSpacing"/>
        <w:jc w:val="both"/>
        <w:rPr>
          <w:b/>
          <w:bCs/>
          <w:lang w:val="en-GB"/>
        </w:rPr>
      </w:pPr>
      <w:r w:rsidRPr="00063682">
        <w:rPr>
          <w:b/>
          <w:bCs/>
          <w:lang w:val="en-GB"/>
        </w:rPr>
        <w:t>Resilience metric</w:t>
      </w:r>
    </w:p>
    <w:p w14:paraId="5A13B0A4" w14:textId="77777777" w:rsidR="00AF50E2" w:rsidRPr="00063682" w:rsidRDefault="00AF50E2" w:rsidP="0085084A">
      <w:pPr>
        <w:pStyle w:val="NoSpacing"/>
        <w:jc w:val="both"/>
        <w:rPr>
          <w:b/>
          <w:bCs/>
          <w:lang w:val="en-GB"/>
        </w:rPr>
      </w:pPr>
    </w:p>
    <w:p w14:paraId="4267C06B" w14:textId="5F49E61D" w:rsidR="00D601B6" w:rsidRPr="00063682" w:rsidRDefault="00E11390" w:rsidP="0085084A">
      <w:pPr>
        <w:pStyle w:val="NoSpacing"/>
        <w:jc w:val="both"/>
        <w:rPr>
          <w:lang w:val="en-GB"/>
        </w:rPr>
      </w:pPr>
      <w:r w:rsidRPr="00063682">
        <w:rPr>
          <w:b/>
          <w:bCs/>
          <w:lang w:val="en-GB"/>
        </w:rPr>
        <w:t>OVQ2</w:t>
      </w:r>
      <w:r w:rsidR="0085084A" w:rsidRPr="00063682">
        <w:rPr>
          <w:b/>
          <w:bCs/>
          <w:lang w:val="en-GB"/>
        </w:rPr>
        <w:t>6.</w:t>
      </w:r>
      <w:r w:rsidR="008A2468" w:rsidRPr="00063682">
        <w:rPr>
          <w:lang w:val="en-GB"/>
        </w:rPr>
        <w:t xml:space="preserve"> Do you agree with the proposals that we have set out around the resilience metric?</w:t>
      </w:r>
    </w:p>
    <w:p w14:paraId="52B2C44F" w14:textId="5E9388F9" w:rsidR="00CE38F5" w:rsidRPr="00063682" w:rsidRDefault="001124EC" w:rsidP="0085084A">
      <w:pPr>
        <w:pStyle w:val="NoSpacing"/>
        <w:jc w:val="both"/>
        <w:rPr>
          <w:lang w:val="en-GB"/>
        </w:rPr>
      </w:pPr>
      <w:r w:rsidRPr="00063682">
        <w:rPr>
          <w:b/>
          <w:bCs/>
          <w:lang w:val="en-GB"/>
        </w:rPr>
        <w:t>Answer</w:t>
      </w:r>
      <w:r w:rsidR="00867AA0" w:rsidRPr="00063682">
        <w:rPr>
          <w:b/>
          <w:bCs/>
          <w:lang w:val="en-GB"/>
        </w:rPr>
        <w:t>:</w:t>
      </w:r>
      <w:r w:rsidR="00867AA0" w:rsidRPr="00063682">
        <w:rPr>
          <w:lang w:val="en-GB"/>
        </w:rPr>
        <w:t xml:space="preserve"> </w:t>
      </w:r>
      <w:r w:rsidR="003D3396" w:rsidRPr="00063682">
        <w:rPr>
          <w:lang w:val="en-GB"/>
        </w:rPr>
        <w:t>In terms</w:t>
      </w:r>
      <w:r w:rsidR="00867AA0" w:rsidRPr="00063682">
        <w:rPr>
          <w:lang w:val="en-GB"/>
        </w:rPr>
        <w:t>.</w:t>
      </w:r>
      <w:r w:rsidR="00D874C6" w:rsidRPr="00063682">
        <w:rPr>
          <w:lang w:val="en-GB"/>
        </w:rPr>
        <w:t xml:space="preserve"> </w:t>
      </w:r>
      <w:r w:rsidR="002B62D6" w:rsidRPr="00063682">
        <w:rPr>
          <w:lang w:val="en-GB"/>
        </w:rPr>
        <w:t>As is, the propo</w:t>
      </w:r>
      <w:r w:rsidR="003A6964" w:rsidRPr="00063682">
        <w:rPr>
          <w:lang w:val="en-GB"/>
        </w:rPr>
        <w:t xml:space="preserve">sals </w:t>
      </w:r>
      <w:r w:rsidR="00F34753" w:rsidRPr="00063682">
        <w:rPr>
          <w:lang w:val="en-GB"/>
        </w:rPr>
        <w:t>a</w:t>
      </w:r>
      <w:r w:rsidR="00282FA7" w:rsidRPr="00063682">
        <w:rPr>
          <w:lang w:val="en-GB"/>
        </w:rPr>
        <w:t xml:space="preserve">round the resilience metric </w:t>
      </w:r>
      <w:r w:rsidR="00244CF3" w:rsidRPr="00063682">
        <w:rPr>
          <w:lang w:val="en-GB"/>
        </w:rPr>
        <w:t>have potential to</w:t>
      </w:r>
      <w:r w:rsidR="00246400" w:rsidRPr="00063682">
        <w:rPr>
          <w:lang w:val="en-GB"/>
        </w:rPr>
        <w:t xml:space="preserve"> lead to a distorted resilience assessment process</w:t>
      </w:r>
      <w:r w:rsidR="00D45D62" w:rsidRPr="00063682">
        <w:rPr>
          <w:lang w:val="en-GB"/>
        </w:rPr>
        <w:t xml:space="preserve"> – and to a future energy system which is neither resilient nor reliable or secure</w:t>
      </w:r>
      <w:r w:rsidR="00246400" w:rsidRPr="00063682">
        <w:rPr>
          <w:lang w:val="en-GB"/>
        </w:rPr>
        <w:t xml:space="preserve">. </w:t>
      </w:r>
      <w:r w:rsidR="00D874C6" w:rsidRPr="00063682">
        <w:rPr>
          <w:lang w:val="en-GB"/>
        </w:rPr>
        <w:t>T</w:t>
      </w:r>
      <w:r w:rsidR="00D45D62" w:rsidRPr="00063682">
        <w:rPr>
          <w:lang w:val="en-GB"/>
        </w:rPr>
        <w:t xml:space="preserve">o prevent this from happening, </w:t>
      </w:r>
      <w:r w:rsidR="0054483E" w:rsidRPr="00063682">
        <w:rPr>
          <w:lang w:val="en-GB"/>
        </w:rPr>
        <w:t>t</w:t>
      </w:r>
      <w:r w:rsidR="00D874C6" w:rsidRPr="00063682">
        <w:rPr>
          <w:lang w:val="en-GB"/>
        </w:rPr>
        <w:t xml:space="preserve">he following aspects </w:t>
      </w:r>
      <w:r w:rsidR="009F4205" w:rsidRPr="00063682">
        <w:rPr>
          <w:lang w:val="en-GB"/>
        </w:rPr>
        <w:t xml:space="preserve">need to be </w:t>
      </w:r>
      <w:r w:rsidR="00D45D62" w:rsidRPr="00063682">
        <w:rPr>
          <w:lang w:val="en-GB"/>
        </w:rPr>
        <w:t xml:space="preserve">fully </w:t>
      </w:r>
      <w:r w:rsidR="0099132F" w:rsidRPr="00063682">
        <w:rPr>
          <w:lang w:val="en-GB"/>
        </w:rPr>
        <w:t>addressed</w:t>
      </w:r>
      <w:r w:rsidR="00D3617A" w:rsidRPr="00063682">
        <w:rPr>
          <w:lang w:val="en-GB"/>
        </w:rPr>
        <w:t>:</w:t>
      </w:r>
    </w:p>
    <w:p w14:paraId="20A71A95" w14:textId="03A47F0A" w:rsidR="561E231D" w:rsidRPr="00063682" w:rsidRDefault="00436774" w:rsidP="0085084A">
      <w:pPr>
        <w:pStyle w:val="NoSpacing"/>
        <w:numPr>
          <w:ilvl w:val="0"/>
          <w:numId w:val="11"/>
        </w:numPr>
        <w:jc w:val="both"/>
        <w:rPr>
          <w:lang w:val="en-GB"/>
        </w:rPr>
      </w:pPr>
      <w:r w:rsidRPr="00063682">
        <w:rPr>
          <w:u w:val="single"/>
          <w:lang w:val="en-GB"/>
        </w:rPr>
        <w:t>Defining metrics and conditions of validity for a</w:t>
      </w:r>
      <w:r w:rsidR="004E518E" w:rsidRPr="00063682">
        <w:rPr>
          <w:u w:val="single"/>
          <w:lang w:val="en-GB"/>
        </w:rPr>
        <w:t xml:space="preserve"> wide range of complex factors</w:t>
      </w:r>
      <w:r w:rsidR="004E518E" w:rsidRPr="00063682">
        <w:rPr>
          <w:lang w:val="en-GB"/>
        </w:rPr>
        <w:t xml:space="preserve">: </w:t>
      </w:r>
      <w:r w:rsidR="0084769F" w:rsidRPr="00063682">
        <w:rPr>
          <w:lang w:val="en-GB"/>
        </w:rPr>
        <w:t>Significant</w:t>
      </w:r>
      <w:r w:rsidR="561E231D" w:rsidRPr="00063682">
        <w:rPr>
          <w:lang w:val="en-GB"/>
        </w:rPr>
        <w:t xml:space="preserve"> care should be taken if collapsing a wide variety of complex factors to a small number of metrics (perhaps even to a single metric). This will make the metric less </w:t>
      </w:r>
      <w:r w:rsidR="00DE14AA" w:rsidRPr="00063682">
        <w:rPr>
          <w:lang w:val="en-GB"/>
        </w:rPr>
        <w:t>meaningful</w:t>
      </w:r>
      <w:r w:rsidR="6DAEE483" w:rsidRPr="00063682">
        <w:rPr>
          <w:lang w:val="en-GB"/>
        </w:rPr>
        <w:t>. It also opens up opportunities to game the metrics in order to justify the investment decisions being proposed or to inflate (or deflate) the apparent resilienc</w:t>
      </w:r>
      <w:r w:rsidR="74157AE7" w:rsidRPr="00063682">
        <w:rPr>
          <w:lang w:val="en-GB"/>
        </w:rPr>
        <w:t xml:space="preserve">e of a network operator. </w:t>
      </w:r>
      <w:r w:rsidR="00335DD0" w:rsidRPr="00063682">
        <w:rPr>
          <w:lang w:val="en-GB"/>
        </w:rPr>
        <w:t>As stated in OVA23, “Defining metrics is the easy part of the problem. Defining the conditions over which the metrics are calculated is the important part of the problem to ensure consistent assessment across networks and across different climate risks. There are no standard methods for this at present.”</w:t>
      </w:r>
    </w:p>
    <w:p w14:paraId="6641B412" w14:textId="7548B351" w:rsidR="00872F4B" w:rsidRPr="00063682" w:rsidRDefault="004E518E" w:rsidP="0085084A">
      <w:pPr>
        <w:pStyle w:val="NoSpacing"/>
        <w:numPr>
          <w:ilvl w:val="0"/>
          <w:numId w:val="11"/>
        </w:numPr>
        <w:jc w:val="both"/>
        <w:rPr>
          <w:lang w:val="en-GB"/>
        </w:rPr>
      </w:pPr>
      <w:r w:rsidRPr="00063682">
        <w:rPr>
          <w:u w:val="single"/>
          <w:lang w:val="en-GB"/>
        </w:rPr>
        <w:t>Resilience attributes</w:t>
      </w:r>
      <w:r w:rsidR="00CA678A" w:rsidRPr="00063682">
        <w:rPr>
          <w:u w:val="single"/>
          <w:lang w:val="en-GB"/>
        </w:rPr>
        <w:t xml:space="preserve"> in a complex system</w:t>
      </w:r>
      <w:r w:rsidR="00CA678A" w:rsidRPr="00063682">
        <w:rPr>
          <w:lang w:val="en-GB"/>
        </w:rPr>
        <w:t>:</w:t>
      </w:r>
      <w:r w:rsidRPr="00063682">
        <w:rPr>
          <w:lang w:val="en-GB"/>
        </w:rPr>
        <w:t xml:space="preserve"> </w:t>
      </w:r>
      <w:r w:rsidR="00583D75" w:rsidRPr="00063682">
        <w:rPr>
          <w:lang w:val="en-GB"/>
        </w:rPr>
        <w:t>R</w:t>
      </w:r>
      <w:r w:rsidR="002B0A1C" w:rsidRPr="00063682">
        <w:rPr>
          <w:lang w:val="en-GB"/>
        </w:rPr>
        <w:t xml:space="preserve">obustness, resourcefulness, and recovery are the key attributes of a resilient system </w:t>
      </w:r>
      <w:r w:rsidR="00AF36AB" w:rsidRPr="00063682">
        <w:rPr>
          <w:lang w:val="en-GB"/>
        </w:rPr>
        <w:t>[24</w:t>
      </w:r>
      <w:r w:rsidR="002B0A1C" w:rsidRPr="00063682">
        <w:rPr>
          <w:lang w:val="en-GB"/>
        </w:rPr>
        <w:t xml:space="preserve">]. These attributes cover a wide range of design and operational aspects of power networks (i.e., hardening and operational measures), as well as different parts of the electricity supply chain (e.g., supply, demand, component reinforcement and repair, repair and restoration crews). </w:t>
      </w:r>
      <w:r w:rsidR="00FF7229" w:rsidRPr="00063682">
        <w:rPr>
          <w:lang w:val="en-GB"/>
        </w:rPr>
        <w:t xml:space="preserve">This inner complexity of power systems requires the consideration of a wide range of options for resilience assessment and enhancement decisions. </w:t>
      </w:r>
      <w:r w:rsidR="00872F4B" w:rsidRPr="00063682">
        <w:rPr>
          <w:lang w:val="en-GB"/>
        </w:rPr>
        <w:t>It is strongly recommended to keep separate aspects of resilience (for example, climate, workforce, cybersecurity etc.) separate when quantifying metrics.</w:t>
      </w:r>
    </w:p>
    <w:p w14:paraId="45A7706A" w14:textId="5207F5C3" w:rsidR="00F42E02" w:rsidRPr="00063682" w:rsidRDefault="007226E3" w:rsidP="0085084A">
      <w:pPr>
        <w:pStyle w:val="NoSpacing"/>
        <w:numPr>
          <w:ilvl w:val="0"/>
          <w:numId w:val="11"/>
        </w:numPr>
        <w:jc w:val="both"/>
        <w:rPr>
          <w:lang w:val="en-GB"/>
        </w:rPr>
      </w:pPr>
      <w:r w:rsidRPr="00063682">
        <w:rPr>
          <w:u w:val="single"/>
          <w:lang w:val="en-GB"/>
        </w:rPr>
        <w:t>Resilience assessment in a complex climate</w:t>
      </w:r>
      <w:r w:rsidR="00FC629C" w:rsidRPr="00063682">
        <w:rPr>
          <w:u w:val="single"/>
          <w:lang w:val="en-GB"/>
        </w:rPr>
        <w:t xml:space="preserve"> change scenario</w:t>
      </w:r>
      <w:r w:rsidRPr="00063682">
        <w:rPr>
          <w:lang w:val="en-GB"/>
        </w:rPr>
        <w:t xml:space="preserve">: </w:t>
      </w:r>
      <w:r w:rsidR="00AB2E7C" w:rsidRPr="00063682">
        <w:rPr>
          <w:lang w:val="en-GB"/>
        </w:rPr>
        <w:t>In terms of climate resilience</w:t>
      </w:r>
      <w:r w:rsidR="00D43FF5" w:rsidRPr="00063682">
        <w:rPr>
          <w:lang w:val="en-GB"/>
        </w:rPr>
        <w:t xml:space="preserve">, the high number of risks associated with a changing climate for energy networks requires a comprehensive assessment for the identification of appropriate mitigation measures. </w:t>
      </w:r>
      <w:r w:rsidR="001D11CC" w:rsidRPr="00063682">
        <w:rPr>
          <w:lang w:val="en-GB"/>
        </w:rPr>
        <w:t xml:space="preserve">In this context, </w:t>
      </w:r>
      <w:r w:rsidR="007D1FF7" w:rsidRPr="00063682">
        <w:rPr>
          <w:lang w:val="en-GB"/>
        </w:rPr>
        <w:t>using a small number of metrics for</w:t>
      </w:r>
      <w:r w:rsidR="00745592" w:rsidRPr="00063682">
        <w:rPr>
          <w:lang w:val="en-GB"/>
        </w:rPr>
        <w:t xml:space="preserve"> resilience assessment</w:t>
      </w:r>
      <w:r w:rsidR="00E84463" w:rsidRPr="00063682">
        <w:rPr>
          <w:lang w:val="en-GB"/>
        </w:rPr>
        <w:t xml:space="preserve"> and enhancement decisions to</w:t>
      </w:r>
      <w:r w:rsidR="00F97471" w:rsidRPr="00063682">
        <w:rPr>
          <w:lang w:val="en-GB"/>
        </w:rPr>
        <w:t xml:space="preserve"> </w:t>
      </w:r>
      <w:r w:rsidR="00355184" w:rsidRPr="00063682">
        <w:rPr>
          <w:lang w:val="en-GB"/>
        </w:rPr>
        <w:t xml:space="preserve">may lead to simplistic </w:t>
      </w:r>
      <w:r w:rsidR="007772D5" w:rsidRPr="00063682">
        <w:rPr>
          <w:lang w:val="en-GB"/>
        </w:rPr>
        <w:t>conclusions</w:t>
      </w:r>
      <w:r w:rsidR="00C24F48" w:rsidRPr="00063682">
        <w:rPr>
          <w:lang w:val="en-GB"/>
        </w:rPr>
        <w:t xml:space="preserve"> that will not </w:t>
      </w:r>
      <w:r w:rsidR="008A415E" w:rsidRPr="00063682">
        <w:rPr>
          <w:lang w:val="en-GB"/>
        </w:rPr>
        <w:t xml:space="preserve">contribute for climate-resilient </w:t>
      </w:r>
      <w:r w:rsidR="002238BF" w:rsidRPr="00063682">
        <w:rPr>
          <w:lang w:val="en-GB"/>
        </w:rPr>
        <w:t>energy networks</w:t>
      </w:r>
      <w:r w:rsidR="00A0485E" w:rsidRPr="00063682">
        <w:rPr>
          <w:lang w:val="en-GB"/>
        </w:rPr>
        <w:t>.</w:t>
      </w:r>
      <w:r w:rsidR="00126A64" w:rsidRPr="00063682">
        <w:rPr>
          <w:lang w:val="en-GB"/>
        </w:rPr>
        <w:t xml:space="preserve"> </w:t>
      </w:r>
      <w:r w:rsidR="00BC4CF1" w:rsidRPr="00063682">
        <w:rPr>
          <w:lang w:val="en-GB"/>
        </w:rPr>
        <w:t xml:space="preserve">This </w:t>
      </w:r>
      <w:r w:rsidR="005042DE" w:rsidRPr="00063682">
        <w:rPr>
          <w:lang w:val="en-GB"/>
        </w:rPr>
        <w:t>shortcoming</w:t>
      </w:r>
      <w:r w:rsidR="00BC4CF1" w:rsidRPr="00063682">
        <w:rPr>
          <w:lang w:val="en-GB"/>
        </w:rPr>
        <w:t xml:space="preserve"> will be </w:t>
      </w:r>
      <w:r w:rsidR="005042DE" w:rsidRPr="00063682">
        <w:rPr>
          <w:lang w:val="en-GB"/>
        </w:rPr>
        <w:t>worsen</w:t>
      </w:r>
      <w:r w:rsidR="00BC4CF1" w:rsidRPr="00063682">
        <w:rPr>
          <w:lang w:val="en-GB"/>
        </w:rPr>
        <w:t>ed even further</w:t>
      </w:r>
      <w:r w:rsidR="005042DE" w:rsidRPr="00063682">
        <w:rPr>
          <w:lang w:val="en-GB"/>
        </w:rPr>
        <w:t xml:space="preserve"> if </w:t>
      </w:r>
      <w:r w:rsidR="00E02DB6" w:rsidRPr="00063682">
        <w:rPr>
          <w:lang w:val="en-GB"/>
        </w:rPr>
        <w:t xml:space="preserve">climate change </w:t>
      </w:r>
      <w:r w:rsidR="005042DE" w:rsidRPr="00063682">
        <w:rPr>
          <w:lang w:val="en-GB"/>
        </w:rPr>
        <w:t>risk</w:t>
      </w:r>
      <w:r w:rsidR="007B5123" w:rsidRPr="00063682">
        <w:rPr>
          <w:lang w:val="en-GB"/>
        </w:rPr>
        <w:t xml:space="preserve"> mitigation</w:t>
      </w:r>
      <w:r w:rsidR="005042DE" w:rsidRPr="00063682">
        <w:rPr>
          <w:lang w:val="en-GB"/>
        </w:rPr>
        <w:t xml:space="preserve"> priorities</w:t>
      </w:r>
      <w:r w:rsidR="0090157A" w:rsidRPr="00063682">
        <w:rPr>
          <w:lang w:val="en-GB"/>
        </w:rPr>
        <w:t xml:space="preserve"> are defined at national level </w:t>
      </w:r>
      <w:r w:rsidR="00E02DB6" w:rsidRPr="00063682">
        <w:rPr>
          <w:lang w:val="en-GB"/>
        </w:rPr>
        <w:t>rather than at regional level.</w:t>
      </w:r>
    </w:p>
    <w:p w14:paraId="1DC929D2" w14:textId="5B3D57EE" w:rsidR="654135F9" w:rsidRPr="00063682" w:rsidRDefault="00373F13" w:rsidP="0085084A">
      <w:pPr>
        <w:pStyle w:val="NoSpacing"/>
        <w:numPr>
          <w:ilvl w:val="0"/>
          <w:numId w:val="11"/>
        </w:numPr>
        <w:jc w:val="both"/>
        <w:rPr>
          <w:lang w:val="en-GB"/>
        </w:rPr>
      </w:pPr>
      <w:r w:rsidRPr="00063682">
        <w:rPr>
          <w:u w:val="single"/>
          <w:lang w:val="en-GB"/>
        </w:rPr>
        <w:t>Resilience as a multidimensional concept</w:t>
      </w:r>
      <w:r w:rsidRPr="00063682">
        <w:rPr>
          <w:lang w:val="en-GB"/>
        </w:rPr>
        <w:t xml:space="preserve">: </w:t>
      </w:r>
      <w:r w:rsidR="00DB6DC2" w:rsidRPr="00063682">
        <w:rPr>
          <w:lang w:val="en-GB"/>
        </w:rPr>
        <w:t>The</w:t>
      </w:r>
      <w:r w:rsidR="00140CB6" w:rsidRPr="00063682">
        <w:rPr>
          <w:lang w:val="en-GB"/>
        </w:rPr>
        <w:t xml:space="preserve"> inner</w:t>
      </w:r>
      <w:r w:rsidR="00DB6DC2" w:rsidRPr="00063682">
        <w:rPr>
          <w:lang w:val="en-GB"/>
        </w:rPr>
        <w:t xml:space="preserve"> </w:t>
      </w:r>
      <w:r w:rsidR="00140CB6" w:rsidRPr="00063682">
        <w:rPr>
          <w:lang w:val="en-GB"/>
        </w:rPr>
        <w:t xml:space="preserve">complexity of power systems, the attributes of a resilient system, and the </w:t>
      </w:r>
      <w:r w:rsidR="00995FCB" w:rsidRPr="00063682">
        <w:rPr>
          <w:lang w:val="en-GB"/>
        </w:rPr>
        <w:t xml:space="preserve">different risks for electricity networks at regional level </w:t>
      </w:r>
      <w:r w:rsidR="00B015ED" w:rsidRPr="00063682">
        <w:rPr>
          <w:lang w:val="en-GB"/>
        </w:rPr>
        <w:t xml:space="preserve">clearly </w:t>
      </w:r>
      <w:r w:rsidR="002C7317" w:rsidRPr="00063682">
        <w:rPr>
          <w:lang w:val="en-GB"/>
        </w:rPr>
        <w:t xml:space="preserve">indicate that resilience </w:t>
      </w:r>
      <w:r w:rsidR="00B015ED" w:rsidRPr="00063682">
        <w:rPr>
          <w:lang w:val="en-GB"/>
        </w:rPr>
        <w:t>is a multidimensional concept.</w:t>
      </w:r>
      <w:r w:rsidR="00EE6B73" w:rsidRPr="00063682">
        <w:rPr>
          <w:lang w:val="en-GB"/>
        </w:rPr>
        <w:t xml:space="preserve"> Even if there is one common resilience </w:t>
      </w:r>
      <w:r w:rsidR="0000294B" w:rsidRPr="00063682">
        <w:rPr>
          <w:lang w:val="en-GB"/>
        </w:rPr>
        <w:t>objective</w:t>
      </w:r>
      <w:r w:rsidR="00EE6B73" w:rsidRPr="00063682">
        <w:rPr>
          <w:lang w:val="en-GB"/>
        </w:rPr>
        <w:t xml:space="preserve"> amongst </w:t>
      </w:r>
      <w:r w:rsidR="0000294B" w:rsidRPr="00063682">
        <w:rPr>
          <w:lang w:val="en-GB"/>
        </w:rPr>
        <w:t xml:space="preserve">energy companies </w:t>
      </w:r>
      <w:r w:rsidR="00EE6B73" w:rsidRPr="00063682">
        <w:rPr>
          <w:lang w:val="en-GB"/>
        </w:rPr>
        <w:t>(</w:t>
      </w:r>
      <w:r w:rsidR="0000294B" w:rsidRPr="00063682">
        <w:rPr>
          <w:lang w:val="en-GB"/>
        </w:rPr>
        <w:t>including</w:t>
      </w:r>
      <w:r w:rsidR="00EE6B73" w:rsidRPr="00063682">
        <w:rPr>
          <w:lang w:val="en-GB"/>
        </w:rPr>
        <w:t xml:space="preserve"> GD, GT, ET</w:t>
      </w:r>
      <w:r w:rsidR="0000294B" w:rsidRPr="00063682">
        <w:rPr>
          <w:lang w:val="en-GB"/>
        </w:rPr>
        <w:t>, and ED</w:t>
      </w:r>
      <w:r w:rsidR="00EE6B73" w:rsidRPr="00063682">
        <w:rPr>
          <w:lang w:val="en-GB"/>
        </w:rPr>
        <w:t xml:space="preserve"> companies, as explained in point </w:t>
      </w:r>
      <w:r w:rsidR="0085084A" w:rsidRPr="00063682">
        <w:rPr>
          <w:lang w:val="en-GB"/>
        </w:rPr>
        <w:t>the overview document, section 6.</w:t>
      </w:r>
      <w:r w:rsidR="00EE6B73" w:rsidRPr="00063682">
        <w:rPr>
          <w:lang w:val="en-GB"/>
        </w:rPr>
        <w:t>173)</w:t>
      </w:r>
      <w:r w:rsidR="002E61DC" w:rsidRPr="00063682">
        <w:rPr>
          <w:lang w:val="en-GB"/>
        </w:rPr>
        <w:t xml:space="preserve">, there are </w:t>
      </w:r>
      <w:r w:rsidR="00BC269D" w:rsidRPr="00063682">
        <w:rPr>
          <w:lang w:val="en-GB"/>
        </w:rPr>
        <w:t>several different aspects to be considered to fully represent a multidimensional concept such as resilience.</w:t>
      </w:r>
    </w:p>
    <w:p w14:paraId="024F2826" w14:textId="28E277C8" w:rsidR="00623FED" w:rsidRPr="00063682" w:rsidRDefault="00373F13" w:rsidP="0085084A">
      <w:pPr>
        <w:pStyle w:val="NoSpacing"/>
        <w:numPr>
          <w:ilvl w:val="0"/>
          <w:numId w:val="11"/>
        </w:numPr>
        <w:jc w:val="both"/>
      </w:pPr>
      <w:r w:rsidRPr="0522F57D">
        <w:rPr>
          <w:u w:val="single"/>
        </w:rPr>
        <w:t xml:space="preserve">Resilience </w:t>
      </w:r>
      <w:r w:rsidR="00F77A9B" w:rsidRPr="0522F57D">
        <w:rPr>
          <w:u w:val="single"/>
        </w:rPr>
        <w:t>assessment and coherence across regions</w:t>
      </w:r>
      <w:r w:rsidR="00F77A9B" w:rsidRPr="0522F57D">
        <w:t xml:space="preserve">: </w:t>
      </w:r>
      <w:r w:rsidR="00623FED" w:rsidRPr="0522F57D">
        <w:t xml:space="preserve">It is also important to consider </w:t>
      </w:r>
      <w:r w:rsidR="002E0F4E" w:rsidRPr="0522F57D">
        <w:t xml:space="preserve">that </w:t>
      </w:r>
      <w:r w:rsidR="00466C1E" w:rsidRPr="0522F57D">
        <w:t xml:space="preserve">different </w:t>
      </w:r>
      <w:r w:rsidR="003B76D9" w:rsidRPr="0522F57D">
        <w:t>locations are subject to different categories and levels of risk</w:t>
      </w:r>
      <w:r w:rsidR="00072BE5" w:rsidRPr="0522F57D">
        <w:t xml:space="preserve"> (including climate, workforce, cybersecurity etc.)</w:t>
      </w:r>
      <w:r w:rsidR="00CE685C" w:rsidRPr="0522F57D">
        <w:t xml:space="preserve">. </w:t>
      </w:r>
      <w:r w:rsidR="00390FC1" w:rsidRPr="0522F57D">
        <w:t xml:space="preserve">To ensure a fair assessment of resilience across all companies, </w:t>
      </w:r>
      <w:r w:rsidR="00AF0DD8" w:rsidRPr="0522F57D">
        <w:t xml:space="preserve">performance </w:t>
      </w:r>
      <w:r w:rsidR="000E61E9" w:rsidRPr="0522F57D">
        <w:t>indicators</w:t>
      </w:r>
      <w:r w:rsidR="00CE685C" w:rsidRPr="0522F57D">
        <w:t xml:space="preserve"> should be </w:t>
      </w:r>
      <w:r w:rsidR="00C247DC" w:rsidRPr="0522F57D">
        <w:t>based on mutual risks</w:t>
      </w:r>
      <w:r w:rsidR="00BC1F40" w:rsidRPr="0522F57D">
        <w:t xml:space="preserve"> </w:t>
      </w:r>
      <w:r w:rsidR="002029CE" w:rsidRPr="0522F57D">
        <w:t>and/</w:t>
      </w:r>
      <w:r w:rsidR="00BC1F40" w:rsidRPr="0522F57D">
        <w:t xml:space="preserve">or </w:t>
      </w:r>
      <w:r w:rsidR="002029CE" w:rsidRPr="0522F57D">
        <w:t xml:space="preserve">on the </w:t>
      </w:r>
      <w:r w:rsidR="00BE0834" w:rsidRPr="0522F57D">
        <w:t xml:space="preserve">extent of </w:t>
      </w:r>
      <w:r w:rsidR="00BC1F40" w:rsidRPr="0522F57D">
        <w:t xml:space="preserve">mitigation of </w:t>
      </w:r>
      <w:r w:rsidR="00BE0834" w:rsidRPr="0522F57D">
        <w:t>different</w:t>
      </w:r>
      <w:r w:rsidR="002029CE" w:rsidRPr="0522F57D">
        <w:t xml:space="preserve"> high and medium</w:t>
      </w:r>
      <w:r w:rsidR="00BE0834" w:rsidRPr="0522F57D">
        <w:t xml:space="preserve"> risks.</w:t>
      </w:r>
      <w:r w:rsidR="00CE685C" w:rsidRPr="0522F57D">
        <w:t xml:space="preserve"> </w:t>
      </w:r>
      <w:r w:rsidR="00B17767" w:rsidRPr="0522F57D">
        <w:t xml:space="preserve">In addition, defining a list of </w:t>
      </w:r>
      <w:r w:rsidR="001A0659" w:rsidRPr="0522F57D">
        <w:t>basic risks that must be</w:t>
      </w:r>
      <w:r w:rsidR="009A01B5" w:rsidRPr="0522F57D">
        <w:t xml:space="preserve"> address</w:t>
      </w:r>
      <w:r w:rsidR="001A0659" w:rsidRPr="0522F57D">
        <w:t xml:space="preserve">ed by </w:t>
      </w:r>
      <w:r w:rsidR="009A01B5" w:rsidRPr="0522F57D">
        <w:t xml:space="preserve">all </w:t>
      </w:r>
      <w:r w:rsidR="001A0659" w:rsidRPr="0522F57D">
        <w:t>companies</w:t>
      </w:r>
      <w:r w:rsidR="00B1205B" w:rsidRPr="0522F57D">
        <w:t xml:space="preserve"> would </w:t>
      </w:r>
      <w:r w:rsidR="002E459B" w:rsidRPr="0522F57D">
        <w:t>improve</w:t>
      </w:r>
      <w:r w:rsidR="00F62B85" w:rsidRPr="0522F57D">
        <w:t xml:space="preserve"> identification, assessment, and mitigation of these risks</w:t>
      </w:r>
      <w:r w:rsidR="002C4073" w:rsidRPr="0522F57D">
        <w:t xml:space="preserve"> across regions</w:t>
      </w:r>
      <w:r w:rsidR="00B1205B" w:rsidRPr="0522F57D">
        <w:t>.</w:t>
      </w:r>
      <w:r w:rsidR="001A0659" w:rsidRPr="0522F57D">
        <w:t xml:space="preserve"> </w:t>
      </w:r>
      <w:r w:rsidR="00CE685C" w:rsidRPr="0522F57D">
        <w:t xml:space="preserve"> </w:t>
      </w:r>
    </w:p>
    <w:p w14:paraId="044C7C56" w14:textId="47EB2DB2" w:rsidR="00540C1C" w:rsidRPr="00063682" w:rsidRDefault="00540C1C" w:rsidP="0085084A">
      <w:pPr>
        <w:pStyle w:val="NoSpacing"/>
        <w:jc w:val="both"/>
        <w:rPr>
          <w:lang w:val="en-GB"/>
        </w:rPr>
      </w:pPr>
    </w:p>
    <w:p w14:paraId="6B6E2590" w14:textId="77777777" w:rsidR="0025248E" w:rsidRPr="00063682" w:rsidRDefault="0025248E" w:rsidP="0085084A">
      <w:pPr>
        <w:pStyle w:val="NoSpacing"/>
        <w:jc w:val="both"/>
        <w:rPr>
          <w:lang w:val="en-GB"/>
        </w:rPr>
      </w:pPr>
    </w:p>
    <w:p w14:paraId="1DA163E0" w14:textId="4FC8AB4A" w:rsidR="00540C1C" w:rsidRPr="00063682" w:rsidRDefault="00540C1C" w:rsidP="0085084A">
      <w:pPr>
        <w:pStyle w:val="NoSpacing"/>
        <w:jc w:val="both"/>
        <w:rPr>
          <w:b/>
          <w:bCs/>
          <w:lang w:val="en-GB"/>
        </w:rPr>
      </w:pPr>
      <w:r w:rsidRPr="00063682">
        <w:rPr>
          <w:b/>
          <w:bCs/>
          <w:lang w:val="en-GB"/>
        </w:rPr>
        <w:t>R</w:t>
      </w:r>
      <w:r w:rsidR="00AF50E2" w:rsidRPr="00063682">
        <w:rPr>
          <w:b/>
          <w:bCs/>
          <w:lang w:val="en-GB"/>
        </w:rPr>
        <w:t>eferences</w:t>
      </w:r>
    </w:p>
    <w:p w14:paraId="4553D7A0" w14:textId="77777777" w:rsidR="0009719C" w:rsidRPr="00063682" w:rsidRDefault="0009719C" w:rsidP="0085084A">
      <w:pPr>
        <w:pStyle w:val="NoSpacing"/>
        <w:jc w:val="both"/>
        <w:rPr>
          <w:lang w:val="en-GB"/>
        </w:rPr>
      </w:pPr>
    </w:p>
    <w:p w14:paraId="581AAB4F" w14:textId="01142217" w:rsidR="00892BEB" w:rsidRPr="00063682" w:rsidRDefault="008F0E98" w:rsidP="00AF50E2">
      <w:pPr>
        <w:pStyle w:val="NoSpacing"/>
        <w:jc w:val="both"/>
        <w:rPr>
          <w:lang w:val="en-GB"/>
        </w:rPr>
      </w:pPr>
      <w:r w:rsidRPr="00063682">
        <w:rPr>
          <w:rFonts w:ascii="Calibri" w:eastAsia="Calibri" w:hAnsi="Calibri" w:cs="Calibri"/>
          <w:lang w:val="en-GB"/>
        </w:rPr>
        <w:t>[</w:t>
      </w:r>
      <w:r w:rsidR="00AF36AB" w:rsidRPr="00063682">
        <w:rPr>
          <w:rFonts w:ascii="Calibri" w:eastAsia="Calibri" w:hAnsi="Calibri" w:cs="Calibri"/>
          <w:lang w:val="en-GB"/>
        </w:rPr>
        <w:t>1</w:t>
      </w:r>
      <w:r w:rsidRPr="00063682">
        <w:rPr>
          <w:rFonts w:ascii="Calibri" w:eastAsia="Calibri" w:hAnsi="Calibri" w:cs="Calibri"/>
          <w:lang w:val="en-GB"/>
        </w:rPr>
        <w:t xml:space="preserve">] </w:t>
      </w:r>
      <w:r w:rsidR="00AF36AB" w:rsidRPr="00063682">
        <w:rPr>
          <w:rFonts w:ascii="Calibri" w:eastAsia="Calibri" w:hAnsi="Calibri" w:cs="Calibri"/>
          <w:lang w:val="en-GB"/>
        </w:rPr>
        <w:tab/>
      </w:r>
      <w:r w:rsidR="001263A1" w:rsidRPr="00063682">
        <w:rPr>
          <w:lang w:val="en-GB"/>
        </w:rPr>
        <w:t xml:space="preserve">L. Souto, </w:t>
      </w:r>
      <w:r w:rsidR="00892BEB" w:rsidRPr="00063682">
        <w:rPr>
          <w:lang w:val="en-GB"/>
        </w:rPr>
        <w:t>P</w:t>
      </w:r>
      <w:r w:rsidR="001263A1" w:rsidRPr="00063682">
        <w:rPr>
          <w:lang w:val="en-GB"/>
        </w:rPr>
        <w:t xml:space="preserve">. </w:t>
      </w:r>
      <w:r w:rsidR="00892BEB" w:rsidRPr="00063682">
        <w:rPr>
          <w:lang w:val="en-GB"/>
        </w:rPr>
        <w:t>C. Taylor</w:t>
      </w:r>
      <w:r w:rsidR="001263A1" w:rsidRPr="00063682">
        <w:rPr>
          <w:lang w:val="en-GB"/>
        </w:rPr>
        <w:t xml:space="preserve">, </w:t>
      </w:r>
      <w:r w:rsidR="00892BEB" w:rsidRPr="00063682">
        <w:rPr>
          <w:lang w:val="en-GB"/>
        </w:rPr>
        <w:t>J</w:t>
      </w:r>
      <w:r w:rsidR="001263A1" w:rsidRPr="00063682">
        <w:rPr>
          <w:lang w:val="en-GB"/>
        </w:rPr>
        <w:t>. W</w:t>
      </w:r>
      <w:r w:rsidR="00892BEB" w:rsidRPr="00063682">
        <w:rPr>
          <w:lang w:val="en-GB"/>
        </w:rPr>
        <w:t>ilkinson</w:t>
      </w:r>
      <w:r w:rsidR="001263A1" w:rsidRPr="00063682">
        <w:rPr>
          <w:lang w:val="en-GB"/>
        </w:rPr>
        <w:t>, “</w:t>
      </w:r>
      <w:r w:rsidR="00076CC6" w:rsidRPr="00063682">
        <w:rPr>
          <w:lang w:val="en-GB"/>
        </w:rPr>
        <w:t>Probabilistic impact assessment of lightning strikes on power systems incorporating lightning protection design and asset condition</w:t>
      </w:r>
      <w:r w:rsidR="001263A1" w:rsidRPr="00063682">
        <w:rPr>
          <w:lang w:val="en-GB"/>
        </w:rPr>
        <w:t>,” International Journal of Electrical Power &amp; Energy Systems, vol. 1</w:t>
      </w:r>
      <w:r w:rsidR="00076CC6" w:rsidRPr="00063682">
        <w:rPr>
          <w:lang w:val="en-GB"/>
        </w:rPr>
        <w:t>48</w:t>
      </w:r>
      <w:r w:rsidR="001263A1" w:rsidRPr="00063682">
        <w:rPr>
          <w:lang w:val="en-GB"/>
        </w:rPr>
        <w:t xml:space="preserve">, </w:t>
      </w:r>
      <w:r w:rsidR="00076CC6" w:rsidRPr="00063682">
        <w:rPr>
          <w:lang w:val="en-GB"/>
        </w:rPr>
        <w:t>Jun</w:t>
      </w:r>
      <w:r w:rsidR="001263A1" w:rsidRPr="00063682">
        <w:rPr>
          <w:lang w:val="en-GB"/>
        </w:rPr>
        <w:t>. 202</w:t>
      </w:r>
      <w:r w:rsidR="00076CC6" w:rsidRPr="00063682">
        <w:rPr>
          <w:lang w:val="en-GB"/>
        </w:rPr>
        <w:t>3</w:t>
      </w:r>
      <w:r w:rsidR="001263A1" w:rsidRPr="00063682">
        <w:rPr>
          <w:lang w:val="en-GB"/>
        </w:rPr>
        <w:t>, art. no. 10</w:t>
      </w:r>
      <w:r w:rsidR="00076CC6" w:rsidRPr="00063682">
        <w:rPr>
          <w:lang w:val="en-GB"/>
        </w:rPr>
        <w:t>8974</w:t>
      </w:r>
      <w:r w:rsidR="001263A1" w:rsidRPr="00063682">
        <w:rPr>
          <w:lang w:val="en-GB"/>
        </w:rPr>
        <w:t xml:space="preserve">, </w:t>
      </w:r>
      <w:proofErr w:type="spellStart"/>
      <w:r w:rsidR="001263A1" w:rsidRPr="00063682">
        <w:rPr>
          <w:lang w:val="en-GB"/>
        </w:rPr>
        <w:t>doi</w:t>
      </w:r>
      <w:proofErr w:type="spellEnd"/>
      <w:r w:rsidR="001263A1" w:rsidRPr="00063682">
        <w:rPr>
          <w:lang w:val="en-GB"/>
        </w:rPr>
        <w:t xml:space="preserve">: </w:t>
      </w:r>
      <w:r w:rsidR="00A212FB" w:rsidRPr="00063682">
        <w:rPr>
          <w:lang w:val="en-GB"/>
        </w:rPr>
        <w:t>10.1016/j.ijepes.2023.108974</w:t>
      </w:r>
      <w:r w:rsidR="001263A1" w:rsidRPr="00063682">
        <w:rPr>
          <w:lang w:val="en-GB"/>
        </w:rPr>
        <w:t>.</w:t>
      </w:r>
      <w:r w:rsidR="00A212FB" w:rsidRPr="00063682">
        <w:rPr>
          <w:lang w:val="en-GB"/>
        </w:rPr>
        <w:t xml:space="preserve"> </w:t>
      </w:r>
    </w:p>
    <w:p w14:paraId="13C400A1" w14:textId="77777777" w:rsidR="00892BEB" w:rsidRPr="00063682" w:rsidRDefault="00892BEB" w:rsidP="0085084A">
      <w:pPr>
        <w:pStyle w:val="NoSpacing"/>
        <w:jc w:val="both"/>
        <w:rPr>
          <w:lang w:val="en-GB"/>
        </w:rPr>
      </w:pPr>
    </w:p>
    <w:p w14:paraId="7D085CD5" w14:textId="14A0E464" w:rsidR="00892BEB" w:rsidRPr="00063682" w:rsidRDefault="00AF36AB" w:rsidP="0085084A">
      <w:pPr>
        <w:pStyle w:val="NoSpacing"/>
        <w:jc w:val="both"/>
        <w:rPr>
          <w:rFonts w:ascii="Calibri" w:eastAsia="Calibri" w:hAnsi="Calibri" w:cs="Calibri"/>
          <w:lang w:val="en-GB"/>
        </w:rPr>
      </w:pPr>
      <w:r w:rsidRPr="00063682">
        <w:rPr>
          <w:rFonts w:ascii="Calibri" w:eastAsia="Calibri" w:hAnsi="Calibri" w:cs="Calibri"/>
          <w:lang w:val="en-GB"/>
        </w:rPr>
        <w:t>[2</w:t>
      </w:r>
      <w:r w:rsidR="00894D27" w:rsidRPr="00063682">
        <w:rPr>
          <w:rFonts w:ascii="Calibri" w:eastAsia="Calibri" w:hAnsi="Calibri" w:cs="Calibri"/>
          <w:lang w:val="en-GB"/>
        </w:rPr>
        <w:t>]</w:t>
      </w:r>
      <w:r w:rsidR="00894D27" w:rsidRPr="00063682">
        <w:rPr>
          <w:lang w:val="en-GB"/>
        </w:rPr>
        <w:tab/>
      </w:r>
      <w:r w:rsidR="00894D27" w:rsidRPr="00063682">
        <w:rPr>
          <w:rFonts w:ascii="Calibri" w:eastAsia="Calibri" w:hAnsi="Calibri" w:cs="Calibri"/>
          <w:lang w:val="en-GB"/>
        </w:rPr>
        <w:t xml:space="preserve">Cabinet Office, “Keeping the Country Running: Natural Hazards and Infrastructure. A Guide to improving resilience of critical infrastructure and essential services,” </w:t>
      </w:r>
      <w:r w:rsidR="00894D27" w:rsidRPr="00063682">
        <w:rPr>
          <w:rFonts w:ascii="Calibri" w:eastAsia="Calibri" w:hAnsi="Calibri" w:cs="Calibri"/>
          <w:i/>
          <w:iCs/>
          <w:lang w:val="en-GB"/>
        </w:rPr>
        <w:t>Environment</w:t>
      </w:r>
      <w:r w:rsidR="00894D27" w:rsidRPr="00063682">
        <w:rPr>
          <w:rFonts w:ascii="Calibri" w:eastAsia="Calibri" w:hAnsi="Calibri" w:cs="Calibri"/>
          <w:lang w:val="en-GB"/>
        </w:rPr>
        <w:t>, 2011.</w:t>
      </w:r>
    </w:p>
    <w:p w14:paraId="22CB3A38" w14:textId="77777777" w:rsidR="00892BEB" w:rsidRPr="00063682" w:rsidRDefault="00892BEB" w:rsidP="0085084A">
      <w:pPr>
        <w:pStyle w:val="NoSpacing"/>
        <w:jc w:val="both"/>
        <w:rPr>
          <w:rFonts w:ascii="Calibri" w:eastAsia="Calibri" w:hAnsi="Calibri" w:cs="Calibri"/>
          <w:lang w:val="en-GB"/>
        </w:rPr>
      </w:pPr>
    </w:p>
    <w:p w14:paraId="166EC544" w14:textId="30058708" w:rsidR="00892BEB" w:rsidRPr="00063682" w:rsidRDefault="00AF36AB" w:rsidP="0085084A">
      <w:pPr>
        <w:pStyle w:val="NoSpacing"/>
        <w:jc w:val="both"/>
        <w:rPr>
          <w:rFonts w:ascii="Calibri" w:eastAsia="Calibri" w:hAnsi="Calibri" w:cs="Calibri"/>
          <w:lang w:val="en-GB"/>
        </w:rPr>
      </w:pPr>
      <w:r w:rsidRPr="00063682">
        <w:rPr>
          <w:rFonts w:ascii="Calibri" w:eastAsia="Calibri" w:hAnsi="Calibri" w:cs="Calibri"/>
          <w:lang w:val="en-GB"/>
        </w:rPr>
        <w:t>[3</w:t>
      </w:r>
      <w:r w:rsidR="00894D27" w:rsidRPr="00063682">
        <w:rPr>
          <w:rFonts w:ascii="Calibri" w:eastAsia="Calibri" w:hAnsi="Calibri" w:cs="Calibri"/>
          <w:lang w:val="en-GB"/>
        </w:rPr>
        <w:t>]</w:t>
      </w:r>
      <w:r w:rsidR="00894D27" w:rsidRPr="00063682">
        <w:rPr>
          <w:lang w:val="en-GB"/>
        </w:rPr>
        <w:tab/>
      </w:r>
      <w:r w:rsidR="00894D27" w:rsidRPr="00063682">
        <w:rPr>
          <w:rFonts w:ascii="Calibri" w:eastAsia="Calibri" w:hAnsi="Calibri" w:cs="Calibri"/>
          <w:lang w:val="en-GB"/>
        </w:rPr>
        <w:t>US Federal Energy Regulatory Commission, “Comments of the North American Electric Reliability Corporation, AD18-7-000,” Washington DC, USA, 2018.</w:t>
      </w:r>
    </w:p>
    <w:p w14:paraId="39D99E09" w14:textId="77777777" w:rsidR="00892BEB" w:rsidRPr="00063682" w:rsidRDefault="00892BEB" w:rsidP="0085084A">
      <w:pPr>
        <w:pStyle w:val="NoSpacing"/>
        <w:jc w:val="both"/>
        <w:rPr>
          <w:rFonts w:ascii="Calibri" w:eastAsia="Calibri" w:hAnsi="Calibri" w:cs="Calibri"/>
          <w:lang w:val="en-GB"/>
        </w:rPr>
      </w:pPr>
    </w:p>
    <w:p w14:paraId="601F0F16" w14:textId="43D48DE8" w:rsidR="00892BEB" w:rsidRPr="00063682" w:rsidRDefault="00AF36AB" w:rsidP="0085084A">
      <w:pPr>
        <w:pStyle w:val="NoSpacing"/>
        <w:jc w:val="both"/>
        <w:rPr>
          <w:rFonts w:ascii="Calibri" w:eastAsia="Calibri" w:hAnsi="Calibri" w:cs="Calibri"/>
          <w:lang w:val="en-GB"/>
        </w:rPr>
      </w:pPr>
      <w:r w:rsidRPr="00063682">
        <w:rPr>
          <w:rFonts w:ascii="Calibri" w:eastAsia="Calibri" w:hAnsi="Calibri" w:cs="Calibri"/>
          <w:lang w:val="en-GB"/>
        </w:rPr>
        <w:t>[4</w:t>
      </w:r>
      <w:r w:rsidR="00894D27" w:rsidRPr="00063682">
        <w:rPr>
          <w:rFonts w:ascii="Calibri" w:eastAsia="Calibri" w:hAnsi="Calibri" w:cs="Calibri"/>
          <w:lang w:val="en-GB"/>
        </w:rPr>
        <w:t>]</w:t>
      </w:r>
      <w:r w:rsidR="00894D27" w:rsidRPr="00063682">
        <w:rPr>
          <w:lang w:val="en-GB"/>
        </w:rPr>
        <w:tab/>
      </w:r>
      <w:r w:rsidR="00894D27" w:rsidRPr="00063682">
        <w:rPr>
          <w:rFonts w:ascii="Calibri" w:eastAsia="Calibri" w:hAnsi="Calibri" w:cs="Calibri"/>
          <w:lang w:val="en-GB"/>
        </w:rPr>
        <w:t xml:space="preserve">CIGRE working group C4.47, “Defining power system resilience,” 2019. [Online]. Available: </w:t>
      </w:r>
      <w:hyperlink r:id="rId11">
        <w:r w:rsidR="00894D27" w:rsidRPr="00063682">
          <w:rPr>
            <w:rStyle w:val="Hyperlink"/>
            <w:rFonts w:ascii="Calibri" w:eastAsia="Calibri" w:hAnsi="Calibri" w:cs="Calibri"/>
            <w:lang w:val="en-GB"/>
          </w:rPr>
          <w:t>https://www.cigre.org/article//defining-power-system-resilience</w:t>
        </w:r>
      </w:hyperlink>
      <w:r w:rsidR="00894D27" w:rsidRPr="00063682">
        <w:rPr>
          <w:rFonts w:ascii="Calibri" w:eastAsia="Calibri" w:hAnsi="Calibri" w:cs="Calibri"/>
          <w:lang w:val="en-GB"/>
        </w:rPr>
        <w:t>.</w:t>
      </w:r>
    </w:p>
    <w:p w14:paraId="71DD7CEC" w14:textId="77777777" w:rsidR="00892BEB" w:rsidRPr="00063682" w:rsidRDefault="00892BEB" w:rsidP="0085084A">
      <w:pPr>
        <w:pStyle w:val="NoSpacing"/>
        <w:jc w:val="both"/>
        <w:rPr>
          <w:rFonts w:ascii="Calibri" w:eastAsia="Calibri" w:hAnsi="Calibri" w:cs="Calibri"/>
          <w:lang w:val="en-GB"/>
        </w:rPr>
      </w:pPr>
    </w:p>
    <w:p w14:paraId="77741848" w14:textId="4AA8C610" w:rsidR="00892BEB" w:rsidRPr="00063682" w:rsidRDefault="00AF36AB" w:rsidP="0085084A">
      <w:pPr>
        <w:pStyle w:val="NoSpacing"/>
        <w:jc w:val="both"/>
        <w:rPr>
          <w:rFonts w:ascii="Calibri" w:eastAsia="Calibri" w:hAnsi="Calibri" w:cs="Calibri"/>
          <w:lang w:val="en-GB"/>
        </w:rPr>
      </w:pPr>
      <w:r w:rsidRPr="00063682">
        <w:rPr>
          <w:rFonts w:ascii="Calibri" w:eastAsia="Calibri" w:hAnsi="Calibri" w:cs="Calibri"/>
          <w:lang w:val="en-GB"/>
        </w:rPr>
        <w:t>[5</w:t>
      </w:r>
      <w:r w:rsidR="00894D27" w:rsidRPr="00063682">
        <w:rPr>
          <w:rFonts w:ascii="Calibri" w:eastAsia="Calibri" w:hAnsi="Calibri" w:cs="Calibri"/>
          <w:lang w:val="en-GB"/>
        </w:rPr>
        <w:t>]</w:t>
      </w:r>
      <w:r w:rsidR="00894D27" w:rsidRPr="00063682">
        <w:rPr>
          <w:lang w:val="en-GB"/>
        </w:rPr>
        <w:tab/>
      </w:r>
      <w:r w:rsidR="00894D27" w:rsidRPr="00063682">
        <w:rPr>
          <w:rFonts w:ascii="Calibri" w:eastAsia="Calibri" w:hAnsi="Calibri" w:cs="Calibri"/>
          <w:lang w:val="en-GB"/>
        </w:rPr>
        <w:t>National Infrastructure Commission, “Anticipate, react, recover: Resilient infrastructure systems,” no. May, 2020.</w:t>
      </w:r>
    </w:p>
    <w:p w14:paraId="6021719E" w14:textId="77777777" w:rsidR="00892BEB" w:rsidRPr="00063682" w:rsidRDefault="00892BEB" w:rsidP="0085084A">
      <w:pPr>
        <w:pStyle w:val="NoSpacing"/>
        <w:jc w:val="both"/>
        <w:rPr>
          <w:rFonts w:ascii="Calibri" w:eastAsia="Calibri" w:hAnsi="Calibri" w:cs="Calibri"/>
          <w:lang w:val="en-GB"/>
        </w:rPr>
      </w:pPr>
    </w:p>
    <w:p w14:paraId="37FA25DA" w14:textId="19577DFC" w:rsidR="00892BEB" w:rsidRPr="00063682" w:rsidRDefault="00AF36AB" w:rsidP="0085084A">
      <w:pPr>
        <w:pStyle w:val="NoSpacing"/>
        <w:jc w:val="both"/>
        <w:rPr>
          <w:rFonts w:ascii="Calibri" w:eastAsia="Calibri" w:hAnsi="Calibri" w:cs="Calibri"/>
          <w:lang w:val="en-GB"/>
        </w:rPr>
      </w:pPr>
      <w:r w:rsidRPr="00063682">
        <w:rPr>
          <w:rFonts w:ascii="Calibri" w:eastAsia="Calibri" w:hAnsi="Calibri" w:cs="Calibri"/>
          <w:lang w:val="en-GB"/>
        </w:rPr>
        <w:t>[6</w:t>
      </w:r>
      <w:r w:rsidR="00894D27" w:rsidRPr="00063682">
        <w:rPr>
          <w:rFonts w:ascii="Calibri" w:eastAsia="Calibri" w:hAnsi="Calibri" w:cs="Calibri"/>
          <w:lang w:val="en-GB"/>
        </w:rPr>
        <w:t>]</w:t>
      </w:r>
      <w:r w:rsidR="00894D27" w:rsidRPr="00063682">
        <w:rPr>
          <w:lang w:val="en-GB"/>
        </w:rPr>
        <w:tab/>
      </w:r>
      <w:r w:rsidR="00894D27" w:rsidRPr="00063682">
        <w:rPr>
          <w:rFonts w:ascii="Calibri" w:eastAsia="Calibri" w:hAnsi="Calibri" w:cs="Calibri"/>
          <w:lang w:val="en-GB"/>
        </w:rPr>
        <w:t xml:space="preserve">A. M. Stankovic </w:t>
      </w:r>
      <w:r w:rsidR="00894D27" w:rsidRPr="00063682">
        <w:rPr>
          <w:rFonts w:ascii="Calibri" w:eastAsia="Calibri" w:hAnsi="Calibri" w:cs="Calibri"/>
          <w:i/>
          <w:iCs/>
          <w:lang w:val="en-GB"/>
        </w:rPr>
        <w:t>et al.</w:t>
      </w:r>
      <w:r w:rsidR="00894D27" w:rsidRPr="00063682">
        <w:rPr>
          <w:rFonts w:ascii="Calibri" w:eastAsia="Calibri" w:hAnsi="Calibri" w:cs="Calibri"/>
          <w:lang w:val="en-GB"/>
        </w:rPr>
        <w:t xml:space="preserve">, “Methods for Analysis and Quantification of Power System Resilience,” </w:t>
      </w:r>
      <w:r w:rsidR="00894D27" w:rsidRPr="00063682">
        <w:rPr>
          <w:rFonts w:ascii="Calibri" w:eastAsia="Calibri" w:hAnsi="Calibri" w:cs="Calibri"/>
          <w:i/>
          <w:iCs/>
          <w:lang w:val="en-GB"/>
        </w:rPr>
        <w:t>IEEE Trans. Power Syst.</w:t>
      </w:r>
      <w:r w:rsidR="00894D27" w:rsidRPr="00063682">
        <w:rPr>
          <w:rFonts w:ascii="Calibri" w:eastAsia="Calibri" w:hAnsi="Calibri" w:cs="Calibri"/>
          <w:lang w:val="en-GB"/>
        </w:rPr>
        <w:t xml:space="preserve">, vol. 14, no. 8, pp. 1–14, 2022, </w:t>
      </w:r>
      <w:proofErr w:type="spellStart"/>
      <w:r w:rsidR="00894D27" w:rsidRPr="00063682">
        <w:rPr>
          <w:rFonts w:ascii="Calibri" w:eastAsia="Calibri" w:hAnsi="Calibri" w:cs="Calibri"/>
          <w:lang w:val="en-GB"/>
        </w:rPr>
        <w:t>doi</w:t>
      </w:r>
      <w:proofErr w:type="spellEnd"/>
      <w:r w:rsidR="00894D27" w:rsidRPr="00063682">
        <w:rPr>
          <w:rFonts w:ascii="Calibri" w:eastAsia="Calibri" w:hAnsi="Calibri" w:cs="Calibri"/>
          <w:lang w:val="en-GB"/>
        </w:rPr>
        <w:t>: 10.1109/tpwrs.2022.3212688.</w:t>
      </w:r>
    </w:p>
    <w:p w14:paraId="752DAA0C" w14:textId="77777777" w:rsidR="00892BEB" w:rsidRPr="00063682" w:rsidRDefault="00892BEB" w:rsidP="0085084A">
      <w:pPr>
        <w:pStyle w:val="NoSpacing"/>
        <w:jc w:val="both"/>
        <w:rPr>
          <w:rFonts w:ascii="Calibri" w:eastAsia="Calibri" w:hAnsi="Calibri" w:cs="Calibri"/>
          <w:lang w:val="en-GB"/>
        </w:rPr>
      </w:pPr>
    </w:p>
    <w:p w14:paraId="24C12681" w14:textId="2A0C72A6" w:rsidR="00894D27" w:rsidRPr="00063682" w:rsidRDefault="00AF36AB" w:rsidP="0085084A">
      <w:pPr>
        <w:pStyle w:val="NoSpacing"/>
        <w:jc w:val="both"/>
        <w:rPr>
          <w:rFonts w:ascii="Calibri" w:eastAsia="Calibri" w:hAnsi="Calibri" w:cs="Calibri"/>
          <w:lang w:val="en-GB"/>
        </w:rPr>
      </w:pPr>
      <w:r w:rsidRPr="00063682">
        <w:rPr>
          <w:rFonts w:ascii="Calibri" w:eastAsia="Calibri" w:hAnsi="Calibri" w:cs="Calibri"/>
          <w:lang w:val="en-GB"/>
        </w:rPr>
        <w:t>[7</w:t>
      </w:r>
      <w:r w:rsidR="00894D27" w:rsidRPr="00063682">
        <w:rPr>
          <w:rFonts w:ascii="Calibri" w:eastAsia="Calibri" w:hAnsi="Calibri" w:cs="Calibri"/>
          <w:lang w:val="en-GB"/>
        </w:rPr>
        <w:t>]</w:t>
      </w:r>
      <w:r w:rsidR="00894D27" w:rsidRPr="00063682">
        <w:rPr>
          <w:lang w:val="en-GB"/>
        </w:rPr>
        <w:tab/>
      </w:r>
      <w:r w:rsidR="00894D27" w:rsidRPr="00063682">
        <w:rPr>
          <w:rFonts w:ascii="Calibri" w:eastAsia="Calibri" w:hAnsi="Calibri" w:cs="Calibri"/>
          <w:lang w:val="en-GB"/>
        </w:rPr>
        <w:t xml:space="preserve">E. </w:t>
      </w:r>
      <w:proofErr w:type="spellStart"/>
      <w:r w:rsidR="00894D27" w:rsidRPr="00063682">
        <w:rPr>
          <w:rFonts w:ascii="Calibri" w:eastAsia="Calibri" w:hAnsi="Calibri" w:cs="Calibri"/>
          <w:lang w:val="en-GB"/>
        </w:rPr>
        <w:t>Vugrin</w:t>
      </w:r>
      <w:proofErr w:type="spellEnd"/>
      <w:r w:rsidR="00894D27" w:rsidRPr="00063682">
        <w:rPr>
          <w:rFonts w:ascii="Calibri" w:eastAsia="Calibri" w:hAnsi="Calibri" w:cs="Calibri"/>
          <w:lang w:val="en-GB"/>
        </w:rPr>
        <w:t>, A. Castillo, and C. Silva-</w:t>
      </w:r>
      <w:proofErr w:type="spellStart"/>
      <w:r w:rsidR="00894D27" w:rsidRPr="00063682">
        <w:rPr>
          <w:rFonts w:ascii="Calibri" w:eastAsia="Calibri" w:hAnsi="Calibri" w:cs="Calibri"/>
          <w:lang w:val="en-GB"/>
        </w:rPr>
        <w:t>monroy</w:t>
      </w:r>
      <w:proofErr w:type="spellEnd"/>
      <w:r w:rsidR="00894D27" w:rsidRPr="00063682">
        <w:rPr>
          <w:rFonts w:ascii="Calibri" w:eastAsia="Calibri" w:hAnsi="Calibri" w:cs="Calibri"/>
          <w:lang w:val="en-GB"/>
        </w:rPr>
        <w:t>, “Resilience Metrics for the Electric Power System : A Performance-Based Approach,” no. February, 2017.</w:t>
      </w:r>
    </w:p>
    <w:p w14:paraId="2C35DDF2" w14:textId="77777777" w:rsidR="00892BEB" w:rsidRPr="00063682" w:rsidRDefault="00892BEB" w:rsidP="0085084A">
      <w:pPr>
        <w:pStyle w:val="NoSpacing"/>
        <w:jc w:val="both"/>
        <w:rPr>
          <w:rFonts w:ascii="Calibri" w:eastAsia="Calibri" w:hAnsi="Calibri" w:cs="Calibri"/>
          <w:lang w:val="en-GB"/>
        </w:rPr>
      </w:pPr>
    </w:p>
    <w:p w14:paraId="0F6D99A8" w14:textId="230E1923" w:rsidR="00DD159F" w:rsidRPr="00063682" w:rsidRDefault="00AF36AB" w:rsidP="0085084A">
      <w:pPr>
        <w:pStyle w:val="NoSpacing"/>
        <w:jc w:val="both"/>
        <w:rPr>
          <w:lang w:val="en-GB"/>
        </w:rPr>
      </w:pPr>
      <w:r w:rsidRPr="00063682">
        <w:rPr>
          <w:lang w:val="en-GB"/>
        </w:rPr>
        <w:t>[8</w:t>
      </w:r>
      <w:r w:rsidR="00894D27" w:rsidRPr="00063682">
        <w:rPr>
          <w:lang w:val="en-GB"/>
        </w:rPr>
        <w:t>]</w:t>
      </w:r>
      <w:r w:rsidR="00894D27" w:rsidRPr="00063682">
        <w:rPr>
          <w:lang w:val="en-GB"/>
        </w:rPr>
        <w:tab/>
        <w:t xml:space="preserve">Y. Dai, R. Preece, E. A. Martinez-Cesena. “WELLNESS D3.1: Identification of Requirements”. Report for SIF Discovery Project WELLNESS (Whole Energy System Resilience Vulnerability Assessment) [online] Available at: </w:t>
      </w:r>
      <w:hyperlink r:id="rId12">
        <w:r w:rsidR="00894D27" w:rsidRPr="00063682">
          <w:rPr>
            <w:rStyle w:val="Hyperlink"/>
            <w:lang w:val="en-GB"/>
          </w:rPr>
          <w:t>https://smarter.energynetworks.org/projects/10061033-nget-whole-energy-system-resilience-vulnerability-assessment-sifiesrr-rd2_discovery/</w:t>
        </w:r>
      </w:hyperlink>
      <w:r w:rsidR="00894D27" w:rsidRPr="00063682">
        <w:rPr>
          <w:lang w:val="en-GB"/>
        </w:rPr>
        <w:t xml:space="preserve"> </w:t>
      </w:r>
    </w:p>
    <w:p w14:paraId="4566EAED" w14:textId="77777777" w:rsidR="00DD159F" w:rsidRPr="00063682" w:rsidRDefault="00DD159F" w:rsidP="0085084A">
      <w:pPr>
        <w:pStyle w:val="NoSpacing"/>
        <w:jc w:val="both"/>
        <w:rPr>
          <w:lang w:val="en-GB"/>
        </w:rPr>
      </w:pPr>
    </w:p>
    <w:p w14:paraId="19736D0D" w14:textId="7C6C82FA" w:rsidR="00540C1C" w:rsidRPr="00063682" w:rsidRDefault="00AF36AB" w:rsidP="0085084A">
      <w:pPr>
        <w:pStyle w:val="NoSpacing"/>
        <w:jc w:val="both"/>
        <w:rPr>
          <w:lang w:val="en-GB"/>
        </w:rPr>
      </w:pPr>
      <w:r w:rsidRPr="00063682">
        <w:rPr>
          <w:lang w:val="en-GB"/>
        </w:rPr>
        <w:t>[9</w:t>
      </w:r>
      <w:r w:rsidR="00540C1C" w:rsidRPr="00063682">
        <w:rPr>
          <w:lang w:val="en-GB"/>
        </w:rPr>
        <w:t>]</w:t>
      </w:r>
      <w:r w:rsidR="004C4787" w:rsidRPr="00063682">
        <w:rPr>
          <w:lang w:val="en-GB"/>
        </w:rPr>
        <w:t xml:space="preserve"> </w:t>
      </w:r>
      <w:r w:rsidRPr="00063682">
        <w:rPr>
          <w:lang w:val="en-GB"/>
        </w:rPr>
        <w:tab/>
      </w:r>
      <w:r w:rsidR="004C4787" w:rsidRPr="00063682">
        <w:rPr>
          <w:lang w:val="en-GB"/>
        </w:rPr>
        <w:t xml:space="preserve">National Grid Electricity Transmission (2021). </w:t>
      </w:r>
      <w:r w:rsidR="00A61503" w:rsidRPr="00063682">
        <w:rPr>
          <w:lang w:val="en-GB"/>
        </w:rPr>
        <w:t xml:space="preserve">“Climate Change Adaptation Report”. Available at: </w:t>
      </w:r>
      <w:hyperlink r:id="rId13" w:history="1">
        <w:r w:rsidR="00A61503" w:rsidRPr="00063682">
          <w:rPr>
            <w:rStyle w:val="Hyperlink"/>
            <w:lang w:val="en-GB"/>
          </w:rPr>
          <w:t>https://www.nationalgrid.com/electricity-transmission/document/143211/download</w:t>
        </w:r>
      </w:hyperlink>
      <w:r w:rsidR="00A61503" w:rsidRPr="00063682">
        <w:rPr>
          <w:lang w:val="en-GB"/>
        </w:rPr>
        <w:t xml:space="preserve"> </w:t>
      </w:r>
    </w:p>
    <w:p w14:paraId="129A0756" w14:textId="77777777" w:rsidR="00894D27" w:rsidRPr="00063682" w:rsidRDefault="00894D27" w:rsidP="0085084A">
      <w:pPr>
        <w:pStyle w:val="NoSpacing"/>
        <w:jc w:val="both"/>
        <w:rPr>
          <w:lang w:val="en-GB"/>
        </w:rPr>
      </w:pPr>
    </w:p>
    <w:p w14:paraId="119241AE" w14:textId="69E99A9E" w:rsidR="008264FA" w:rsidRPr="00063682" w:rsidRDefault="00AF36AB" w:rsidP="0085084A">
      <w:pPr>
        <w:pStyle w:val="NoSpacing"/>
        <w:jc w:val="both"/>
        <w:rPr>
          <w:lang w:val="en-GB"/>
        </w:rPr>
      </w:pPr>
      <w:r w:rsidRPr="00063682">
        <w:rPr>
          <w:lang w:val="en-GB"/>
        </w:rPr>
        <w:t>[10</w:t>
      </w:r>
      <w:r w:rsidR="00540C1C" w:rsidRPr="00063682">
        <w:rPr>
          <w:lang w:val="en-GB"/>
        </w:rPr>
        <w:t>]</w:t>
      </w:r>
      <w:r w:rsidR="00955F2E" w:rsidRPr="00063682">
        <w:rPr>
          <w:lang w:val="en-GB"/>
        </w:rPr>
        <w:t xml:space="preserve"> </w:t>
      </w:r>
      <w:r w:rsidRPr="00063682">
        <w:rPr>
          <w:lang w:val="en-GB"/>
        </w:rPr>
        <w:tab/>
      </w:r>
      <w:r w:rsidR="00955F2E" w:rsidRPr="00063682">
        <w:rPr>
          <w:lang w:val="en-GB"/>
        </w:rPr>
        <w:t>Met Office (2023). Past</w:t>
      </w:r>
      <w:r w:rsidR="008264FA" w:rsidRPr="00063682">
        <w:rPr>
          <w:lang w:val="en-GB"/>
        </w:rPr>
        <w:t xml:space="preserve"> </w:t>
      </w:r>
      <w:r w:rsidR="00955F2E" w:rsidRPr="00063682">
        <w:rPr>
          <w:lang w:val="en-GB"/>
        </w:rPr>
        <w:t>weather</w:t>
      </w:r>
      <w:r w:rsidR="008264FA" w:rsidRPr="00063682">
        <w:rPr>
          <w:lang w:val="en-GB"/>
        </w:rPr>
        <w:t xml:space="preserve"> </w:t>
      </w:r>
      <w:r w:rsidR="00955F2E" w:rsidRPr="00063682">
        <w:rPr>
          <w:lang w:val="en-GB"/>
        </w:rPr>
        <w:t>events.</w:t>
      </w:r>
      <w:r w:rsidR="008264FA" w:rsidRPr="00063682">
        <w:rPr>
          <w:lang w:val="en-GB"/>
        </w:rPr>
        <w:t xml:space="preserve"> Available at: </w:t>
      </w:r>
      <w:hyperlink r:id="rId14" w:history="1">
        <w:r w:rsidR="008264FA" w:rsidRPr="00063682">
          <w:rPr>
            <w:rStyle w:val="Hyperlink"/>
            <w:lang w:val="en-GB"/>
          </w:rPr>
          <w:t>https://www.metoffice.gov.uk/weather/learn-about/past-uk-weather-events</w:t>
        </w:r>
      </w:hyperlink>
    </w:p>
    <w:p w14:paraId="55A095E3" w14:textId="1F90D042" w:rsidR="00540C1C" w:rsidRPr="00063682" w:rsidRDefault="008264FA" w:rsidP="0085084A">
      <w:pPr>
        <w:pStyle w:val="NoSpacing"/>
        <w:jc w:val="both"/>
        <w:rPr>
          <w:lang w:val="en-GB"/>
        </w:rPr>
      </w:pPr>
      <w:r w:rsidRPr="00063682">
        <w:rPr>
          <w:lang w:val="en-GB"/>
        </w:rPr>
        <w:t xml:space="preserve"> </w:t>
      </w:r>
    </w:p>
    <w:p w14:paraId="23ADC451" w14:textId="41DD970F" w:rsidR="00540C1C" w:rsidRPr="00063682" w:rsidRDefault="00AF36AB" w:rsidP="0085084A">
      <w:pPr>
        <w:pStyle w:val="NoSpacing"/>
        <w:jc w:val="both"/>
        <w:rPr>
          <w:lang w:val="en-GB"/>
        </w:rPr>
      </w:pPr>
      <w:r w:rsidRPr="00063682">
        <w:rPr>
          <w:lang w:val="en-GB"/>
        </w:rPr>
        <w:t>[11]</w:t>
      </w:r>
      <w:r w:rsidR="008411A1" w:rsidRPr="00063682">
        <w:rPr>
          <w:lang w:val="en-GB"/>
        </w:rPr>
        <w:t xml:space="preserve"> </w:t>
      </w:r>
      <w:r w:rsidRPr="00063682">
        <w:rPr>
          <w:lang w:val="en-GB"/>
        </w:rPr>
        <w:tab/>
      </w:r>
      <w:r w:rsidR="008411A1" w:rsidRPr="00063682">
        <w:rPr>
          <w:lang w:val="en-GB"/>
        </w:rPr>
        <w:t xml:space="preserve">Souto, L., Neal, R., Pope, J., Gonzalez, P.L.M., Wilkinson, J., Taylor, P.C. (2024). Identification of weather patterns and transitions likely to cause power outages in the United Kingdom. Nature Communications Earth &amp; Environment 5, 49 (2024). DOI: </w:t>
      </w:r>
      <w:hyperlink r:id="rId15" w:history="1">
        <w:r w:rsidR="00BE1648" w:rsidRPr="00063682">
          <w:rPr>
            <w:rStyle w:val="Hyperlink"/>
            <w:lang w:val="en-GB"/>
          </w:rPr>
          <w:t>https://doi.org/10.1038/s43247-024-01217-w</w:t>
        </w:r>
      </w:hyperlink>
      <w:r w:rsidR="008411A1" w:rsidRPr="00063682">
        <w:rPr>
          <w:lang w:val="en-GB"/>
        </w:rPr>
        <w:t>.</w:t>
      </w:r>
      <w:r w:rsidR="00BE1648" w:rsidRPr="00063682">
        <w:rPr>
          <w:lang w:val="en-GB"/>
        </w:rPr>
        <w:t xml:space="preserve"> </w:t>
      </w:r>
    </w:p>
    <w:p w14:paraId="0086F0B0" w14:textId="77777777" w:rsidR="008264FA" w:rsidRPr="00063682" w:rsidRDefault="008264FA" w:rsidP="0085084A">
      <w:pPr>
        <w:pStyle w:val="NoSpacing"/>
        <w:jc w:val="both"/>
        <w:rPr>
          <w:lang w:val="en-GB"/>
        </w:rPr>
      </w:pPr>
    </w:p>
    <w:p w14:paraId="012E12FB" w14:textId="6CF8F75C" w:rsidR="00540C1C" w:rsidRPr="00063682" w:rsidRDefault="00AF36AB" w:rsidP="0085084A">
      <w:pPr>
        <w:pStyle w:val="NoSpacing"/>
        <w:jc w:val="both"/>
        <w:rPr>
          <w:lang w:val="en-GB"/>
        </w:rPr>
      </w:pPr>
      <w:r w:rsidRPr="00063682">
        <w:rPr>
          <w:lang w:val="en-GB"/>
        </w:rPr>
        <w:t>[12]</w:t>
      </w:r>
      <w:r w:rsidR="00775A5D" w:rsidRPr="00063682">
        <w:rPr>
          <w:lang w:val="en-GB"/>
        </w:rPr>
        <w:t xml:space="preserve"> </w:t>
      </w:r>
      <w:r w:rsidRPr="00063682">
        <w:rPr>
          <w:lang w:val="en-GB"/>
        </w:rPr>
        <w:tab/>
      </w:r>
      <w:r w:rsidR="00775A5D" w:rsidRPr="00063682">
        <w:rPr>
          <w:lang w:val="en-GB"/>
        </w:rPr>
        <w:t>Souto, L., Neal, R., Pope, J., Gonzalez, P.L.M., Wilkinson, J., Taylor, P.C. (2024). Identification of weather patterns and transitions likely to cause power outages in the United Kingdom.</w:t>
      </w:r>
      <w:r w:rsidR="004D3C33" w:rsidRPr="00063682">
        <w:rPr>
          <w:lang w:val="en-GB"/>
        </w:rPr>
        <w:t xml:space="preserve"> Supplementary information</w:t>
      </w:r>
      <w:r w:rsidR="00775A5D" w:rsidRPr="00063682">
        <w:rPr>
          <w:lang w:val="en-GB"/>
        </w:rPr>
        <w:t xml:space="preserve">. </w:t>
      </w:r>
      <w:r w:rsidR="004D3C33" w:rsidRPr="00063682">
        <w:rPr>
          <w:lang w:val="en-GB"/>
        </w:rPr>
        <w:t>Available at</w:t>
      </w:r>
      <w:r w:rsidR="00775A5D" w:rsidRPr="00063682">
        <w:rPr>
          <w:lang w:val="en-GB"/>
        </w:rPr>
        <w:t xml:space="preserve">: </w:t>
      </w:r>
      <w:hyperlink r:id="rId16" w:history="1">
        <w:r w:rsidR="004D3C33" w:rsidRPr="00063682">
          <w:rPr>
            <w:rStyle w:val="Hyperlink"/>
            <w:lang w:val="en-GB"/>
          </w:rPr>
          <w:t>https://static-content.springer.com/esm/art%3A10.1038%2Fs43247-024-01217-w/MediaObjects/43247_2024_1217_MOESM2_ESM.pdf</w:t>
        </w:r>
      </w:hyperlink>
      <w:r w:rsidR="00775A5D" w:rsidRPr="00063682">
        <w:rPr>
          <w:lang w:val="en-GB"/>
        </w:rPr>
        <w:t>.</w:t>
      </w:r>
      <w:r w:rsidR="004D3C33" w:rsidRPr="00063682">
        <w:rPr>
          <w:lang w:val="en-GB"/>
        </w:rPr>
        <w:t xml:space="preserve"> </w:t>
      </w:r>
    </w:p>
    <w:p w14:paraId="5EECA38D" w14:textId="77777777" w:rsidR="008264FA" w:rsidRPr="00063682" w:rsidRDefault="008264FA" w:rsidP="0085084A">
      <w:pPr>
        <w:pStyle w:val="NoSpacing"/>
        <w:jc w:val="both"/>
        <w:rPr>
          <w:lang w:val="en-GB"/>
        </w:rPr>
      </w:pPr>
    </w:p>
    <w:p w14:paraId="797A1DE6" w14:textId="26366741" w:rsidR="00F65BD1" w:rsidRPr="00063682" w:rsidRDefault="00F65BD1" w:rsidP="0085084A">
      <w:pPr>
        <w:pStyle w:val="NoSpacing"/>
        <w:jc w:val="both"/>
        <w:rPr>
          <w:lang w:val="en-GB"/>
        </w:rPr>
      </w:pPr>
      <w:r w:rsidRPr="00063682">
        <w:rPr>
          <w:lang w:val="en-GB"/>
        </w:rPr>
        <w:t>[</w:t>
      </w:r>
      <w:r w:rsidR="00AF36AB" w:rsidRPr="00063682">
        <w:rPr>
          <w:lang w:val="en-GB"/>
        </w:rPr>
        <w:t>13</w:t>
      </w:r>
      <w:r w:rsidRPr="00063682">
        <w:rPr>
          <w:lang w:val="en-GB"/>
        </w:rPr>
        <w:t>]</w:t>
      </w:r>
      <w:r w:rsidR="00FB6217" w:rsidRPr="00063682">
        <w:rPr>
          <w:lang w:val="en-GB"/>
        </w:rPr>
        <w:t xml:space="preserve"> </w:t>
      </w:r>
      <w:r w:rsidR="00AF36AB" w:rsidRPr="00063682">
        <w:rPr>
          <w:lang w:val="en-GB"/>
        </w:rPr>
        <w:tab/>
      </w:r>
      <w:r w:rsidR="00FB6217" w:rsidRPr="00063682">
        <w:rPr>
          <w:lang w:val="en-GB"/>
        </w:rPr>
        <w:t xml:space="preserve">IPCC, 2014: Climate Change 2014: Impacts, Adaptation, and Vulnerability. Part A: Global and Sectoral Aspects. Contribution of Working Group II to the Fifth Assessment Report of the Intergovernmental Panel on Climate Change [Field, C.B., V.R. Barros, D.J. Dokken, K.J. Mach, M.D. Mastrandrea, T.E. Bilir, M. Chatterjee, K.L. </w:t>
      </w:r>
      <w:proofErr w:type="spellStart"/>
      <w:r w:rsidR="00FB6217" w:rsidRPr="00063682">
        <w:rPr>
          <w:lang w:val="en-GB"/>
        </w:rPr>
        <w:t>Ebi</w:t>
      </w:r>
      <w:proofErr w:type="spellEnd"/>
      <w:r w:rsidR="00FB6217" w:rsidRPr="00063682">
        <w:rPr>
          <w:lang w:val="en-GB"/>
        </w:rPr>
        <w:t>, Y.O. Estrada, R.C. Genova, B. Girma, E.S. Kissel, A.N. Levy, S. MacCracken, P.R. Mastrandrea, and L.L. White (eds.)]. Cambridge University Press, Cambridge, United Kingdom and New York, NY, USA, 1132 pp.</w:t>
      </w:r>
    </w:p>
    <w:p w14:paraId="36C70CF4" w14:textId="77777777" w:rsidR="002E4BB7" w:rsidRPr="00063682" w:rsidRDefault="002E4BB7" w:rsidP="0085084A">
      <w:pPr>
        <w:pStyle w:val="NoSpacing"/>
        <w:jc w:val="both"/>
        <w:rPr>
          <w:lang w:val="en-GB"/>
        </w:rPr>
      </w:pPr>
    </w:p>
    <w:p w14:paraId="228AC35D" w14:textId="1023F292" w:rsidR="00E9652C" w:rsidRPr="00063682" w:rsidRDefault="00AF36AB" w:rsidP="0085084A">
      <w:pPr>
        <w:pStyle w:val="NoSpacing"/>
        <w:jc w:val="both"/>
        <w:rPr>
          <w:lang w:val="en-GB"/>
        </w:rPr>
      </w:pPr>
      <w:r w:rsidRPr="00063682">
        <w:rPr>
          <w:lang w:val="en-GB"/>
        </w:rPr>
        <w:t>[14</w:t>
      </w:r>
      <w:r w:rsidR="00E9652C" w:rsidRPr="00063682">
        <w:rPr>
          <w:lang w:val="en-GB"/>
        </w:rPr>
        <w:t>]</w:t>
      </w:r>
      <w:r w:rsidR="005071A1" w:rsidRPr="00063682">
        <w:rPr>
          <w:lang w:val="en-GB"/>
        </w:rPr>
        <w:t xml:space="preserve"> </w:t>
      </w:r>
      <w:r w:rsidRPr="00063682">
        <w:rPr>
          <w:lang w:val="en-GB"/>
        </w:rPr>
        <w:tab/>
      </w:r>
      <w:r w:rsidR="005071A1" w:rsidRPr="00063682">
        <w:rPr>
          <w:lang w:val="en-GB"/>
        </w:rPr>
        <w:t>Ofgem</w:t>
      </w:r>
      <w:r w:rsidR="00DD159F" w:rsidRPr="00063682">
        <w:rPr>
          <w:lang w:val="en-GB"/>
        </w:rPr>
        <w:t xml:space="preserve"> (2020)</w:t>
      </w:r>
      <w:r w:rsidR="005071A1" w:rsidRPr="00063682">
        <w:rPr>
          <w:lang w:val="en-GB"/>
        </w:rPr>
        <w:t xml:space="preserve">. </w:t>
      </w:r>
      <w:r w:rsidR="003E42DA" w:rsidRPr="00063682">
        <w:rPr>
          <w:lang w:val="en-GB"/>
        </w:rPr>
        <w:t>“</w:t>
      </w:r>
      <w:r w:rsidR="005071A1" w:rsidRPr="00063682">
        <w:rPr>
          <w:lang w:val="en-GB"/>
        </w:rPr>
        <w:t>RIIO-ED1 Regulatory Instructions and Guidance: Annex F—Interruptions</w:t>
      </w:r>
      <w:r w:rsidR="003E42DA" w:rsidRPr="00063682">
        <w:rPr>
          <w:lang w:val="en-GB"/>
        </w:rPr>
        <w:t>”.</w:t>
      </w:r>
      <w:r w:rsidR="005071A1" w:rsidRPr="00063682">
        <w:rPr>
          <w:lang w:val="en-GB"/>
        </w:rPr>
        <w:t xml:space="preserve"> </w:t>
      </w:r>
      <w:r w:rsidR="00DD159F" w:rsidRPr="00063682">
        <w:rPr>
          <w:lang w:val="en-GB"/>
        </w:rPr>
        <w:t xml:space="preserve">Available at: </w:t>
      </w:r>
      <w:hyperlink r:id="rId17" w:history="1">
        <w:r w:rsidR="00DD159F" w:rsidRPr="00063682">
          <w:rPr>
            <w:rStyle w:val="Hyperlink"/>
            <w:lang w:val="en-GB"/>
          </w:rPr>
          <w:t>https://www.ofgem.gov.uk/sites/default/files/docs/2020/04/riio-ed1_regulatory_instructions_and_guidance_annex_f_-_interruptions.pdf</w:t>
        </w:r>
      </w:hyperlink>
      <w:r w:rsidR="00DD159F" w:rsidRPr="00063682">
        <w:rPr>
          <w:lang w:val="en-GB"/>
        </w:rPr>
        <w:t xml:space="preserve"> </w:t>
      </w:r>
    </w:p>
    <w:p w14:paraId="47E20271" w14:textId="77777777" w:rsidR="005071A1" w:rsidRPr="00063682" w:rsidRDefault="005071A1" w:rsidP="0085084A">
      <w:pPr>
        <w:pStyle w:val="NoSpacing"/>
        <w:jc w:val="both"/>
        <w:rPr>
          <w:lang w:val="en-GB"/>
        </w:rPr>
      </w:pPr>
    </w:p>
    <w:p w14:paraId="22B0F766" w14:textId="4E1D893B" w:rsidR="00F63986" w:rsidRPr="00063682" w:rsidRDefault="00AF36AB" w:rsidP="0085084A">
      <w:pPr>
        <w:pStyle w:val="NoSpacing"/>
        <w:jc w:val="both"/>
        <w:rPr>
          <w:lang w:val="en-GB"/>
        </w:rPr>
      </w:pPr>
      <w:r w:rsidRPr="00063682">
        <w:rPr>
          <w:lang w:val="en-GB"/>
        </w:rPr>
        <w:t>[15</w:t>
      </w:r>
      <w:r w:rsidR="00734D61" w:rsidRPr="00063682">
        <w:rPr>
          <w:lang w:val="en-GB"/>
        </w:rPr>
        <w:t>]</w:t>
      </w:r>
      <w:r w:rsidR="004D785F" w:rsidRPr="00063682">
        <w:rPr>
          <w:lang w:val="en-GB"/>
        </w:rPr>
        <w:t xml:space="preserve"> </w:t>
      </w:r>
      <w:r w:rsidRPr="00063682">
        <w:rPr>
          <w:lang w:val="en-GB"/>
        </w:rPr>
        <w:tab/>
      </w:r>
      <w:r w:rsidR="004D785F" w:rsidRPr="00063682">
        <w:rPr>
          <w:lang w:val="en-GB"/>
        </w:rPr>
        <w:t>Energy Network Association</w:t>
      </w:r>
      <w:r w:rsidR="000B05B5" w:rsidRPr="00063682">
        <w:rPr>
          <w:lang w:val="en-GB"/>
        </w:rPr>
        <w:t xml:space="preserve"> (2016). “Engineering Technical Recommendation 132 (Issue 2) – Improving resilience of overhead networks under abnormal weather conditions using a risk based methodology”.</w:t>
      </w:r>
    </w:p>
    <w:p w14:paraId="3B6A68D2" w14:textId="77777777" w:rsidR="007B5B37" w:rsidRPr="00063682" w:rsidRDefault="007B5B37" w:rsidP="0085084A">
      <w:pPr>
        <w:pStyle w:val="NoSpacing"/>
        <w:jc w:val="both"/>
        <w:rPr>
          <w:lang w:val="en-GB"/>
        </w:rPr>
      </w:pPr>
    </w:p>
    <w:p w14:paraId="7C44273D" w14:textId="5E266D21" w:rsidR="007B5B37" w:rsidRPr="00063682" w:rsidRDefault="00AF36AB" w:rsidP="0085084A">
      <w:pPr>
        <w:pStyle w:val="NoSpacing"/>
        <w:jc w:val="both"/>
        <w:rPr>
          <w:lang w:val="en-GB"/>
        </w:rPr>
      </w:pPr>
      <w:r w:rsidRPr="00063682">
        <w:rPr>
          <w:lang w:val="en-GB"/>
        </w:rPr>
        <w:t>[16]</w:t>
      </w:r>
      <w:r w:rsidR="007B5B37" w:rsidRPr="00063682">
        <w:rPr>
          <w:lang w:val="en-GB"/>
        </w:rPr>
        <w:t xml:space="preserve"> </w:t>
      </w:r>
      <w:r w:rsidRPr="00063682">
        <w:rPr>
          <w:lang w:val="en-GB"/>
        </w:rPr>
        <w:tab/>
      </w:r>
      <w:r w:rsidR="007B5B37" w:rsidRPr="00063682">
        <w:rPr>
          <w:lang w:val="en-GB"/>
        </w:rPr>
        <w:t xml:space="preserve">L. Souto, J. Yip, W.-Y. Wu, B. Austgen, E. Kutanoglu, J. Hasenbein, Z.-L. Yang, C. W. King, and S. Santoso, </w:t>
      </w:r>
      <w:r w:rsidR="003E42DA" w:rsidRPr="00063682">
        <w:rPr>
          <w:lang w:val="en-GB"/>
        </w:rPr>
        <w:t>“</w:t>
      </w:r>
      <w:r w:rsidR="007B5B37" w:rsidRPr="00063682">
        <w:rPr>
          <w:lang w:val="en-GB"/>
        </w:rPr>
        <w:t xml:space="preserve">Power system resilience to floods: </w:t>
      </w:r>
      <w:proofErr w:type="spellStart"/>
      <w:r w:rsidR="007B5B37" w:rsidRPr="00063682">
        <w:rPr>
          <w:lang w:val="en-GB"/>
        </w:rPr>
        <w:t>Modeling</w:t>
      </w:r>
      <w:proofErr w:type="spellEnd"/>
      <w:r w:rsidR="007B5B37" w:rsidRPr="00063682">
        <w:rPr>
          <w:lang w:val="en-GB"/>
        </w:rPr>
        <w:t>, impact assessment, and mid-term mitigation</w:t>
      </w:r>
    </w:p>
    <w:p w14:paraId="5DA23F07" w14:textId="40A7143B" w:rsidR="007B5B37" w:rsidRPr="00063682" w:rsidRDefault="007B5B37" w:rsidP="0085084A">
      <w:pPr>
        <w:pStyle w:val="NoSpacing"/>
        <w:jc w:val="both"/>
        <w:rPr>
          <w:lang w:val="en-GB"/>
        </w:rPr>
      </w:pPr>
      <w:r w:rsidRPr="00063682">
        <w:rPr>
          <w:lang w:val="en-GB"/>
        </w:rPr>
        <w:t>strategies,</w:t>
      </w:r>
      <w:r w:rsidR="003E42DA" w:rsidRPr="00063682">
        <w:rPr>
          <w:lang w:val="en-GB"/>
        </w:rPr>
        <w:t>”</w:t>
      </w:r>
      <w:r w:rsidRPr="00063682">
        <w:rPr>
          <w:lang w:val="en-GB"/>
        </w:rPr>
        <w:t xml:space="preserve"> International Journal of Electrical Power &amp; Energy Systems, vol. 135, Feb. 2022, art. no. 107545, </w:t>
      </w:r>
      <w:proofErr w:type="spellStart"/>
      <w:r w:rsidRPr="00063682">
        <w:rPr>
          <w:lang w:val="en-GB"/>
        </w:rPr>
        <w:t>doi</w:t>
      </w:r>
      <w:proofErr w:type="spellEnd"/>
      <w:r w:rsidRPr="00063682">
        <w:rPr>
          <w:lang w:val="en-GB"/>
        </w:rPr>
        <w:t>: 10.1016/j.ijepes.2021.107545.</w:t>
      </w:r>
    </w:p>
    <w:p w14:paraId="2FB371B8" w14:textId="77777777" w:rsidR="007B5B37" w:rsidRPr="00063682" w:rsidRDefault="007B5B37" w:rsidP="0085084A">
      <w:pPr>
        <w:pStyle w:val="NoSpacing"/>
        <w:jc w:val="both"/>
        <w:rPr>
          <w:lang w:val="en-GB"/>
        </w:rPr>
      </w:pPr>
    </w:p>
    <w:p w14:paraId="6F210AC8" w14:textId="03357CE2" w:rsidR="007B5B37" w:rsidRPr="00063682" w:rsidRDefault="00AF36AB" w:rsidP="0085084A">
      <w:pPr>
        <w:pStyle w:val="NoSpacing"/>
        <w:jc w:val="both"/>
        <w:rPr>
          <w:lang w:val="en-GB"/>
        </w:rPr>
      </w:pPr>
      <w:r w:rsidRPr="00063682">
        <w:rPr>
          <w:rFonts w:ascii="Calibri" w:eastAsia="Calibri" w:hAnsi="Calibri" w:cs="Calibri"/>
          <w:lang w:val="en-GB"/>
        </w:rPr>
        <w:t>[17</w:t>
      </w:r>
      <w:r w:rsidR="007B5B37" w:rsidRPr="00063682">
        <w:rPr>
          <w:rFonts w:ascii="Calibri" w:eastAsia="Calibri" w:hAnsi="Calibri" w:cs="Calibri"/>
          <w:lang w:val="en-GB"/>
        </w:rPr>
        <w:t xml:space="preserve">] </w:t>
      </w:r>
      <w:r w:rsidRPr="00063682">
        <w:rPr>
          <w:rFonts w:ascii="Calibri" w:eastAsia="Calibri" w:hAnsi="Calibri" w:cs="Calibri"/>
          <w:lang w:val="en-GB"/>
        </w:rPr>
        <w:tab/>
      </w:r>
      <w:r w:rsidR="007B5B37" w:rsidRPr="00063682">
        <w:rPr>
          <w:rFonts w:ascii="Calibri" w:eastAsia="Calibri" w:hAnsi="Calibri" w:cs="Calibri"/>
          <w:lang w:val="en-GB"/>
        </w:rPr>
        <w:t xml:space="preserve">Y. Dai, M. </w:t>
      </w:r>
      <w:proofErr w:type="spellStart"/>
      <w:r w:rsidR="007B5B37" w:rsidRPr="00063682">
        <w:rPr>
          <w:rFonts w:ascii="Calibri" w:eastAsia="Calibri" w:hAnsi="Calibri" w:cs="Calibri"/>
          <w:lang w:val="en-GB"/>
        </w:rPr>
        <w:t>Noebels</w:t>
      </w:r>
      <w:proofErr w:type="spellEnd"/>
      <w:r w:rsidR="007B5B37" w:rsidRPr="00063682">
        <w:rPr>
          <w:rFonts w:ascii="Calibri" w:eastAsia="Calibri" w:hAnsi="Calibri" w:cs="Calibri"/>
          <w:lang w:val="en-GB"/>
        </w:rPr>
        <w:t xml:space="preserve">, R. Preece, M. Panteli and I. Dobson, </w:t>
      </w:r>
      <w:r w:rsidR="00921FD2" w:rsidRPr="00063682">
        <w:rPr>
          <w:rFonts w:ascii="Calibri" w:eastAsia="Calibri" w:hAnsi="Calibri" w:cs="Calibri"/>
          <w:lang w:val="en-GB"/>
        </w:rPr>
        <w:t>“</w:t>
      </w:r>
      <w:r w:rsidR="007B5B37" w:rsidRPr="00063682">
        <w:rPr>
          <w:rFonts w:ascii="Calibri" w:eastAsia="Calibri" w:hAnsi="Calibri" w:cs="Calibri"/>
          <w:lang w:val="en-GB"/>
        </w:rPr>
        <w:t>Risk Assessment and Mitigation of Cascading Failures Using Critical Line Sensitivities,</w:t>
      </w:r>
      <w:r w:rsidR="00921FD2" w:rsidRPr="00063682">
        <w:rPr>
          <w:rFonts w:ascii="Calibri" w:eastAsia="Calibri" w:hAnsi="Calibri" w:cs="Calibri"/>
          <w:lang w:val="en-GB"/>
        </w:rPr>
        <w:t>”</w:t>
      </w:r>
      <w:r w:rsidR="007B5B37" w:rsidRPr="00063682">
        <w:rPr>
          <w:rFonts w:ascii="Calibri" w:eastAsia="Calibri" w:hAnsi="Calibri" w:cs="Calibri"/>
          <w:lang w:val="en-GB"/>
        </w:rPr>
        <w:t xml:space="preserve"> in </w:t>
      </w:r>
      <w:r w:rsidR="007B5B37" w:rsidRPr="00063682">
        <w:rPr>
          <w:rFonts w:ascii="Calibri" w:eastAsia="Calibri" w:hAnsi="Calibri" w:cs="Calibri"/>
          <w:i/>
          <w:iCs/>
          <w:lang w:val="en-GB"/>
        </w:rPr>
        <w:t>IEEE Transactions on Power Systems</w:t>
      </w:r>
      <w:r w:rsidR="007B5B37" w:rsidRPr="00063682">
        <w:rPr>
          <w:rFonts w:ascii="Calibri" w:eastAsia="Calibri" w:hAnsi="Calibri" w:cs="Calibri"/>
          <w:lang w:val="en-GB"/>
        </w:rPr>
        <w:t xml:space="preserve">, </w:t>
      </w:r>
      <w:proofErr w:type="spellStart"/>
      <w:r w:rsidR="007B5B37" w:rsidRPr="00063682">
        <w:rPr>
          <w:rFonts w:ascii="Calibri" w:eastAsia="Calibri" w:hAnsi="Calibri" w:cs="Calibri"/>
          <w:lang w:val="en-GB"/>
        </w:rPr>
        <w:t>doi</w:t>
      </w:r>
      <w:proofErr w:type="spellEnd"/>
      <w:r w:rsidR="007B5B37" w:rsidRPr="00063682">
        <w:rPr>
          <w:rFonts w:ascii="Calibri" w:eastAsia="Calibri" w:hAnsi="Calibri" w:cs="Calibri"/>
          <w:lang w:val="en-GB"/>
        </w:rPr>
        <w:t>: 10.1109/TPWRS.2023.3305093.</w:t>
      </w:r>
    </w:p>
    <w:p w14:paraId="61A7879A" w14:textId="77777777" w:rsidR="007B5B37" w:rsidRPr="00063682" w:rsidRDefault="007B5B37" w:rsidP="0085084A">
      <w:pPr>
        <w:pStyle w:val="NoSpacing"/>
        <w:jc w:val="both"/>
        <w:rPr>
          <w:lang w:val="en-GB"/>
        </w:rPr>
      </w:pPr>
    </w:p>
    <w:p w14:paraId="68285B43" w14:textId="3604A12D" w:rsidR="007B5B37" w:rsidRPr="00063682" w:rsidRDefault="00AF36AB" w:rsidP="0085084A">
      <w:pPr>
        <w:pStyle w:val="NoSpacing"/>
        <w:jc w:val="both"/>
        <w:rPr>
          <w:lang w:val="en-GB"/>
        </w:rPr>
      </w:pPr>
      <w:r w:rsidRPr="00063682">
        <w:rPr>
          <w:lang w:val="en-GB"/>
        </w:rPr>
        <w:t>[18</w:t>
      </w:r>
      <w:r w:rsidR="00F63986" w:rsidRPr="00063682">
        <w:rPr>
          <w:lang w:val="en-GB"/>
        </w:rPr>
        <w:t>]</w:t>
      </w:r>
      <w:r w:rsidR="00FA4A98" w:rsidRPr="00063682">
        <w:rPr>
          <w:lang w:val="en-GB"/>
        </w:rPr>
        <w:t xml:space="preserve"> </w:t>
      </w:r>
      <w:r w:rsidRPr="00063682">
        <w:rPr>
          <w:lang w:val="en-GB"/>
        </w:rPr>
        <w:tab/>
      </w:r>
      <w:r w:rsidR="00FA4A98" w:rsidRPr="00063682">
        <w:rPr>
          <w:lang w:val="en-GB"/>
        </w:rPr>
        <w:t xml:space="preserve">Ofgem (2022). </w:t>
      </w:r>
      <w:r w:rsidR="00921FD2" w:rsidRPr="00063682">
        <w:rPr>
          <w:lang w:val="en-GB"/>
        </w:rPr>
        <w:t>“</w:t>
      </w:r>
      <w:r w:rsidR="00FA4A98" w:rsidRPr="00063682">
        <w:rPr>
          <w:lang w:val="en-GB"/>
        </w:rPr>
        <w:t>Storm Arwen</w:t>
      </w:r>
      <w:r w:rsidR="00AA7E21" w:rsidRPr="00063682">
        <w:rPr>
          <w:lang w:val="en-GB"/>
        </w:rPr>
        <w:t xml:space="preserve"> technical Review of DNO Response</w:t>
      </w:r>
      <w:r w:rsidR="00921FD2" w:rsidRPr="00063682">
        <w:rPr>
          <w:lang w:val="en-GB"/>
        </w:rPr>
        <w:t>”</w:t>
      </w:r>
      <w:r w:rsidR="00AA7E21" w:rsidRPr="00063682">
        <w:rPr>
          <w:lang w:val="en-GB"/>
        </w:rPr>
        <w:t>. Available at:</w:t>
      </w:r>
      <w:r w:rsidR="003E42DA" w:rsidRPr="00063682">
        <w:rPr>
          <w:lang w:val="en-GB"/>
        </w:rPr>
        <w:t xml:space="preserve"> </w:t>
      </w:r>
      <w:hyperlink r:id="rId18" w:history="1">
        <w:r w:rsidR="003E42DA" w:rsidRPr="00063682">
          <w:rPr>
            <w:rStyle w:val="Hyperlink"/>
            <w:lang w:val="en-GB"/>
          </w:rPr>
          <w:t>https://www.ofgem.gov.uk/sites/default/files/2022-06/GHD%20-%20Storm%20Arwen%20Review%20Main%20Report.pdf</w:t>
        </w:r>
      </w:hyperlink>
      <w:r w:rsidR="003E42DA" w:rsidRPr="00063682">
        <w:rPr>
          <w:lang w:val="en-GB"/>
        </w:rPr>
        <w:t xml:space="preserve"> </w:t>
      </w:r>
    </w:p>
    <w:p w14:paraId="0474D666" w14:textId="77777777" w:rsidR="00203999" w:rsidRPr="00063682" w:rsidRDefault="00203999" w:rsidP="0085084A">
      <w:pPr>
        <w:pStyle w:val="NoSpacing"/>
        <w:jc w:val="both"/>
        <w:rPr>
          <w:lang w:val="en-GB"/>
        </w:rPr>
      </w:pPr>
    </w:p>
    <w:p w14:paraId="07932367" w14:textId="6AA8023B" w:rsidR="00203999" w:rsidRPr="00063682" w:rsidRDefault="00AF36AB" w:rsidP="0085084A">
      <w:pPr>
        <w:pStyle w:val="NoSpacing"/>
        <w:jc w:val="both"/>
        <w:rPr>
          <w:lang w:val="en-GB"/>
        </w:rPr>
      </w:pPr>
      <w:r w:rsidRPr="00063682">
        <w:rPr>
          <w:lang w:val="en-GB"/>
        </w:rPr>
        <w:t>[19</w:t>
      </w:r>
      <w:r w:rsidR="00203999" w:rsidRPr="00063682">
        <w:rPr>
          <w:lang w:val="en-GB"/>
        </w:rPr>
        <w:t xml:space="preserve">] </w:t>
      </w:r>
      <w:r w:rsidRPr="00063682">
        <w:rPr>
          <w:lang w:val="en-GB"/>
        </w:rPr>
        <w:tab/>
      </w:r>
      <w:r w:rsidR="00203999" w:rsidRPr="00063682">
        <w:rPr>
          <w:lang w:val="en-GB"/>
        </w:rPr>
        <w:t xml:space="preserve">L. Souto, P. C. Taylor and M. </w:t>
      </w:r>
      <w:proofErr w:type="spellStart"/>
      <w:r w:rsidR="00203999" w:rsidRPr="00063682">
        <w:rPr>
          <w:lang w:val="en-GB"/>
        </w:rPr>
        <w:t>Pregnolato</w:t>
      </w:r>
      <w:proofErr w:type="spellEnd"/>
      <w:r w:rsidR="00203999" w:rsidRPr="00063682">
        <w:rPr>
          <w:lang w:val="en-GB"/>
        </w:rPr>
        <w:t xml:space="preserve">, "Routing and Dispatching of Mobile Storage Units for a Resilient Response to Severe Weather Events in Low Voltage Smart Grids," 2022 IEEE PES Innovative Smart Grid Technologies Conference Europe (ISGT-Europe), Novi Sad, Serbia, 2022, pp. 1-5, </w:t>
      </w:r>
      <w:proofErr w:type="spellStart"/>
      <w:r w:rsidR="00203999" w:rsidRPr="00063682">
        <w:rPr>
          <w:lang w:val="en-GB"/>
        </w:rPr>
        <w:t>doi</w:t>
      </w:r>
      <w:proofErr w:type="spellEnd"/>
      <w:r w:rsidR="00203999" w:rsidRPr="00063682">
        <w:rPr>
          <w:lang w:val="en-GB"/>
        </w:rPr>
        <w:t>: 10.1109/ISGT-Europe54678.2022.9960695.</w:t>
      </w:r>
    </w:p>
    <w:p w14:paraId="519B296D" w14:textId="77777777" w:rsidR="001F45A8" w:rsidRPr="00063682" w:rsidRDefault="001F45A8" w:rsidP="0085084A">
      <w:pPr>
        <w:pStyle w:val="NoSpacing"/>
        <w:jc w:val="both"/>
        <w:rPr>
          <w:lang w:val="en-GB"/>
        </w:rPr>
      </w:pPr>
    </w:p>
    <w:p w14:paraId="7DC0E019" w14:textId="4A6A7BD5" w:rsidR="00A04ADD" w:rsidRPr="00063682" w:rsidRDefault="00AF36AB" w:rsidP="0085084A">
      <w:pPr>
        <w:pStyle w:val="NoSpacing"/>
        <w:jc w:val="both"/>
        <w:rPr>
          <w:lang w:val="en-GB"/>
        </w:rPr>
      </w:pPr>
      <w:r w:rsidRPr="00063682">
        <w:rPr>
          <w:lang w:val="en-GB"/>
        </w:rPr>
        <w:t>[20</w:t>
      </w:r>
      <w:r w:rsidR="00A04ADD" w:rsidRPr="00063682">
        <w:rPr>
          <w:lang w:val="en-GB"/>
        </w:rPr>
        <w:t xml:space="preserve">] </w:t>
      </w:r>
      <w:r w:rsidRPr="00063682">
        <w:rPr>
          <w:lang w:val="en-GB"/>
        </w:rPr>
        <w:tab/>
      </w:r>
      <w:r w:rsidR="00EC74C6" w:rsidRPr="00063682">
        <w:rPr>
          <w:lang w:val="en-GB"/>
        </w:rPr>
        <w:t xml:space="preserve">California ISO (2022). </w:t>
      </w:r>
      <w:r w:rsidR="008660A7" w:rsidRPr="00063682">
        <w:rPr>
          <w:lang w:val="en-GB"/>
        </w:rPr>
        <w:t xml:space="preserve">“Rotating power outages are now possible to protect grid”. </w:t>
      </w:r>
      <w:r w:rsidR="00A04ADD" w:rsidRPr="00063682">
        <w:rPr>
          <w:lang w:val="en-GB"/>
        </w:rPr>
        <w:t>Available at:</w:t>
      </w:r>
      <w:r w:rsidR="00EC74C6" w:rsidRPr="00063682">
        <w:rPr>
          <w:lang w:val="en-GB"/>
        </w:rPr>
        <w:t xml:space="preserve"> </w:t>
      </w:r>
      <w:hyperlink r:id="rId19" w:history="1">
        <w:r w:rsidR="00EC74C6" w:rsidRPr="00063682">
          <w:rPr>
            <w:rStyle w:val="Hyperlink"/>
            <w:lang w:val="en-GB"/>
          </w:rPr>
          <w:t>https://www.caiso.com/Documents/rotating-power-outages-are-now-possible-to-protect-grid.pdf</w:t>
        </w:r>
      </w:hyperlink>
      <w:r w:rsidR="00EC74C6" w:rsidRPr="00063682">
        <w:rPr>
          <w:lang w:val="en-GB"/>
        </w:rPr>
        <w:t xml:space="preserve"> </w:t>
      </w:r>
    </w:p>
    <w:p w14:paraId="11149110" w14:textId="77777777" w:rsidR="00C00117" w:rsidRPr="00063682" w:rsidRDefault="00C00117" w:rsidP="0085084A">
      <w:pPr>
        <w:pStyle w:val="NoSpacing"/>
        <w:jc w:val="both"/>
        <w:rPr>
          <w:lang w:val="en-GB"/>
        </w:rPr>
      </w:pPr>
    </w:p>
    <w:p w14:paraId="72CACA15" w14:textId="721D7185" w:rsidR="00C00117" w:rsidRPr="00063682" w:rsidRDefault="00AF36AB" w:rsidP="0085084A">
      <w:pPr>
        <w:pStyle w:val="NoSpacing"/>
        <w:jc w:val="both"/>
        <w:rPr>
          <w:lang w:val="en-GB"/>
        </w:rPr>
      </w:pPr>
      <w:r w:rsidRPr="00063682">
        <w:rPr>
          <w:lang w:val="en-GB"/>
        </w:rPr>
        <w:t>[21</w:t>
      </w:r>
      <w:r w:rsidR="00C00117" w:rsidRPr="00063682">
        <w:rPr>
          <w:lang w:val="en-GB"/>
        </w:rPr>
        <w:t>]</w:t>
      </w:r>
      <w:r w:rsidR="002F09E1" w:rsidRPr="00063682">
        <w:rPr>
          <w:lang w:val="en-GB"/>
        </w:rPr>
        <w:t xml:space="preserve"> </w:t>
      </w:r>
      <w:r w:rsidRPr="00063682">
        <w:rPr>
          <w:lang w:val="en-GB"/>
        </w:rPr>
        <w:tab/>
      </w:r>
      <w:r w:rsidR="002F09E1" w:rsidRPr="00063682">
        <w:rPr>
          <w:lang w:val="en-GB"/>
        </w:rPr>
        <w:t>Australian Energy Market Operator</w:t>
      </w:r>
      <w:r w:rsidR="00196809" w:rsidRPr="00063682">
        <w:rPr>
          <w:lang w:val="en-GB"/>
        </w:rPr>
        <w:t xml:space="preserve"> (2020)</w:t>
      </w:r>
      <w:r w:rsidR="002F09E1" w:rsidRPr="00063682">
        <w:rPr>
          <w:lang w:val="en-GB"/>
        </w:rPr>
        <w:t>.</w:t>
      </w:r>
      <w:r w:rsidR="00C00117" w:rsidRPr="00063682">
        <w:rPr>
          <w:lang w:val="en-GB"/>
        </w:rPr>
        <w:t xml:space="preserve"> </w:t>
      </w:r>
      <w:r w:rsidR="002F09E1" w:rsidRPr="00063682">
        <w:rPr>
          <w:lang w:val="en-GB"/>
        </w:rPr>
        <w:t xml:space="preserve">2020 ISP Appendix 8. Resilience and Climate Change. </w:t>
      </w:r>
      <w:r w:rsidR="00C00117" w:rsidRPr="00063682">
        <w:rPr>
          <w:lang w:val="en-GB"/>
        </w:rPr>
        <w:t xml:space="preserve">Available at: </w:t>
      </w:r>
      <w:hyperlink r:id="rId20" w:history="1">
        <w:r w:rsidR="00C00117" w:rsidRPr="00063682">
          <w:rPr>
            <w:rStyle w:val="Hyperlink"/>
            <w:lang w:val="en-GB"/>
          </w:rPr>
          <w:t>https://aemo.com.au/-/media/files/major-publications/isp/2020/appendix--8.pdf</w:t>
        </w:r>
      </w:hyperlink>
      <w:r w:rsidR="00C00117" w:rsidRPr="00063682">
        <w:rPr>
          <w:lang w:val="en-GB"/>
        </w:rPr>
        <w:t xml:space="preserve"> </w:t>
      </w:r>
    </w:p>
    <w:p w14:paraId="7F14F203" w14:textId="77777777" w:rsidR="001F45A8" w:rsidRPr="00063682" w:rsidRDefault="001F45A8" w:rsidP="0085084A">
      <w:pPr>
        <w:pStyle w:val="NoSpacing"/>
        <w:jc w:val="both"/>
        <w:rPr>
          <w:lang w:val="en-GB"/>
        </w:rPr>
      </w:pPr>
    </w:p>
    <w:p w14:paraId="3BFA830B" w14:textId="6E98DEAB" w:rsidR="001F45A8" w:rsidRPr="00063682" w:rsidRDefault="00AF36AB" w:rsidP="0085084A">
      <w:pPr>
        <w:pStyle w:val="NoSpacing"/>
        <w:jc w:val="both"/>
        <w:rPr>
          <w:lang w:val="en-GB"/>
        </w:rPr>
      </w:pPr>
      <w:r w:rsidRPr="00063682">
        <w:rPr>
          <w:lang w:val="en-GB"/>
        </w:rPr>
        <w:t>[22</w:t>
      </w:r>
      <w:r w:rsidR="001F45A8" w:rsidRPr="00063682">
        <w:rPr>
          <w:lang w:val="en-GB"/>
        </w:rPr>
        <w:t xml:space="preserve">] </w:t>
      </w:r>
      <w:r w:rsidRPr="00063682">
        <w:rPr>
          <w:lang w:val="en-GB"/>
        </w:rPr>
        <w:tab/>
      </w:r>
      <w:r w:rsidR="00977F9D" w:rsidRPr="00063682">
        <w:rPr>
          <w:lang w:val="en-GB"/>
        </w:rPr>
        <w:t xml:space="preserve">Francisco José </w:t>
      </w:r>
      <w:proofErr w:type="spellStart"/>
      <w:r w:rsidR="00977F9D" w:rsidRPr="00063682">
        <w:rPr>
          <w:lang w:val="en-GB"/>
        </w:rPr>
        <w:t>Arteiro</w:t>
      </w:r>
      <w:proofErr w:type="spellEnd"/>
      <w:r w:rsidR="00977F9D" w:rsidRPr="00063682">
        <w:rPr>
          <w:lang w:val="en-GB"/>
        </w:rPr>
        <w:t xml:space="preserve"> de Oliveira (org.</w:t>
      </w:r>
      <w:r w:rsidR="003D4895" w:rsidRPr="00063682">
        <w:rPr>
          <w:lang w:val="en-GB"/>
        </w:rPr>
        <w:t>)</w:t>
      </w:r>
      <w:r w:rsidR="00977F9D" w:rsidRPr="00063682">
        <w:rPr>
          <w:lang w:val="en-GB"/>
        </w:rPr>
        <w:t xml:space="preserve"> </w:t>
      </w:r>
      <w:r w:rsidR="000C30B6" w:rsidRPr="00063682">
        <w:rPr>
          <w:lang w:val="en-GB"/>
        </w:rPr>
        <w:t>“</w:t>
      </w:r>
      <w:r w:rsidR="00977F9D" w:rsidRPr="00063682">
        <w:rPr>
          <w:lang w:val="en-GB"/>
        </w:rPr>
        <w:t xml:space="preserve">O </w:t>
      </w:r>
      <w:proofErr w:type="spellStart"/>
      <w:r w:rsidR="00977F9D" w:rsidRPr="00063682">
        <w:rPr>
          <w:lang w:val="en-GB"/>
        </w:rPr>
        <w:t>planejamento</w:t>
      </w:r>
      <w:proofErr w:type="spellEnd"/>
      <w:r w:rsidR="00977F9D" w:rsidRPr="00063682">
        <w:rPr>
          <w:lang w:val="en-GB"/>
        </w:rPr>
        <w:t xml:space="preserve"> da </w:t>
      </w:r>
      <w:proofErr w:type="spellStart"/>
      <w:r w:rsidR="00977F9D" w:rsidRPr="00063682">
        <w:rPr>
          <w:lang w:val="en-GB"/>
        </w:rPr>
        <w:t>operação</w:t>
      </w:r>
      <w:proofErr w:type="spellEnd"/>
      <w:r w:rsidR="00977F9D" w:rsidRPr="00063682">
        <w:rPr>
          <w:lang w:val="en-GB"/>
        </w:rPr>
        <w:t xml:space="preserve"> </w:t>
      </w:r>
      <w:proofErr w:type="spellStart"/>
      <w:r w:rsidR="00977F9D" w:rsidRPr="00063682">
        <w:rPr>
          <w:lang w:val="en-GB"/>
        </w:rPr>
        <w:t>energética</w:t>
      </w:r>
      <w:proofErr w:type="spellEnd"/>
      <w:r w:rsidR="00977F9D" w:rsidRPr="00063682">
        <w:rPr>
          <w:lang w:val="en-GB"/>
        </w:rPr>
        <w:t xml:space="preserve"> no </w:t>
      </w:r>
      <w:proofErr w:type="spellStart"/>
      <w:r w:rsidR="00977F9D" w:rsidRPr="00063682">
        <w:rPr>
          <w:lang w:val="en-GB"/>
        </w:rPr>
        <w:t>sistema</w:t>
      </w:r>
      <w:proofErr w:type="spellEnd"/>
      <w:r w:rsidR="00977F9D" w:rsidRPr="00063682">
        <w:rPr>
          <w:lang w:val="en-GB"/>
        </w:rPr>
        <w:t xml:space="preserve">: </w:t>
      </w:r>
      <w:proofErr w:type="spellStart"/>
      <w:r w:rsidR="00977F9D" w:rsidRPr="00063682">
        <w:rPr>
          <w:lang w:val="en-GB"/>
        </w:rPr>
        <w:t>conceitos</w:t>
      </w:r>
      <w:proofErr w:type="spellEnd"/>
      <w:r w:rsidR="00977F9D" w:rsidRPr="00063682">
        <w:rPr>
          <w:lang w:val="en-GB"/>
        </w:rPr>
        <w:t xml:space="preserve">, </w:t>
      </w:r>
      <w:proofErr w:type="spellStart"/>
      <w:r w:rsidR="00977F9D" w:rsidRPr="00063682">
        <w:rPr>
          <w:lang w:val="en-GB"/>
        </w:rPr>
        <w:t>modelagem</w:t>
      </w:r>
      <w:proofErr w:type="spellEnd"/>
      <w:r w:rsidR="00977F9D" w:rsidRPr="00063682">
        <w:rPr>
          <w:lang w:val="en-GB"/>
        </w:rPr>
        <w:t xml:space="preserve"> </w:t>
      </w:r>
      <w:proofErr w:type="spellStart"/>
      <w:r w:rsidR="00977F9D" w:rsidRPr="00063682">
        <w:rPr>
          <w:lang w:val="en-GB"/>
        </w:rPr>
        <w:t>matemática</w:t>
      </w:r>
      <w:proofErr w:type="spellEnd"/>
      <w:r w:rsidR="00977F9D" w:rsidRPr="00063682">
        <w:rPr>
          <w:lang w:val="en-GB"/>
        </w:rPr>
        <w:t xml:space="preserve">, </w:t>
      </w:r>
      <w:proofErr w:type="spellStart"/>
      <w:r w:rsidR="00977F9D" w:rsidRPr="00063682">
        <w:rPr>
          <w:lang w:val="en-GB"/>
        </w:rPr>
        <w:t>previsão</w:t>
      </w:r>
      <w:proofErr w:type="spellEnd"/>
      <w:r w:rsidR="00977F9D" w:rsidRPr="00063682">
        <w:rPr>
          <w:lang w:val="en-GB"/>
        </w:rPr>
        <w:t xml:space="preserve"> de </w:t>
      </w:r>
      <w:proofErr w:type="spellStart"/>
      <w:r w:rsidR="00977F9D" w:rsidRPr="00063682">
        <w:rPr>
          <w:lang w:val="en-GB"/>
        </w:rPr>
        <w:t>geração</w:t>
      </w:r>
      <w:proofErr w:type="spellEnd"/>
      <w:r w:rsidR="00977F9D" w:rsidRPr="00063682">
        <w:rPr>
          <w:lang w:val="en-GB"/>
        </w:rPr>
        <w:t xml:space="preserve"> e </w:t>
      </w:r>
      <w:proofErr w:type="spellStart"/>
      <w:r w:rsidR="00977F9D" w:rsidRPr="00063682">
        <w:rPr>
          <w:lang w:val="en-GB"/>
        </w:rPr>
        <w:t>carga</w:t>
      </w:r>
      <w:proofErr w:type="spellEnd"/>
      <w:r w:rsidR="000C30B6" w:rsidRPr="00063682">
        <w:rPr>
          <w:lang w:val="en-GB"/>
        </w:rPr>
        <w:t>”</w:t>
      </w:r>
      <w:r w:rsidR="00376042" w:rsidRPr="00063682">
        <w:rPr>
          <w:lang w:val="en-GB"/>
        </w:rPr>
        <w:t xml:space="preserve"> (In Portuguese)</w:t>
      </w:r>
      <w:r w:rsidR="00977F9D" w:rsidRPr="00063682">
        <w:rPr>
          <w:lang w:val="en-GB"/>
        </w:rPr>
        <w:t xml:space="preserve">. São Paulo: </w:t>
      </w:r>
      <w:proofErr w:type="spellStart"/>
      <w:r w:rsidR="00977F9D" w:rsidRPr="00063682">
        <w:rPr>
          <w:lang w:val="en-GB"/>
        </w:rPr>
        <w:t>Artliber</w:t>
      </w:r>
      <w:proofErr w:type="spellEnd"/>
      <w:r w:rsidR="00977F9D" w:rsidRPr="00063682">
        <w:rPr>
          <w:lang w:val="en-GB"/>
        </w:rPr>
        <w:t xml:space="preserve">, 2020. 402 p. : il., </w:t>
      </w:r>
      <w:proofErr w:type="spellStart"/>
      <w:r w:rsidR="00977F9D" w:rsidRPr="00063682">
        <w:rPr>
          <w:lang w:val="en-GB"/>
        </w:rPr>
        <w:t>color</w:t>
      </w:r>
      <w:proofErr w:type="spellEnd"/>
      <w:r w:rsidR="00977F9D" w:rsidRPr="00063682">
        <w:rPr>
          <w:lang w:val="en-GB"/>
        </w:rPr>
        <w:t>. ISBN: 978-65-86443-02-8</w:t>
      </w:r>
      <w:r w:rsidR="00376042" w:rsidRPr="00063682">
        <w:rPr>
          <w:lang w:val="en-GB"/>
        </w:rPr>
        <w:t xml:space="preserve">. </w:t>
      </w:r>
      <w:r w:rsidR="001F45A8" w:rsidRPr="00063682">
        <w:rPr>
          <w:lang w:val="en-GB"/>
        </w:rPr>
        <w:t xml:space="preserve">Available at: </w:t>
      </w:r>
      <w:hyperlink r:id="rId21" w:history="1">
        <w:r w:rsidR="00376042" w:rsidRPr="00063682">
          <w:rPr>
            <w:rStyle w:val="Hyperlink"/>
            <w:lang w:val="en-GB"/>
          </w:rPr>
          <w:t>https://www.ons.org.br/AcervoDigitalDocumentosEPublicacoes/Livros-da-Diretoria-de-Planejamento-na-biblioteca-digital-ONS/LIVRO-O-PLANEJAMENTO-DA-OPERA%C3%87%C3%83O-ENERG%C3%89TICA-NO-SISTEMA%20INTERLIGADO-NACIONAL.pdf</w:t>
        </w:r>
      </w:hyperlink>
      <w:r w:rsidR="00376042" w:rsidRPr="00063682">
        <w:rPr>
          <w:lang w:val="en-GB"/>
        </w:rPr>
        <w:t xml:space="preserve"> </w:t>
      </w:r>
    </w:p>
    <w:p w14:paraId="3A1C5A2A" w14:textId="77777777" w:rsidR="0082759F" w:rsidRPr="00063682" w:rsidRDefault="0082759F" w:rsidP="0085084A">
      <w:pPr>
        <w:pStyle w:val="NoSpacing"/>
        <w:jc w:val="both"/>
        <w:rPr>
          <w:lang w:val="en-GB"/>
        </w:rPr>
      </w:pPr>
    </w:p>
    <w:p w14:paraId="0E8C3880" w14:textId="79A340ED" w:rsidR="00B47455" w:rsidRPr="00063682" w:rsidRDefault="00AF36AB" w:rsidP="0085084A">
      <w:pPr>
        <w:pStyle w:val="NoSpacing"/>
        <w:jc w:val="both"/>
        <w:rPr>
          <w:lang w:val="en-GB"/>
        </w:rPr>
      </w:pPr>
      <w:r w:rsidRPr="00063682">
        <w:rPr>
          <w:lang w:val="en-GB"/>
        </w:rPr>
        <w:t>[23</w:t>
      </w:r>
      <w:r w:rsidR="00B47455" w:rsidRPr="00063682">
        <w:rPr>
          <w:lang w:val="en-GB"/>
        </w:rPr>
        <w:t xml:space="preserve">] </w:t>
      </w:r>
      <w:r w:rsidRPr="00063682">
        <w:rPr>
          <w:lang w:val="en-GB"/>
        </w:rPr>
        <w:tab/>
      </w:r>
      <w:proofErr w:type="spellStart"/>
      <w:r w:rsidR="00B379F0" w:rsidRPr="00063682">
        <w:rPr>
          <w:lang w:val="en-GB"/>
        </w:rPr>
        <w:t>Agência</w:t>
      </w:r>
      <w:proofErr w:type="spellEnd"/>
      <w:r w:rsidR="00B379F0" w:rsidRPr="00063682">
        <w:rPr>
          <w:lang w:val="en-GB"/>
        </w:rPr>
        <w:t xml:space="preserve"> Nacional de </w:t>
      </w:r>
      <w:proofErr w:type="spellStart"/>
      <w:r w:rsidR="00B379F0" w:rsidRPr="00063682">
        <w:rPr>
          <w:lang w:val="en-GB"/>
        </w:rPr>
        <w:t>Energia</w:t>
      </w:r>
      <w:proofErr w:type="spellEnd"/>
      <w:r w:rsidR="00B379F0" w:rsidRPr="00063682">
        <w:rPr>
          <w:lang w:val="en-GB"/>
        </w:rPr>
        <w:t xml:space="preserve"> </w:t>
      </w:r>
      <w:proofErr w:type="spellStart"/>
      <w:r w:rsidR="00B379F0" w:rsidRPr="00063682">
        <w:rPr>
          <w:lang w:val="en-GB"/>
        </w:rPr>
        <w:t>Elétrica</w:t>
      </w:r>
      <w:proofErr w:type="spellEnd"/>
      <w:r w:rsidR="00B379F0" w:rsidRPr="00063682">
        <w:rPr>
          <w:lang w:val="en-GB"/>
        </w:rPr>
        <w:t xml:space="preserve"> – ANEEL (20</w:t>
      </w:r>
      <w:r w:rsidR="004904D6" w:rsidRPr="00063682">
        <w:rPr>
          <w:lang w:val="en-GB"/>
        </w:rPr>
        <w:t>21</w:t>
      </w:r>
      <w:r w:rsidR="00B379F0" w:rsidRPr="00063682">
        <w:rPr>
          <w:lang w:val="en-GB"/>
        </w:rPr>
        <w:t>). “</w:t>
      </w:r>
      <w:proofErr w:type="spellStart"/>
      <w:r w:rsidR="00B379F0" w:rsidRPr="00063682">
        <w:rPr>
          <w:lang w:val="en-GB"/>
        </w:rPr>
        <w:t>Procedimentos</w:t>
      </w:r>
      <w:proofErr w:type="spellEnd"/>
      <w:r w:rsidR="00B379F0" w:rsidRPr="00063682">
        <w:rPr>
          <w:lang w:val="en-GB"/>
        </w:rPr>
        <w:t xml:space="preserve"> de </w:t>
      </w:r>
      <w:proofErr w:type="spellStart"/>
      <w:r w:rsidR="00B379F0" w:rsidRPr="00063682">
        <w:rPr>
          <w:lang w:val="en-GB"/>
        </w:rPr>
        <w:t>Distribuição</w:t>
      </w:r>
      <w:proofErr w:type="spellEnd"/>
      <w:r w:rsidR="00B379F0" w:rsidRPr="00063682">
        <w:rPr>
          <w:lang w:val="en-GB"/>
        </w:rPr>
        <w:t xml:space="preserve"> de </w:t>
      </w:r>
      <w:proofErr w:type="spellStart"/>
      <w:r w:rsidR="00B379F0" w:rsidRPr="00063682">
        <w:rPr>
          <w:lang w:val="en-GB"/>
        </w:rPr>
        <w:t>Energia</w:t>
      </w:r>
      <w:proofErr w:type="spellEnd"/>
      <w:r w:rsidR="00B379F0" w:rsidRPr="00063682">
        <w:rPr>
          <w:lang w:val="en-GB"/>
        </w:rPr>
        <w:t xml:space="preserve"> </w:t>
      </w:r>
      <w:proofErr w:type="spellStart"/>
      <w:r w:rsidR="00B379F0" w:rsidRPr="00063682">
        <w:rPr>
          <w:lang w:val="en-GB"/>
        </w:rPr>
        <w:t>Elétrica</w:t>
      </w:r>
      <w:proofErr w:type="spellEnd"/>
      <w:r w:rsidR="00B379F0" w:rsidRPr="00063682">
        <w:rPr>
          <w:lang w:val="en-GB"/>
        </w:rPr>
        <w:t xml:space="preserve"> no Sistema </w:t>
      </w:r>
      <w:proofErr w:type="spellStart"/>
      <w:r w:rsidR="00B379F0" w:rsidRPr="00063682">
        <w:rPr>
          <w:lang w:val="en-GB"/>
        </w:rPr>
        <w:t>Elétrico</w:t>
      </w:r>
      <w:proofErr w:type="spellEnd"/>
      <w:r w:rsidR="00B379F0" w:rsidRPr="00063682">
        <w:rPr>
          <w:lang w:val="en-GB"/>
        </w:rPr>
        <w:t xml:space="preserve"> Nacional – PRODIST. </w:t>
      </w:r>
      <w:proofErr w:type="spellStart"/>
      <w:r w:rsidR="00B379F0" w:rsidRPr="00063682">
        <w:rPr>
          <w:lang w:val="en-GB"/>
        </w:rPr>
        <w:t>Módulo</w:t>
      </w:r>
      <w:proofErr w:type="spellEnd"/>
      <w:r w:rsidR="00B379F0" w:rsidRPr="00063682">
        <w:rPr>
          <w:lang w:val="en-GB"/>
        </w:rPr>
        <w:t xml:space="preserve"> 8 – </w:t>
      </w:r>
      <w:proofErr w:type="spellStart"/>
      <w:r w:rsidR="00B379F0" w:rsidRPr="00063682">
        <w:rPr>
          <w:lang w:val="en-GB"/>
        </w:rPr>
        <w:t>Qualidade</w:t>
      </w:r>
      <w:proofErr w:type="spellEnd"/>
      <w:r w:rsidR="00B379F0" w:rsidRPr="00063682">
        <w:rPr>
          <w:lang w:val="en-GB"/>
        </w:rPr>
        <w:t xml:space="preserve"> da </w:t>
      </w:r>
      <w:proofErr w:type="spellStart"/>
      <w:r w:rsidR="00B379F0" w:rsidRPr="00063682">
        <w:rPr>
          <w:lang w:val="en-GB"/>
        </w:rPr>
        <w:t>Energia</w:t>
      </w:r>
      <w:proofErr w:type="spellEnd"/>
      <w:r w:rsidR="00B379F0" w:rsidRPr="00063682">
        <w:rPr>
          <w:lang w:val="en-GB"/>
        </w:rPr>
        <w:t xml:space="preserve"> </w:t>
      </w:r>
      <w:proofErr w:type="spellStart"/>
      <w:r w:rsidR="00B379F0" w:rsidRPr="00063682">
        <w:rPr>
          <w:lang w:val="en-GB"/>
        </w:rPr>
        <w:t>Elétrica</w:t>
      </w:r>
      <w:proofErr w:type="spellEnd"/>
      <w:r w:rsidR="00B379F0" w:rsidRPr="00063682">
        <w:rPr>
          <w:lang w:val="en-GB"/>
        </w:rPr>
        <w:t>”</w:t>
      </w:r>
      <w:r w:rsidR="00577D61" w:rsidRPr="00063682">
        <w:rPr>
          <w:lang w:val="en-GB"/>
        </w:rPr>
        <w:t xml:space="preserve"> (in Portuguese). </w:t>
      </w:r>
      <w:r w:rsidR="009376E6" w:rsidRPr="00063682">
        <w:rPr>
          <w:lang w:val="en-GB"/>
        </w:rPr>
        <w:t xml:space="preserve">Available at: </w:t>
      </w:r>
      <w:hyperlink r:id="rId22" w:history="1">
        <w:r w:rsidR="004904D6" w:rsidRPr="00063682">
          <w:rPr>
            <w:rStyle w:val="Hyperlink"/>
            <w:lang w:val="en-GB"/>
          </w:rPr>
          <w:t>https://www2.aneel.gov.br/cedoc/aren2021956_2_7.pdf</w:t>
        </w:r>
      </w:hyperlink>
    </w:p>
    <w:p w14:paraId="18F667E5" w14:textId="77777777" w:rsidR="00B47455" w:rsidRPr="00063682" w:rsidRDefault="00B47455" w:rsidP="0085084A">
      <w:pPr>
        <w:pStyle w:val="NoSpacing"/>
        <w:jc w:val="both"/>
        <w:rPr>
          <w:lang w:val="en-GB"/>
        </w:rPr>
      </w:pPr>
    </w:p>
    <w:p w14:paraId="7A43ADC3" w14:textId="0318F8F1" w:rsidR="0082759F" w:rsidRPr="00063682" w:rsidRDefault="00AF36AB" w:rsidP="0085084A">
      <w:pPr>
        <w:pStyle w:val="NoSpacing"/>
        <w:jc w:val="both"/>
        <w:rPr>
          <w:lang w:val="en-GB"/>
        </w:rPr>
      </w:pPr>
      <w:r w:rsidRPr="00063682">
        <w:rPr>
          <w:lang w:val="en-GB"/>
        </w:rPr>
        <w:t>[24</w:t>
      </w:r>
      <w:r w:rsidR="0082759F" w:rsidRPr="00063682">
        <w:rPr>
          <w:lang w:val="en-GB"/>
        </w:rPr>
        <w:t xml:space="preserve">] </w:t>
      </w:r>
      <w:r w:rsidRPr="00063682">
        <w:rPr>
          <w:lang w:val="en-GB"/>
        </w:rPr>
        <w:tab/>
      </w:r>
      <w:r w:rsidR="0082759F" w:rsidRPr="00063682">
        <w:rPr>
          <w:lang w:val="en-GB"/>
        </w:rPr>
        <w:t>International Energy Agency (2015).</w:t>
      </w:r>
      <w:r w:rsidR="004D2FA4" w:rsidRPr="00063682">
        <w:rPr>
          <w:lang w:val="en-GB"/>
        </w:rPr>
        <w:t xml:space="preserve"> “Making the energy sector more resilient to climate change”, IEA, Paris </w:t>
      </w:r>
      <w:hyperlink r:id="rId23" w:history="1">
        <w:r w:rsidRPr="00063682">
          <w:rPr>
            <w:rStyle w:val="Hyperlink"/>
            <w:lang w:val="en-GB"/>
          </w:rPr>
          <w:t>https://www.iea.org/reports/making-the-energy-sector-more-resilient-to-climate-change</w:t>
        </w:r>
      </w:hyperlink>
      <w:r w:rsidR="004D2FA4" w:rsidRPr="00063682">
        <w:rPr>
          <w:lang w:val="en-GB"/>
        </w:rPr>
        <w:t>, Licence: CC BY 4.0</w:t>
      </w:r>
    </w:p>
    <w:sectPr w:rsidR="0082759F" w:rsidRPr="00063682">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C00CD0" w14:textId="77777777" w:rsidR="00B75339" w:rsidRDefault="00B75339">
      <w:pPr>
        <w:spacing w:after="0" w:line="240" w:lineRule="auto"/>
      </w:pPr>
      <w:r>
        <w:separator/>
      </w:r>
    </w:p>
  </w:endnote>
  <w:endnote w:type="continuationSeparator" w:id="0">
    <w:p w14:paraId="37F021E6" w14:textId="77777777" w:rsidR="00B75339" w:rsidRDefault="00B75339">
      <w:pPr>
        <w:spacing w:after="0" w:line="240" w:lineRule="auto"/>
      </w:pPr>
      <w:r>
        <w:continuationSeparator/>
      </w:r>
    </w:p>
  </w:endnote>
  <w:endnote w:type="continuationNotice" w:id="1">
    <w:p w14:paraId="51C0E6D0" w14:textId="77777777" w:rsidR="00B75339" w:rsidRDefault="00B753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F1C9B" w14:textId="40BE1E04" w:rsidR="00824BAE" w:rsidRDefault="00824BAE">
    <w:pPr>
      <w:pStyle w:val="Footer"/>
    </w:pPr>
    <w:r>
      <w:rPr>
        <w:noProof/>
      </w:rPr>
      <mc:AlternateContent>
        <mc:Choice Requires="wps">
          <w:drawing>
            <wp:anchor distT="0" distB="0" distL="0" distR="0" simplePos="0" relativeHeight="251658241" behindDoc="0" locked="0" layoutInCell="1" allowOverlap="1" wp14:anchorId="589261E8" wp14:editId="1BC7DE0B">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E49962" w14:textId="22DD385C" w:rsidR="00824BAE" w:rsidRPr="00824BAE" w:rsidRDefault="00824BAE" w:rsidP="00824BAE">
                          <w:pPr>
                            <w:spacing w:after="0"/>
                            <w:rPr>
                              <w:rFonts w:ascii="Calibri" w:eastAsia="Calibri" w:hAnsi="Calibri" w:cs="Calibri"/>
                              <w:noProof/>
                              <w:color w:val="000000"/>
                              <w:sz w:val="20"/>
                              <w:szCs w:val="20"/>
                            </w:rPr>
                          </w:pPr>
                          <w:r w:rsidRPr="00824BAE">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589261E8" id="_x0000_t202" coordsize="21600,21600" o:spt="202" path="m,l,21600r21600,l21600,xe">
              <v:stroke joinstyle="miter"/>
              <v:path gradientshapeok="t" o:connecttype="rect"/>
            </v:shapetype>
            <v:shape id="Text Box 2" o:spid="_x0000_s1026" type="#_x0000_t202" alt="OFFICIAL-Internal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7EE49962" w14:textId="22DD385C" w:rsidR="00824BAE" w:rsidRPr="00824BAE" w:rsidRDefault="00824BAE" w:rsidP="00824BAE">
                    <w:pPr>
                      <w:spacing w:after="0"/>
                      <w:rPr>
                        <w:rFonts w:ascii="Calibri" w:eastAsia="Calibri" w:hAnsi="Calibri" w:cs="Calibri"/>
                        <w:noProof/>
                        <w:color w:val="000000"/>
                        <w:sz w:val="20"/>
                        <w:szCs w:val="20"/>
                      </w:rPr>
                    </w:pPr>
                    <w:r w:rsidRPr="00824BAE">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33421" w14:textId="1110FA20" w:rsidR="00977CBE" w:rsidRDefault="00824BAE">
    <w:pPr>
      <w:pStyle w:val="Footer"/>
      <w:jc w:val="right"/>
    </w:pPr>
    <w:r>
      <w:rPr>
        <w:noProof/>
      </w:rPr>
      <mc:AlternateContent>
        <mc:Choice Requires="wps">
          <w:drawing>
            <wp:anchor distT="0" distB="0" distL="0" distR="0" simplePos="0" relativeHeight="251658242" behindDoc="0" locked="0" layoutInCell="1" allowOverlap="1" wp14:anchorId="53584CD4" wp14:editId="7C981C46">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B3458D" w14:textId="5A8006F7" w:rsidR="00824BAE" w:rsidRPr="00824BAE" w:rsidRDefault="00824BAE" w:rsidP="00824BAE">
                          <w:pPr>
                            <w:spacing w:after="0"/>
                            <w:rPr>
                              <w:rFonts w:ascii="Calibri" w:eastAsia="Calibri" w:hAnsi="Calibri" w:cs="Calibri"/>
                              <w:noProof/>
                              <w:color w:val="000000"/>
                              <w:sz w:val="20"/>
                              <w:szCs w:val="20"/>
                            </w:rPr>
                          </w:pPr>
                          <w:r w:rsidRPr="00824BAE">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53584CD4"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4AB3458D" w14:textId="5A8006F7" w:rsidR="00824BAE" w:rsidRPr="00824BAE" w:rsidRDefault="00824BAE" w:rsidP="00824BAE">
                    <w:pPr>
                      <w:spacing w:after="0"/>
                      <w:rPr>
                        <w:rFonts w:ascii="Calibri" w:eastAsia="Calibri" w:hAnsi="Calibri" w:cs="Calibri"/>
                        <w:noProof/>
                        <w:color w:val="000000"/>
                        <w:sz w:val="20"/>
                        <w:szCs w:val="20"/>
                      </w:rPr>
                    </w:pPr>
                    <w:r w:rsidRPr="00824BAE">
                      <w:rPr>
                        <w:rFonts w:ascii="Calibri" w:eastAsia="Calibri" w:hAnsi="Calibri" w:cs="Calibri"/>
                        <w:noProof/>
                        <w:color w:val="000000"/>
                        <w:sz w:val="20"/>
                        <w:szCs w:val="20"/>
                      </w:rPr>
                      <w:t>OFFICIAL-InternalOnly</w:t>
                    </w:r>
                  </w:p>
                </w:txbxContent>
              </v:textbox>
              <w10:wrap anchorx="page" anchory="page"/>
            </v:shape>
          </w:pict>
        </mc:Fallback>
      </mc:AlternateContent>
    </w:r>
  </w:p>
  <w:sdt>
    <w:sdtPr>
      <w:id w:val="1185716510"/>
      <w:docPartObj>
        <w:docPartGallery w:val="Page Numbers (Bottom of Page)"/>
        <w:docPartUnique/>
      </w:docPartObj>
    </w:sdtPr>
    <w:sdtEndPr>
      <w:rPr>
        <w:noProof/>
      </w:rPr>
    </w:sdtEndPr>
    <w:sdtContent>
      <w:p w14:paraId="795D94B1" w14:textId="3EB7C435" w:rsidR="00977CBE" w:rsidRDefault="00977CB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1A37C59" w14:textId="72FC2832" w:rsidR="7886577E" w:rsidRDefault="7886577E" w:rsidP="788657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D9B2C" w14:textId="5E3273A5" w:rsidR="00824BAE" w:rsidRDefault="00824BAE">
    <w:pPr>
      <w:pStyle w:val="Footer"/>
    </w:pPr>
    <w:r>
      <w:rPr>
        <w:noProof/>
      </w:rPr>
      <mc:AlternateContent>
        <mc:Choice Requires="wps">
          <w:drawing>
            <wp:anchor distT="0" distB="0" distL="0" distR="0" simplePos="0" relativeHeight="251658240" behindDoc="0" locked="0" layoutInCell="1" allowOverlap="1" wp14:anchorId="508B6C03" wp14:editId="4CD9FCB7">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3A5024" w14:textId="652162D9" w:rsidR="00824BAE" w:rsidRPr="00824BAE" w:rsidRDefault="00824BAE" w:rsidP="00824BAE">
                          <w:pPr>
                            <w:spacing w:after="0"/>
                            <w:rPr>
                              <w:rFonts w:ascii="Calibri" w:eastAsia="Calibri" w:hAnsi="Calibri" w:cs="Calibri"/>
                              <w:noProof/>
                              <w:color w:val="000000"/>
                              <w:sz w:val="20"/>
                              <w:szCs w:val="20"/>
                            </w:rPr>
                          </w:pPr>
                          <w:r w:rsidRPr="00824BAE">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508B6C03" id="_x0000_t202" coordsize="21600,21600" o:spt="202" path="m,l,21600r21600,l21600,xe">
              <v:stroke joinstyle="miter"/>
              <v:path gradientshapeok="t" o:connecttype="rect"/>
            </v:shapetype>
            <v:shape id="Text Box 1" o:spid="_x0000_s1028"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713A5024" w14:textId="652162D9" w:rsidR="00824BAE" w:rsidRPr="00824BAE" w:rsidRDefault="00824BAE" w:rsidP="00824BAE">
                    <w:pPr>
                      <w:spacing w:after="0"/>
                      <w:rPr>
                        <w:rFonts w:ascii="Calibri" w:eastAsia="Calibri" w:hAnsi="Calibri" w:cs="Calibri"/>
                        <w:noProof/>
                        <w:color w:val="000000"/>
                        <w:sz w:val="20"/>
                        <w:szCs w:val="20"/>
                      </w:rPr>
                    </w:pPr>
                    <w:r w:rsidRPr="00824BAE">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FD8D6" w14:textId="77777777" w:rsidR="00B75339" w:rsidRDefault="00B75339">
      <w:pPr>
        <w:spacing w:after="0" w:line="240" w:lineRule="auto"/>
      </w:pPr>
      <w:r>
        <w:separator/>
      </w:r>
    </w:p>
  </w:footnote>
  <w:footnote w:type="continuationSeparator" w:id="0">
    <w:p w14:paraId="3D1DBE5F" w14:textId="77777777" w:rsidR="00B75339" w:rsidRDefault="00B75339">
      <w:pPr>
        <w:spacing w:after="0" w:line="240" w:lineRule="auto"/>
      </w:pPr>
      <w:r>
        <w:continuationSeparator/>
      </w:r>
    </w:p>
  </w:footnote>
  <w:footnote w:type="continuationNotice" w:id="1">
    <w:p w14:paraId="29ADD5B6" w14:textId="77777777" w:rsidR="00B75339" w:rsidRDefault="00B753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8BFD3" w14:textId="77777777" w:rsidR="00CC64A9" w:rsidRDefault="00CC64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401"/>
    </w:tblGrid>
    <w:tr w:rsidR="00AF50E2" w14:paraId="38D2AA76" w14:textId="77777777" w:rsidTr="00AF50E2">
      <w:tc>
        <w:tcPr>
          <w:tcW w:w="5949" w:type="dxa"/>
        </w:tcPr>
        <w:p w14:paraId="3CC83A5C" w14:textId="21E865C0" w:rsidR="00AF50E2" w:rsidRPr="00AF50E2" w:rsidRDefault="00AF50E2" w:rsidP="00D008A7">
          <w:pPr>
            <w:pStyle w:val="Header"/>
            <w:pBdr>
              <w:bottom w:val="none" w:sz="0" w:space="0" w:color="auto"/>
            </w:pBdr>
            <w:jc w:val="left"/>
            <w:rPr>
              <w:b/>
              <w:bCs/>
              <w:sz w:val="24"/>
              <w:szCs w:val="24"/>
            </w:rPr>
          </w:pPr>
          <w:r w:rsidRPr="00AF50E2">
            <w:rPr>
              <w:b/>
              <w:bCs/>
              <w:sz w:val="20"/>
              <w:szCs w:val="20"/>
            </w:rPr>
            <w:t xml:space="preserve">Ofgem RIIO-3 Sector Specific Methodology Consultation for the Gas Distribution, Gas Transmission and Electricity Transmission Sectors  </w:t>
          </w:r>
        </w:p>
      </w:tc>
      <w:tc>
        <w:tcPr>
          <w:tcW w:w="3401" w:type="dxa"/>
        </w:tcPr>
        <w:p w14:paraId="6873AD77" w14:textId="6A0AC5C7" w:rsidR="00AF50E2" w:rsidRDefault="00AF50E2" w:rsidP="00AF50E2">
          <w:pPr>
            <w:pStyle w:val="Header"/>
            <w:pBdr>
              <w:bottom w:val="none" w:sz="0" w:space="0" w:color="auto"/>
            </w:pBdr>
            <w:jc w:val="right"/>
            <w:rPr>
              <w:sz w:val="24"/>
              <w:szCs w:val="24"/>
            </w:rPr>
          </w:pPr>
          <w:r>
            <w:rPr>
              <w:noProof/>
            </w:rPr>
            <w:drawing>
              <wp:inline distT="0" distB="0" distL="0" distR="0" wp14:anchorId="3A52430D" wp14:editId="00E328D0">
                <wp:extent cx="1767600" cy="277200"/>
                <wp:effectExtent l="0" t="0" r="4445" b="8890"/>
                <wp:docPr id="2080943393" name="Picture 3" descr="A black background with green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206015" name="Picture 3" descr="A black background with green lette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67600" cy="277200"/>
                        </a:xfrm>
                        <a:prstGeom prst="rect">
                          <a:avLst/>
                        </a:prstGeom>
                      </pic:spPr>
                    </pic:pic>
                  </a:graphicData>
                </a:graphic>
              </wp:inline>
            </w:drawing>
          </w:r>
        </w:p>
      </w:tc>
    </w:tr>
  </w:tbl>
  <w:p w14:paraId="00E3EFD2" w14:textId="4478FA92" w:rsidR="0085084A" w:rsidRDefault="0085084A" w:rsidP="0085084A">
    <w:pPr>
      <w:pStyle w:val="Heade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49993" w14:textId="77777777" w:rsidR="00CC64A9" w:rsidRDefault="00CC64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042B"/>
    <w:multiLevelType w:val="hybridMultilevel"/>
    <w:tmpl w:val="50BA7BFE"/>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737D81"/>
    <w:multiLevelType w:val="hybridMultilevel"/>
    <w:tmpl w:val="491889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1CA4A4"/>
    <w:multiLevelType w:val="hybridMultilevel"/>
    <w:tmpl w:val="FFFFFFFF"/>
    <w:lvl w:ilvl="0" w:tplc="EF288EE6">
      <w:start w:val="1"/>
      <w:numFmt w:val="bullet"/>
      <w:lvlText w:val="-"/>
      <w:lvlJc w:val="left"/>
      <w:pPr>
        <w:ind w:left="720" w:hanging="360"/>
      </w:pPr>
      <w:rPr>
        <w:rFonts w:ascii="Calibri" w:hAnsi="Calibri" w:hint="default"/>
      </w:rPr>
    </w:lvl>
    <w:lvl w:ilvl="1" w:tplc="A2AC0DAC">
      <w:start w:val="1"/>
      <w:numFmt w:val="bullet"/>
      <w:lvlText w:val="o"/>
      <w:lvlJc w:val="left"/>
      <w:pPr>
        <w:ind w:left="1440" w:hanging="360"/>
      </w:pPr>
      <w:rPr>
        <w:rFonts w:ascii="Courier New" w:hAnsi="Courier New" w:hint="default"/>
      </w:rPr>
    </w:lvl>
    <w:lvl w:ilvl="2" w:tplc="F460C98A">
      <w:start w:val="1"/>
      <w:numFmt w:val="bullet"/>
      <w:lvlText w:val=""/>
      <w:lvlJc w:val="left"/>
      <w:pPr>
        <w:ind w:left="2160" w:hanging="360"/>
      </w:pPr>
      <w:rPr>
        <w:rFonts w:ascii="Wingdings" w:hAnsi="Wingdings" w:hint="default"/>
      </w:rPr>
    </w:lvl>
    <w:lvl w:ilvl="3" w:tplc="52D4EBD4">
      <w:start w:val="1"/>
      <w:numFmt w:val="bullet"/>
      <w:lvlText w:val=""/>
      <w:lvlJc w:val="left"/>
      <w:pPr>
        <w:ind w:left="2880" w:hanging="360"/>
      </w:pPr>
      <w:rPr>
        <w:rFonts w:ascii="Symbol" w:hAnsi="Symbol" w:hint="default"/>
      </w:rPr>
    </w:lvl>
    <w:lvl w:ilvl="4" w:tplc="DBB432C8">
      <w:start w:val="1"/>
      <w:numFmt w:val="bullet"/>
      <w:lvlText w:val="o"/>
      <w:lvlJc w:val="left"/>
      <w:pPr>
        <w:ind w:left="3600" w:hanging="360"/>
      </w:pPr>
      <w:rPr>
        <w:rFonts w:ascii="Courier New" w:hAnsi="Courier New" w:hint="default"/>
      </w:rPr>
    </w:lvl>
    <w:lvl w:ilvl="5" w:tplc="B1F6A6C0">
      <w:start w:val="1"/>
      <w:numFmt w:val="bullet"/>
      <w:lvlText w:val=""/>
      <w:lvlJc w:val="left"/>
      <w:pPr>
        <w:ind w:left="4320" w:hanging="360"/>
      </w:pPr>
      <w:rPr>
        <w:rFonts w:ascii="Wingdings" w:hAnsi="Wingdings" w:hint="default"/>
      </w:rPr>
    </w:lvl>
    <w:lvl w:ilvl="6" w:tplc="8C62099C">
      <w:start w:val="1"/>
      <w:numFmt w:val="bullet"/>
      <w:lvlText w:val=""/>
      <w:lvlJc w:val="left"/>
      <w:pPr>
        <w:ind w:left="5040" w:hanging="360"/>
      </w:pPr>
      <w:rPr>
        <w:rFonts w:ascii="Symbol" w:hAnsi="Symbol" w:hint="default"/>
      </w:rPr>
    </w:lvl>
    <w:lvl w:ilvl="7" w:tplc="FBEC325C">
      <w:start w:val="1"/>
      <w:numFmt w:val="bullet"/>
      <w:lvlText w:val="o"/>
      <w:lvlJc w:val="left"/>
      <w:pPr>
        <w:ind w:left="5760" w:hanging="360"/>
      </w:pPr>
      <w:rPr>
        <w:rFonts w:ascii="Courier New" w:hAnsi="Courier New" w:hint="default"/>
      </w:rPr>
    </w:lvl>
    <w:lvl w:ilvl="8" w:tplc="46EE8792">
      <w:start w:val="1"/>
      <w:numFmt w:val="bullet"/>
      <w:lvlText w:val=""/>
      <w:lvlJc w:val="left"/>
      <w:pPr>
        <w:ind w:left="6480" w:hanging="360"/>
      </w:pPr>
      <w:rPr>
        <w:rFonts w:ascii="Wingdings" w:hAnsi="Wingdings" w:hint="default"/>
      </w:rPr>
    </w:lvl>
  </w:abstractNum>
  <w:abstractNum w:abstractNumId="3" w15:restartNumberingAfterBreak="0">
    <w:nsid w:val="116F0EFE"/>
    <w:multiLevelType w:val="hybridMultilevel"/>
    <w:tmpl w:val="96B2A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3A10B4"/>
    <w:multiLevelType w:val="hybridMultilevel"/>
    <w:tmpl w:val="C42A2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D77F6C"/>
    <w:multiLevelType w:val="hybridMultilevel"/>
    <w:tmpl w:val="2F9E2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ECB535"/>
    <w:multiLevelType w:val="hybridMultilevel"/>
    <w:tmpl w:val="FFFFFFFF"/>
    <w:lvl w:ilvl="0" w:tplc="BD74B59E">
      <w:start w:val="1"/>
      <w:numFmt w:val="decimal"/>
      <w:lvlText w:val="%1."/>
      <w:lvlJc w:val="left"/>
      <w:pPr>
        <w:ind w:left="720" w:hanging="360"/>
      </w:pPr>
    </w:lvl>
    <w:lvl w:ilvl="1" w:tplc="14B6ECE0">
      <w:start w:val="1"/>
      <w:numFmt w:val="lowerLetter"/>
      <w:lvlText w:val="%2."/>
      <w:lvlJc w:val="left"/>
      <w:pPr>
        <w:ind w:left="1440" w:hanging="360"/>
      </w:pPr>
    </w:lvl>
    <w:lvl w:ilvl="2" w:tplc="D126277A">
      <w:start w:val="1"/>
      <w:numFmt w:val="lowerRoman"/>
      <w:lvlText w:val="%3."/>
      <w:lvlJc w:val="right"/>
      <w:pPr>
        <w:ind w:left="2160" w:hanging="180"/>
      </w:pPr>
    </w:lvl>
    <w:lvl w:ilvl="3" w:tplc="D2800662">
      <w:start w:val="1"/>
      <w:numFmt w:val="decimal"/>
      <w:lvlText w:val="%4."/>
      <w:lvlJc w:val="left"/>
      <w:pPr>
        <w:ind w:left="2880" w:hanging="360"/>
      </w:pPr>
    </w:lvl>
    <w:lvl w:ilvl="4" w:tplc="388242FA">
      <w:start w:val="1"/>
      <w:numFmt w:val="lowerLetter"/>
      <w:lvlText w:val="%5."/>
      <w:lvlJc w:val="left"/>
      <w:pPr>
        <w:ind w:left="3600" w:hanging="360"/>
      </w:pPr>
    </w:lvl>
    <w:lvl w:ilvl="5" w:tplc="F5B4BB6C">
      <w:start w:val="1"/>
      <w:numFmt w:val="lowerRoman"/>
      <w:lvlText w:val="%6."/>
      <w:lvlJc w:val="right"/>
      <w:pPr>
        <w:ind w:left="4320" w:hanging="180"/>
      </w:pPr>
    </w:lvl>
    <w:lvl w:ilvl="6" w:tplc="91C47A66">
      <w:start w:val="1"/>
      <w:numFmt w:val="decimal"/>
      <w:lvlText w:val="%7."/>
      <w:lvlJc w:val="left"/>
      <w:pPr>
        <w:ind w:left="5040" w:hanging="360"/>
      </w:pPr>
    </w:lvl>
    <w:lvl w:ilvl="7" w:tplc="125A4660">
      <w:start w:val="1"/>
      <w:numFmt w:val="lowerLetter"/>
      <w:lvlText w:val="%8."/>
      <w:lvlJc w:val="left"/>
      <w:pPr>
        <w:ind w:left="5760" w:hanging="360"/>
      </w:pPr>
    </w:lvl>
    <w:lvl w:ilvl="8" w:tplc="3DF08A8C">
      <w:start w:val="1"/>
      <w:numFmt w:val="lowerRoman"/>
      <w:lvlText w:val="%9."/>
      <w:lvlJc w:val="right"/>
      <w:pPr>
        <w:ind w:left="6480" w:hanging="180"/>
      </w:pPr>
    </w:lvl>
  </w:abstractNum>
  <w:abstractNum w:abstractNumId="7" w15:restartNumberingAfterBreak="0">
    <w:nsid w:val="28016294"/>
    <w:multiLevelType w:val="hybridMultilevel"/>
    <w:tmpl w:val="28440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EB3B83"/>
    <w:multiLevelType w:val="hybridMultilevel"/>
    <w:tmpl w:val="7C4CE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896D198"/>
    <w:multiLevelType w:val="hybridMultilevel"/>
    <w:tmpl w:val="FFFFFFFF"/>
    <w:lvl w:ilvl="0" w:tplc="E80E1634">
      <w:start w:val="1"/>
      <w:numFmt w:val="bullet"/>
      <w:lvlText w:val="-"/>
      <w:lvlJc w:val="left"/>
      <w:pPr>
        <w:ind w:left="720" w:hanging="360"/>
      </w:pPr>
      <w:rPr>
        <w:rFonts w:ascii="Calibri" w:hAnsi="Calibri" w:hint="default"/>
      </w:rPr>
    </w:lvl>
    <w:lvl w:ilvl="1" w:tplc="4B7A1678">
      <w:start w:val="1"/>
      <w:numFmt w:val="bullet"/>
      <w:lvlText w:val="o"/>
      <w:lvlJc w:val="left"/>
      <w:pPr>
        <w:ind w:left="1440" w:hanging="360"/>
      </w:pPr>
      <w:rPr>
        <w:rFonts w:ascii="Courier New" w:hAnsi="Courier New" w:hint="default"/>
      </w:rPr>
    </w:lvl>
    <w:lvl w:ilvl="2" w:tplc="388E2D70">
      <w:start w:val="1"/>
      <w:numFmt w:val="bullet"/>
      <w:lvlText w:val=""/>
      <w:lvlJc w:val="left"/>
      <w:pPr>
        <w:ind w:left="2160" w:hanging="360"/>
      </w:pPr>
      <w:rPr>
        <w:rFonts w:ascii="Wingdings" w:hAnsi="Wingdings" w:hint="default"/>
      </w:rPr>
    </w:lvl>
    <w:lvl w:ilvl="3" w:tplc="ACF477E0">
      <w:start w:val="1"/>
      <w:numFmt w:val="bullet"/>
      <w:lvlText w:val=""/>
      <w:lvlJc w:val="left"/>
      <w:pPr>
        <w:ind w:left="2880" w:hanging="360"/>
      </w:pPr>
      <w:rPr>
        <w:rFonts w:ascii="Symbol" w:hAnsi="Symbol" w:hint="default"/>
      </w:rPr>
    </w:lvl>
    <w:lvl w:ilvl="4" w:tplc="431E4892">
      <w:start w:val="1"/>
      <w:numFmt w:val="bullet"/>
      <w:lvlText w:val="o"/>
      <w:lvlJc w:val="left"/>
      <w:pPr>
        <w:ind w:left="3600" w:hanging="360"/>
      </w:pPr>
      <w:rPr>
        <w:rFonts w:ascii="Courier New" w:hAnsi="Courier New" w:hint="default"/>
      </w:rPr>
    </w:lvl>
    <w:lvl w:ilvl="5" w:tplc="6E52B218">
      <w:start w:val="1"/>
      <w:numFmt w:val="bullet"/>
      <w:lvlText w:val=""/>
      <w:lvlJc w:val="left"/>
      <w:pPr>
        <w:ind w:left="4320" w:hanging="360"/>
      </w:pPr>
      <w:rPr>
        <w:rFonts w:ascii="Wingdings" w:hAnsi="Wingdings" w:hint="default"/>
      </w:rPr>
    </w:lvl>
    <w:lvl w:ilvl="6" w:tplc="C372723C">
      <w:start w:val="1"/>
      <w:numFmt w:val="bullet"/>
      <w:lvlText w:val=""/>
      <w:lvlJc w:val="left"/>
      <w:pPr>
        <w:ind w:left="5040" w:hanging="360"/>
      </w:pPr>
      <w:rPr>
        <w:rFonts w:ascii="Symbol" w:hAnsi="Symbol" w:hint="default"/>
      </w:rPr>
    </w:lvl>
    <w:lvl w:ilvl="7" w:tplc="E00A847C">
      <w:start w:val="1"/>
      <w:numFmt w:val="bullet"/>
      <w:lvlText w:val="o"/>
      <w:lvlJc w:val="left"/>
      <w:pPr>
        <w:ind w:left="5760" w:hanging="360"/>
      </w:pPr>
      <w:rPr>
        <w:rFonts w:ascii="Courier New" w:hAnsi="Courier New" w:hint="default"/>
      </w:rPr>
    </w:lvl>
    <w:lvl w:ilvl="8" w:tplc="26561DA0">
      <w:start w:val="1"/>
      <w:numFmt w:val="bullet"/>
      <w:lvlText w:val=""/>
      <w:lvlJc w:val="left"/>
      <w:pPr>
        <w:ind w:left="6480" w:hanging="360"/>
      </w:pPr>
      <w:rPr>
        <w:rFonts w:ascii="Wingdings" w:hAnsi="Wingdings" w:hint="default"/>
      </w:rPr>
    </w:lvl>
  </w:abstractNum>
  <w:abstractNum w:abstractNumId="10" w15:restartNumberingAfterBreak="0">
    <w:nsid w:val="787DD630"/>
    <w:multiLevelType w:val="hybridMultilevel"/>
    <w:tmpl w:val="602E39BC"/>
    <w:lvl w:ilvl="0" w:tplc="58F4094C">
      <w:start w:val="1"/>
      <w:numFmt w:val="bullet"/>
      <w:lvlText w:val=""/>
      <w:lvlJc w:val="left"/>
      <w:pPr>
        <w:ind w:left="720" w:hanging="360"/>
      </w:pPr>
      <w:rPr>
        <w:rFonts w:ascii="Symbol" w:hAnsi="Symbol" w:hint="default"/>
      </w:rPr>
    </w:lvl>
    <w:lvl w:ilvl="1" w:tplc="1704715A">
      <w:start w:val="1"/>
      <w:numFmt w:val="bullet"/>
      <w:lvlText w:val="o"/>
      <w:lvlJc w:val="left"/>
      <w:pPr>
        <w:ind w:left="1440" w:hanging="360"/>
      </w:pPr>
      <w:rPr>
        <w:rFonts w:ascii="Courier New" w:hAnsi="Courier New" w:hint="default"/>
      </w:rPr>
    </w:lvl>
    <w:lvl w:ilvl="2" w:tplc="17CAE30C">
      <w:start w:val="1"/>
      <w:numFmt w:val="bullet"/>
      <w:lvlText w:val=""/>
      <w:lvlJc w:val="left"/>
      <w:pPr>
        <w:ind w:left="2160" w:hanging="360"/>
      </w:pPr>
      <w:rPr>
        <w:rFonts w:ascii="Wingdings" w:hAnsi="Wingdings" w:hint="default"/>
      </w:rPr>
    </w:lvl>
    <w:lvl w:ilvl="3" w:tplc="F1E4746C">
      <w:start w:val="1"/>
      <w:numFmt w:val="bullet"/>
      <w:lvlText w:val=""/>
      <w:lvlJc w:val="left"/>
      <w:pPr>
        <w:ind w:left="2880" w:hanging="360"/>
      </w:pPr>
      <w:rPr>
        <w:rFonts w:ascii="Symbol" w:hAnsi="Symbol" w:hint="default"/>
      </w:rPr>
    </w:lvl>
    <w:lvl w:ilvl="4" w:tplc="E8CECCA4">
      <w:start w:val="1"/>
      <w:numFmt w:val="bullet"/>
      <w:lvlText w:val="o"/>
      <w:lvlJc w:val="left"/>
      <w:pPr>
        <w:ind w:left="3600" w:hanging="360"/>
      </w:pPr>
      <w:rPr>
        <w:rFonts w:ascii="Courier New" w:hAnsi="Courier New" w:hint="default"/>
      </w:rPr>
    </w:lvl>
    <w:lvl w:ilvl="5" w:tplc="2D94FD4C">
      <w:start w:val="1"/>
      <w:numFmt w:val="bullet"/>
      <w:lvlText w:val=""/>
      <w:lvlJc w:val="left"/>
      <w:pPr>
        <w:ind w:left="4320" w:hanging="360"/>
      </w:pPr>
      <w:rPr>
        <w:rFonts w:ascii="Wingdings" w:hAnsi="Wingdings" w:hint="default"/>
      </w:rPr>
    </w:lvl>
    <w:lvl w:ilvl="6" w:tplc="0EFC4CF0">
      <w:start w:val="1"/>
      <w:numFmt w:val="bullet"/>
      <w:lvlText w:val=""/>
      <w:lvlJc w:val="left"/>
      <w:pPr>
        <w:ind w:left="5040" w:hanging="360"/>
      </w:pPr>
      <w:rPr>
        <w:rFonts w:ascii="Symbol" w:hAnsi="Symbol" w:hint="default"/>
      </w:rPr>
    </w:lvl>
    <w:lvl w:ilvl="7" w:tplc="01F2E2E8">
      <w:start w:val="1"/>
      <w:numFmt w:val="bullet"/>
      <w:lvlText w:val="o"/>
      <w:lvlJc w:val="left"/>
      <w:pPr>
        <w:ind w:left="5760" w:hanging="360"/>
      </w:pPr>
      <w:rPr>
        <w:rFonts w:ascii="Courier New" w:hAnsi="Courier New" w:hint="default"/>
      </w:rPr>
    </w:lvl>
    <w:lvl w:ilvl="8" w:tplc="784803B6">
      <w:start w:val="1"/>
      <w:numFmt w:val="bullet"/>
      <w:lvlText w:val=""/>
      <w:lvlJc w:val="left"/>
      <w:pPr>
        <w:ind w:left="6480" w:hanging="360"/>
      </w:pPr>
      <w:rPr>
        <w:rFonts w:ascii="Wingdings" w:hAnsi="Wingdings" w:hint="default"/>
      </w:rPr>
    </w:lvl>
  </w:abstractNum>
  <w:num w:numId="1" w16cid:durableId="1522933290">
    <w:abstractNumId w:val="10"/>
  </w:num>
  <w:num w:numId="2" w16cid:durableId="1939092220">
    <w:abstractNumId w:val="6"/>
  </w:num>
  <w:num w:numId="3" w16cid:durableId="2103142257">
    <w:abstractNumId w:val="7"/>
  </w:num>
  <w:num w:numId="4" w16cid:durableId="37552713">
    <w:abstractNumId w:val="8"/>
  </w:num>
  <w:num w:numId="5" w16cid:durableId="597757829">
    <w:abstractNumId w:val="5"/>
  </w:num>
  <w:num w:numId="6" w16cid:durableId="337657346">
    <w:abstractNumId w:val="1"/>
  </w:num>
  <w:num w:numId="7" w16cid:durableId="906037578">
    <w:abstractNumId w:val="0"/>
  </w:num>
  <w:num w:numId="8" w16cid:durableId="1869172246">
    <w:abstractNumId w:val="9"/>
  </w:num>
  <w:num w:numId="9" w16cid:durableId="105657864">
    <w:abstractNumId w:val="2"/>
  </w:num>
  <w:num w:numId="10" w16cid:durableId="338315772">
    <w:abstractNumId w:val="3"/>
  </w:num>
  <w:num w:numId="11" w16cid:durableId="8506064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7913DD4"/>
    <w:rsid w:val="000019CA"/>
    <w:rsid w:val="0000294B"/>
    <w:rsid w:val="000113BC"/>
    <w:rsid w:val="00011485"/>
    <w:rsid w:val="000122F0"/>
    <w:rsid w:val="0001265E"/>
    <w:rsid w:val="000155F2"/>
    <w:rsid w:val="0001639E"/>
    <w:rsid w:val="00017338"/>
    <w:rsid w:val="00024209"/>
    <w:rsid w:val="00024389"/>
    <w:rsid w:val="00024FEE"/>
    <w:rsid w:val="00025C86"/>
    <w:rsid w:val="00030F16"/>
    <w:rsid w:val="00031A3C"/>
    <w:rsid w:val="00033101"/>
    <w:rsid w:val="00041AF6"/>
    <w:rsid w:val="00042E2C"/>
    <w:rsid w:val="0004404D"/>
    <w:rsid w:val="00044C8D"/>
    <w:rsid w:val="0004563D"/>
    <w:rsid w:val="000458EF"/>
    <w:rsid w:val="00047CB1"/>
    <w:rsid w:val="00051694"/>
    <w:rsid w:val="0005418E"/>
    <w:rsid w:val="0005578E"/>
    <w:rsid w:val="000576E1"/>
    <w:rsid w:val="00057A06"/>
    <w:rsid w:val="000607A6"/>
    <w:rsid w:val="00063682"/>
    <w:rsid w:val="00063E1D"/>
    <w:rsid w:val="0006435B"/>
    <w:rsid w:val="00064E90"/>
    <w:rsid w:val="00071288"/>
    <w:rsid w:val="00072554"/>
    <w:rsid w:val="00072A18"/>
    <w:rsid w:val="00072BE5"/>
    <w:rsid w:val="000742BA"/>
    <w:rsid w:val="00076CC6"/>
    <w:rsid w:val="0008001C"/>
    <w:rsid w:val="00080604"/>
    <w:rsid w:val="00080992"/>
    <w:rsid w:val="000812F9"/>
    <w:rsid w:val="00081471"/>
    <w:rsid w:val="000818E5"/>
    <w:rsid w:val="0008247F"/>
    <w:rsid w:val="000830EA"/>
    <w:rsid w:val="00085440"/>
    <w:rsid w:val="0008710F"/>
    <w:rsid w:val="0009397D"/>
    <w:rsid w:val="0009719C"/>
    <w:rsid w:val="000A133D"/>
    <w:rsid w:val="000A3EAB"/>
    <w:rsid w:val="000A50D3"/>
    <w:rsid w:val="000B05B5"/>
    <w:rsid w:val="000B5990"/>
    <w:rsid w:val="000C0F5B"/>
    <w:rsid w:val="000C30B6"/>
    <w:rsid w:val="000D089C"/>
    <w:rsid w:val="000D0EFE"/>
    <w:rsid w:val="000D4D31"/>
    <w:rsid w:val="000D5921"/>
    <w:rsid w:val="000D5D42"/>
    <w:rsid w:val="000E3C58"/>
    <w:rsid w:val="000E3F00"/>
    <w:rsid w:val="000E5BD1"/>
    <w:rsid w:val="000E61E9"/>
    <w:rsid w:val="000E6F4D"/>
    <w:rsid w:val="000F2938"/>
    <w:rsid w:val="000F39B8"/>
    <w:rsid w:val="000F4BA5"/>
    <w:rsid w:val="000F52FB"/>
    <w:rsid w:val="0010126A"/>
    <w:rsid w:val="00101FB5"/>
    <w:rsid w:val="001124EC"/>
    <w:rsid w:val="0011298F"/>
    <w:rsid w:val="00117E65"/>
    <w:rsid w:val="00117F72"/>
    <w:rsid w:val="00122C4F"/>
    <w:rsid w:val="001263A1"/>
    <w:rsid w:val="00126A64"/>
    <w:rsid w:val="00127D59"/>
    <w:rsid w:val="00130B51"/>
    <w:rsid w:val="00132B18"/>
    <w:rsid w:val="001339F1"/>
    <w:rsid w:val="00136789"/>
    <w:rsid w:val="00136BC9"/>
    <w:rsid w:val="00140CB6"/>
    <w:rsid w:val="00142D60"/>
    <w:rsid w:val="00143D8B"/>
    <w:rsid w:val="00144315"/>
    <w:rsid w:val="001458FC"/>
    <w:rsid w:val="001465CB"/>
    <w:rsid w:val="00147F37"/>
    <w:rsid w:val="00150277"/>
    <w:rsid w:val="0015192B"/>
    <w:rsid w:val="00155977"/>
    <w:rsid w:val="00157F16"/>
    <w:rsid w:val="00164C6C"/>
    <w:rsid w:val="00167164"/>
    <w:rsid w:val="00171CF6"/>
    <w:rsid w:val="00175C45"/>
    <w:rsid w:val="00175E14"/>
    <w:rsid w:val="00176431"/>
    <w:rsid w:val="00183A31"/>
    <w:rsid w:val="00184B75"/>
    <w:rsid w:val="001866C5"/>
    <w:rsid w:val="00187BED"/>
    <w:rsid w:val="00194F52"/>
    <w:rsid w:val="00196809"/>
    <w:rsid w:val="001A0659"/>
    <w:rsid w:val="001A18BA"/>
    <w:rsid w:val="001A3139"/>
    <w:rsid w:val="001A3E44"/>
    <w:rsid w:val="001A4E16"/>
    <w:rsid w:val="001A558B"/>
    <w:rsid w:val="001A7E56"/>
    <w:rsid w:val="001B0374"/>
    <w:rsid w:val="001B0697"/>
    <w:rsid w:val="001B50B4"/>
    <w:rsid w:val="001C0910"/>
    <w:rsid w:val="001C6A4D"/>
    <w:rsid w:val="001C6F5E"/>
    <w:rsid w:val="001C7765"/>
    <w:rsid w:val="001D0517"/>
    <w:rsid w:val="001D11CC"/>
    <w:rsid w:val="001D43A9"/>
    <w:rsid w:val="001E747B"/>
    <w:rsid w:val="001E7628"/>
    <w:rsid w:val="001F13FB"/>
    <w:rsid w:val="001F3666"/>
    <w:rsid w:val="001F3DBA"/>
    <w:rsid w:val="001F45A8"/>
    <w:rsid w:val="001F5F46"/>
    <w:rsid w:val="001F66D5"/>
    <w:rsid w:val="001F677E"/>
    <w:rsid w:val="00200588"/>
    <w:rsid w:val="00202833"/>
    <w:rsid w:val="002029CE"/>
    <w:rsid w:val="00203999"/>
    <w:rsid w:val="00203A60"/>
    <w:rsid w:val="00210061"/>
    <w:rsid w:val="00210988"/>
    <w:rsid w:val="00210EC5"/>
    <w:rsid w:val="00213CD4"/>
    <w:rsid w:val="0021544B"/>
    <w:rsid w:val="00217BCE"/>
    <w:rsid w:val="002211E5"/>
    <w:rsid w:val="002227E7"/>
    <w:rsid w:val="002238BF"/>
    <w:rsid w:val="0022430C"/>
    <w:rsid w:val="00225562"/>
    <w:rsid w:val="00237833"/>
    <w:rsid w:val="00240E17"/>
    <w:rsid w:val="00243F8B"/>
    <w:rsid w:val="00244CF3"/>
    <w:rsid w:val="00246400"/>
    <w:rsid w:val="0025248E"/>
    <w:rsid w:val="00254442"/>
    <w:rsid w:val="0025448E"/>
    <w:rsid w:val="002578A9"/>
    <w:rsid w:val="002606DD"/>
    <w:rsid w:val="00261337"/>
    <w:rsid w:val="00263562"/>
    <w:rsid w:val="0026755B"/>
    <w:rsid w:val="00272A6E"/>
    <w:rsid w:val="00273C45"/>
    <w:rsid w:val="00274CDD"/>
    <w:rsid w:val="00281B42"/>
    <w:rsid w:val="00281F8B"/>
    <w:rsid w:val="00282FA7"/>
    <w:rsid w:val="0028507C"/>
    <w:rsid w:val="00287CD6"/>
    <w:rsid w:val="00294031"/>
    <w:rsid w:val="00295F3C"/>
    <w:rsid w:val="002A5C0A"/>
    <w:rsid w:val="002A6385"/>
    <w:rsid w:val="002B0A1C"/>
    <w:rsid w:val="002B0C52"/>
    <w:rsid w:val="002B1115"/>
    <w:rsid w:val="002B1B4C"/>
    <w:rsid w:val="002B4ADD"/>
    <w:rsid w:val="002B62D6"/>
    <w:rsid w:val="002B6AA9"/>
    <w:rsid w:val="002B7717"/>
    <w:rsid w:val="002B7A64"/>
    <w:rsid w:val="002B7CB9"/>
    <w:rsid w:val="002B7D60"/>
    <w:rsid w:val="002C4073"/>
    <w:rsid w:val="002C7317"/>
    <w:rsid w:val="002D0E9F"/>
    <w:rsid w:val="002D23CC"/>
    <w:rsid w:val="002D5C0D"/>
    <w:rsid w:val="002E0F4E"/>
    <w:rsid w:val="002E459B"/>
    <w:rsid w:val="002E49DE"/>
    <w:rsid w:val="002E4BB7"/>
    <w:rsid w:val="002E61DC"/>
    <w:rsid w:val="002E78F3"/>
    <w:rsid w:val="002F08F4"/>
    <w:rsid w:val="002F09E1"/>
    <w:rsid w:val="002F2145"/>
    <w:rsid w:val="002F31B6"/>
    <w:rsid w:val="002F7700"/>
    <w:rsid w:val="00300689"/>
    <w:rsid w:val="00301E35"/>
    <w:rsid w:val="0030510F"/>
    <w:rsid w:val="00306571"/>
    <w:rsid w:val="00306E5B"/>
    <w:rsid w:val="00312502"/>
    <w:rsid w:val="00314469"/>
    <w:rsid w:val="003145B6"/>
    <w:rsid w:val="00314C80"/>
    <w:rsid w:val="0031745B"/>
    <w:rsid w:val="00320773"/>
    <w:rsid w:val="00325193"/>
    <w:rsid w:val="003302DA"/>
    <w:rsid w:val="00330F80"/>
    <w:rsid w:val="00332F36"/>
    <w:rsid w:val="00335DD0"/>
    <w:rsid w:val="00337923"/>
    <w:rsid w:val="00342ABD"/>
    <w:rsid w:val="00354B19"/>
    <w:rsid w:val="00355184"/>
    <w:rsid w:val="003553F8"/>
    <w:rsid w:val="003556B8"/>
    <w:rsid w:val="00355D95"/>
    <w:rsid w:val="00362F56"/>
    <w:rsid w:val="00363DA3"/>
    <w:rsid w:val="003651DB"/>
    <w:rsid w:val="003678F7"/>
    <w:rsid w:val="00371583"/>
    <w:rsid w:val="00373383"/>
    <w:rsid w:val="00373F13"/>
    <w:rsid w:val="003740A4"/>
    <w:rsid w:val="00376042"/>
    <w:rsid w:val="00377ACA"/>
    <w:rsid w:val="00382198"/>
    <w:rsid w:val="003852A2"/>
    <w:rsid w:val="003901E3"/>
    <w:rsid w:val="00390FC1"/>
    <w:rsid w:val="00392155"/>
    <w:rsid w:val="003979B8"/>
    <w:rsid w:val="003A1A43"/>
    <w:rsid w:val="003A1D70"/>
    <w:rsid w:val="003A1E32"/>
    <w:rsid w:val="003A4741"/>
    <w:rsid w:val="003A58DA"/>
    <w:rsid w:val="003A6964"/>
    <w:rsid w:val="003A704D"/>
    <w:rsid w:val="003B0E7D"/>
    <w:rsid w:val="003B70C3"/>
    <w:rsid w:val="003B7661"/>
    <w:rsid w:val="003B76D9"/>
    <w:rsid w:val="003C337A"/>
    <w:rsid w:val="003C4B32"/>
    <w:rsid w:val="003C54FB"/>
    <w:rsid w:val="003C7D0D"/>
    <w:rsid w:val="003D0B3A"/>
    <w:rsid w:val="003D3396"/>
    <w:rsid w:val="003D34B5"/>
    <w:rsid w:val="003D3766"/>
    <w:rsid w:val="003D4895"/>
    <w:rsid w:val="003D6FFF"/>
    <w:rsid w:val="003E08F6"/>
    <w:rsid w:val="003E11AF"/>
    <w:rsid w:val="003E2A41"/>
    <w:rsid w:val="003E329E"/>
    <w:rsid w:val="003E3AC9"/>
    <w:rsid w:val="003E42DA"/>
    <w:rsid w:val="003E506B"/>
    <w:rsid w:val="003E5F70"/>
    <w:rsid w:val="003E796B"/>
    <w:rsid w:val="003F0E19"/>
    <w:rsid w:val="003F1D7B"/>
    <w:rsid w:val="003F242D"/>
    <w:rsid w:val="003F5E3A"/>
    <w:rsid w:val="00400C87"/>
    <w:rsid w:val="00400E70"/>
    <w:rsid w:val="004025FC"/>
    <w:rsid w:val="00403177"/>
    <w:rsid w:val="00407281"/>
    <w:rsid w:val="00411196"/>
    <w:rsid w:val="00414EBC"/>
    <w:rsid w:val="00415687"/>
    <w:rsid w:val="00420901"/>
    <w:rsid w:val="00420BF6"/>
    <w:rsid w:val="00421650"/>
    <w:rsid w:val="00421952"/>
    <w:rsid w:val="00422AEF"/>
    <w:rsid w:val="0042417F"/>
    <w:rsid w:val="00425440"/>
    <w:rsid w:val="004268FF"/>
    <w:rsid w:val="0043216C"/>
    <w:rsid w:val="00433C6A"/>
    <w:rsid w:val="00436774"/>
    <w:rsid w:val="00440CF6"/>
    <w:rsid w:val="00453AB2"/>
    <w:rsid w:val="004548C6"/>
    <w:rsid w:val="0045739D"/>
    <w:rsid w:val="00465E4D"/>
    <w:rsid w:val="004660F3"/>
    <w:rsid w:val="00466C1E"/>
    <w:rsid w:val="00480F82"/>
    <w:rsid w:val="004816C1"/>
    <w:rsid w:val="004819AC"/>
    <w:rsid w:val="004822C2"/>
    <w:rsid w:val="0048418C"/>
    <w:rsid w:val="004904D6"/>
    <w:rsid w:val="0049087F"/>
    <w:rsid w:val="004909FA"/>
    <w:rsid w:val="00495D11"/>
    <w:rsid w:val="004A076D"/>
    <w:rsid w:val="004A1D50"/>
    <w:rsid w:val="004A3D26"/>
    <w:rsid w:val="004A4569"/>
    <w:rsid w:val="004A4B6F"/>
    <w:rsid w:val="004A566C"/>
    <w:rsid w:val="004A5F8D"/>
    <w:rsid w:val="004A714D"/>
    <w:rsid w:val="004B1B44"/>
    <w:rsid w:val="004B5236"/>
    <w:rsid w:val="004C11B7"/>
    <w:rsid w:val="004C1391"/>
    <w:rsid w:val="004C4787"/>
    <w:rsid w:val="004C55B3"/>
    <w:rsid w:val="004C7ADB"/>
    <w:rsid w:val="004D2FA4"/>
    <w:rsid w:val="004D3549"/>
    <w:rsid w:val="004D3C33"/>
    <w:rsid w:val="004D492C"/>
    <w:rsid w:val="004D5ECD"/>
    <w:rsid w:val="004D67D6"/>
    <w:rsid w:val="004D74D7"/>
    <w:rsid w:val="004D785F"/>
    <w:rsid w:val="004D7E11"/>
    <w:rsid w:val="004E0606"/>
    <w:rsid w:val="004E174E"/>
    <w:rsid w:val="004E3223"/>
    <w:rsid w:val="004E518E"/>
    <w:rsid w:val="004E6CAB"/>
    <w:rsid w:val="004E706A"/>
    <w:rsid w:val="004E7F26"/>
    <w:rsid w:val="004F41D7"/>
    <w:rsid w:val="004F5F42"/>
    <w:rsid w:val="004F680A"/>
    <w:rsid w:val="00501D4E"/>
    <w:rsid w:val="005042DE"/>
    <w:rsid w:val="005068AF"/>
    <w:rsid w:val="00506E1B"/>
    <w:rsid w:val="005071A1"/>
    <w:rsid w:val="0051065D"/>
    <w:rsid w:val="00512D6D"/>
    <w:rsid w:val="0051483D"/>
    <w:rsid w:val="00514D6C"/>
    <w:rsid w:val="005212D4"/>
    <w:rsid w:val="00523426"/>
    <w:rsid w:val="00524379"/>
    <w:rsid w:val="00524674"/>
    <w:rsid w:val="00524C47"/>
    <w:rsid w:val="005266B7"/>
    <w:rsid w:val="00527042"/>
    <w:rsid w:val="00527A5D"/>
    <w:rsid w:val="00532E70"/>
    <w:rsid w:val="00533313"/>
    <w:rsid w:val="005344FF"/>
    <w:rsid w:val="0053478C"/>
    <w:rsid w:val="005363EB"/>
    <w:rsid w:val="00536ECC"/>
    <w:rsid w:val="00540C1C"/>
    <w:rsid w:val="00542630"/>
    <w:rsid w:val="0054483E"/>
    <w:rsid w:val="00544B45"/>
    <w:rsid w:val="005464DE"/>
    <w:rsid w:val="00546A2B"/>
    <w:rsid w:val="00554AD9"/>
    <w:rsid w:val="00554B36"/>
    <w:rsid w:val="00555ADD"/>
    <w:rsid w:val="00557662"/>
    <w:rsid w:val="005603AD"/>
    <w:rsid w:val="005616F9"/>
    <w:rsid w:val="005625AF"/>
    <w:rsid w:val="005647C3"/>
    <w:rsid w:val="00566385"/>
    <w:rsid w:val="005698B0"/>
    <w:rsid w:val="00570749"/>
    <w:rsid w:val="00573DD6"/>
    <w:rsid w:val="005753B7"/>
    <w:rsid w:val="005754A3"/>
    <w:rsid w:val="0057761F"/>
    <w:rsid w:val="00577D61"/>
    <w:rsid w:val="00583D75"/>
    <w:rsid w:val="00583E2F"/>
    <w:rsid w:val="005846F3"/>
    <w:rsid w:val="005916B3"/>
    <w:rsid w:val="00595631"/>
    <w:rsid w:val="00595E77"/>
    <w:rsid w:val="005A16AE"/>
    <w:rsid w:val="005B01A3"/>
    <w:rsid w:val="005B075C"/>
    <w:rsid w:val="005B2E5B"/>
    <w:rsid w:val="005B34D3"/>
    <w:rsid w:val="005B56DC"/>
    <w:rsid w:val="005B6887"/>
    <w:rsid w:val="005B79B5"/>
    <w:rsid w:val="005C39B9"/>
    <w:rsid w:val="005C3E6C"/>
    <w:rsid w:val="005C70BA"/>
    <w:rsid w:val="005D2BE7"/>
    <w:rsid w:val="005D4674"/>
    <w:rsid w:val="005D4AE0"/>
    <w:rsid w:val="005E1E28"/>
    <w:rsid w:val="005E2D74"/>
    <w:rsid w:val="005E30A1"/>
    <w:rsid w:val="005F195A"/>
    <w:rsid w:val="005F22F7"/>
    <w:rsid w:val="005F2E5D"/>
    <w:rsid w:val="005F3141"/>
    <w:rsid w:val="006010EC"/>
    <w:rsid w:val="00601916"/>
    <w:rsid w:val="00603707"/>
    <w:rsid w:val="0060485D"/>
    <w:rsid w:val="00607502"/>
    <w:rsid w:val="00617BC7"/>
    <w:rsid w:val="00623D0A"/>
    <w:rsid w:val="00623FED"/>
    <w:rsid w:val="006264DC"/>
    <w:rsid w:val="00632BC6"/>
    <w:rsid w:val="00633159"/>
    <w:rsid w:val="00633C6B"/>
    <w:rsid w:val="0063434B"/>
    <w:rsid w:val="00635030"/>
    <w:rsid w:val="00635364"/>
    <w:rsid w:val="00647F94"/>
    <w:rsid w:val="006511E0"/>
    <w:rsid w:val="006513D2"/>
    <w:rsid w:val="0065254C"/>
    <w:rsid w:val="0065375F"/>
    <w:rsid w:val="00653C9F"/>
    <w:rsid w:val="00653D2E"/>
    <w:rsid w:val="00654ACE"/>
    <w:rsid w:val="0066204A"/>
    <w:rsid w:val="00663437"/>
    <w:rsid w:val="0066388F"/>
    <w:rsid w:val="00664ACD"/>
    <w:rsid w:val="0066742C"/>
    <w:rsid w:val="00667B7F"/>
    <w:rsid w:val="00671D34"/>
    <w:rsid w:val="00673F68"/>
    <w:rsid w:val="00674D67"/>
    <w:rsid w:val="006757A5"/>
    <w:rsid w:val="00676B59"/>
    <w:rsid w:val="0068464F"/>
    <w:rsid w:val="006847BB"/>
    <w:rsid w:val="00684880"/>
    <w:rsid w:val="00687F41"/>
    <w:rsid w:val="00690B19"/>
    <w:rsid w:val="00692F66"/>
    <w:rsid w:val="006959C2"/>
    <w:rsid w:val="00696213"/>
    <w:rsid w:val="00697B04"/>
    <w:rsid w:val="006A39D7"/>
    <w:rsid w:val="006A76E8"/>
    <w:rsid w:val="006A7A88"/>
    <w:rsid w:val="006B1648"/>
    <w:rsid w:val="006B27FE"/>
    <w:rsid w:val="006B4026"/>
    <w:rsid w:val="006B6F1D"/>
    <w:rsid w:val="006C03E5"/>
    <w:rsid w:val="006C0CAE"/>
    <w:rsid w:val="006C26BE"/>
    <w:rsid w:val="006C4D92"/>
    <w:rsid w:val="006C4E4D"/>
    <w:rsid w:val="006D4258"/>
    <w:rsid w:val="006D74A3"/>
    <w:rsid w:val="006D7956"/>
    <w:rsid w:val="006E6730"/>
    <w:rsid w:val="006F4179"/>
    <w:rsid w:val="006F4B08"/>
    <w:rsid w:val="006F7BA7"/>
    <w:rsid w:val="00702F1A"/>
    <w:rsid w:val="00704E07"/>
    <w:rsid w:val="00704E42"/>
    <w:rsid w:val="007102C2"/>
    <w:rsid w:val="00710561"/>
    <w:rsid w:val="007127CF"/>
    <w:rsid w:val="00714306"/>
    <w:rsid w:val="0071673E"/>
    <w:rsid w:val="007226E3"/>
    <w:rsid w:val="00725D5D"/>
    <w:rsid w:val="00734D61"/>
    <w:rsid w:val="00736C62"/>
    <w:rsid w:val="00744E1D"/>
    <w:rsid w:val="00745592"/>
    <w:rsid w:val="007467F7"/>
    <w:rsid w:val="0075069C"/>
    <w:rsid w:val="007545EE"/>
    <w:rsid w:val="00754D61"/>
    <w:rsid w:val="00757546"/>
    <w:rsid w:val="007601BB"/>
    <w:rsid w:val="00761EAD"/>
    <w:rsid w:val="00762053"/>
    <w:rsid w:val="00762E7E"/>
    <w:rsid w:val="007642F0"/>
    <w:rsid w:val="00771679"/>
    <w:rsid w:val="00771805"/>
    <w:rsid w:val="007721A6"/>
    <w:rsid w:val="00775A5D"/>
    <w:rsid w:val="00776FD5"/>
    <w:rsid w:val="00777177"/>
    <w:rsid w:val="007772D5"/>
    <w:rsid w:val="00777CD0"/>
    <w:rsid w:val="00790628"/>
    <w:rsid w:val="00791F34"/>
    <w:rsid w:val="00793723"/>
    <w:rsid w:val="00796089"/>
    <w:rsid w:val="007969D4"/>
    <w:rsid w:val="007A1A2F"/>
    <w:rsid w:val="007A27DC"/>
    <w:rsid w:val="007B0C35"/>
    <w:rsid w:val="007B1BF5"/>
    <w:rsid w:val="007B5123"/>
    <w:rsid w:val="007B5B37"/>
    <w:rsid w:val="007B75CD"/>
    <w:rsid w:val="007B776D"/>
    <w:rsid w:val="007C1A62"/>
    <w:rsid w:val="007C2C29"/>
    <w:rsid w:val="007C2EB4"/>
    <w:rsid w:val="007C44BF"/>
    <w:rsid w:val="007C4D1D"/>
    <w:rsid w:val="007C522D"/>
    <w:rsid w:val="007C5835"/>
    <w:rsid w:val="007C5C3F"/>
    <w:rsid w:val="007C602E"/>
    <w:rsid w:val="007D1FF7"/>
    <w:rsid w:val="007D523F"/>
    <w:rsid w:val="007D568B"/>
    <w:rsid w:val="007D6CD7"/>
    <w:rsid w:val="007E01D9"/>
    <w:rsid w:val="007E0F61"/>
    <w:rsid w:val="007E2393"/>
    <w:rsid w:val="007E25A8"/>
    <w:rsid w:val="007E388B"/>
    <w:rsid w:val="007E52F9"/>
    <w:rsid w:val="007E7C85"/>
    <w:rsid w:val="007E7F89"/>
    <w:rsid w:val="007F02B7"/>
    <w:rsid w:val="007F06BE"/>
    <w:rsid w:val="007F0DE3"/>
    <w:rsid w:val="007F3800"/>
    <w:rsid w:val="007F4C89"/>
    <w:rsid w:val="007F54FD"/>
    <w:rsid w:val="007F5552"/>
    <w:rsid w:val="007F7572"/>
    <w:rsid w:val="008005EE"/>
    <w:rsid w:val="0080076C"/>
    <w:rsid w:val="00800F3E"/>
    <w:rsid w:val="00803863"/>
    <w:rsid w:val="00805AA2"/>
    <w:rsid w:val="00810409"/>
    <w:rsid w:val="00811F8F"/>
    <w:rsid w:val="00812320"/>
    <w:rsid w:val="00812DAF"/>
    <w:rsid w:val="008133FF"/>
    <w:rsid w:val="00814C08"/>
    <w:rsid w:val="00820595"/>
    <w:rsid w:val="00820F63"/>
    <w:rsid w:val="00824BAE"/>
    <w:rsid w:val="008264FA"/>
    <w:rsid w:val="00826839"/>
    <w:rsid w:val="0082759F"/>
    <w:rsid w:val="008314E1"/>
    <w:rsid w:val="00832C99"/>
    <w:rsid w:val="008345F8"/>
    <w:rsid w:val="008401A4"/>
    <w:rsid w:val="008411A1"/>
    <w:rsid w:val="00842486"/>
    <w:rsid w:val="00842FBA"/>
    <w:rsid w:val="00843049"/>
    <w:rsid w:val="00843EA0"/>
    <w:rsid w:val="00846BB2"/>
    <w:rsid w:val="0084769F"/>
    <w:rsid w:val="00847DF0"/>
    <w:rsid w:val="00847FE2"/>
    <w:rsid w:val="00850247"/>
    <w:rsid w:val="0085084A"/>
    <w:rsid w:val="00855730"/>
    <w:rsid w:val="00856112"/>
    <w:rsid w:val="008608DB"/>
    <w:rsid w:val="008645CD"/>
    <w:rsid w:val="00865300"/>
    <w:rsid w:val="008660A7"/>
    <w:rsid w:val="00866E14"/>
    <w:rsid w:val="00867AA0"/>
    <w:rsid w:val="00870E25"/>
    <w:rsid w:val="008729B2"/>
    <w:rsid w:val="00872F4B"/>
    <w:rsid w:val="00874DCC"/>
    <w:rsid w:val="00875B3D"/>
    <w:rsid w:val="00880394"/>
    <w:rsid w:val="008805BB"/>
    <w:rsid w:val="008913FB"/>
    <w:rsid w:val="00891B0B"/>
    <w:rsid w:val="00892BEB"/>
    <w:rsid w:val="00893494"/>
    <w:rsid w:val="0089397D"/>
    <w:rsid w:val="00894D27"/>
    <w:rsid w:val="00895D50"/>
    <w:rsid w:val="00896F32"/>
    <w:rsid w:val="008A08DE"/>
    <w:rsid w:val="008A1256"/>
    <w:rsid w:val="008A184F"/>
    <w:rsid w:val="008A2468"/>
    <w:rsid w:val="008A3179"/>
    <w:rsid w:val="008A389F"/>
    <w:rsid w:val="008A415E"/>
    <w:rsid w:val="008A43D4"/>
    <w:rsid w:val="008B3652"/>
    <w:rsid w:val="008C0B48"/>
    <w:rsid w:val="008C51A5"/>
    <w:rsid w:val="008C57FC"/>
    <w:rsid w:val="008D0B7D"/>
    <w:rsid w:val="008D2525"/>
    <w:rsid w:val="008D2F40"/>
    <w:rsid w:val="008E3EF6"/>
    <w:rsid w:val="008E506A"/>
    <w:rsid w:val="008F0E98"/>
    <w:rsid w:val="008F1C20"/>
    <w:rsid w:val="008F45DA"/>
    <w:rsid w:val="0090157A"/>
    <w:rsid w:val="00901925"/>
    <w:rsid w:val="009021D9"/>
    <w:rsid w:val="00902DB8"/>
    <w:rsid w:val="00904DB8"/>
    <w:rsid w:val="00912623"/>
    <w:rsid w:val="0091282A"/>
    <w:rsid w:val="0091283E"/>
    <w:rsid w:val="009138EC"/>
    <w:rsid w:val="00914709"/>
    <w:rsid w:val="00916791"/>
    <w:rsid w:val="00921FD2"/>
    <w:rsid w:val="00923E3F"/>
    <w:rsid w:val="00925F1F"/>
    <w:rsid w:val="0092678D"/>
    <w:rsid w:val="009276BB"/>
    <w:rsid w:val="00933B29"/>
    <w:rsid w:val="009360C1"/>
    <w:rsid w:val="009365D0"/>
    <w:rsid w:val="009376E6"/>
    <w:rsid w:val="00943901"/>
    <w:rsid w:val="00946936"/>
    <w:rsid w:val="0095479A"/>
    <w:rsid w:val="009554CF"/>
    <w:rsid w:val="00955F2E"/>
    <w:rsid w:val="009603CA"/>
    <w:rsid w:val="00961C73"/>
    <w:rsid w:val="00963206"/>
    <w:rsid w:val="00964C86"/>
    <w:rsid w:val="00970DBC"/>
    <w:rsid w:val="00972F5B"/>
    <w:rsid w:val="00973D9C"/>
    <w:rsid w:val="00974BF5"/>
    <w:rsid w:val="009759EE"/>
    <w:rsid w:val="00975BBD"/>
    <w:rsid w:val="00977CBE"/>
    <w:rsid w:val="00977F9D"/>
    <w:rsid w:val="009809C0"/>
    <w:rsid w:val="00981E50"/>
    <w:rsid w:val="0098427C"/>
    <w:rsid w:val="00987738"/>
    <w:rsid w:val="0099132F"/>
    <w:rsid w:val="00992911"/>
    <w:rsid w:val="00993663"/>
    <w:rsid w:val="009955C1"/>
    <w:rsid w:val="00995D27"/>
    <w:rsid w:val="00995FCB"/>
    <w:rsid w:val="00996176"/>
    <w:rsid w:val="009A01B5"/>
    <w:rsid w:val="009A1182"/>
    <w:rsid w:val="009A7D4A"/>
    <w:rsid w:val="009B47D0"/>
    <w:rsid w:val="009B5825"/>
    <w:rsid w:val="009B653A"/>
    <w:rsid w:val="009C4162"/>
    <w:rsid w:val="009C562C"/>
    <w:rsid w:val="009C5717"/>
    <w:rsid w:val="009D015A"/>
    <w:rsid w:val="009D07A9"/>
    <w:rsid w:val="009D14C4"/>
    <w:rsid w:val="009D2B35"/>
    <w:rsid w:val="009D35C3"/>
    <w:rsid w:val="009D3ABC"/>
    <w:rsid w:val="009D42E8"/>
    <w:rsid w:val="009D4C92"/>
    <w:rsid w:val="009D513D"/>
    <w:rsid w:val="009D6295"/>
    <w:rsid w:val="009E1751"/>
    <w:rsid w:val="009E1961"/>
    <w:rsid w:val="009E3A76"/>
    <w:rsid w:val="009E3DB8"/>
    <w:rsid w:val="009F12A8"/>
    <w:rsid w:val="009F4205"/>
    <w:rsid w:val="009F4488"/>
    <w:rsid w:val="009F5A7C"/>
    <w:rsid w:val="009F6D2C"/>
    <w:rsid w:val="009F7B59"/>
    <w:rsid w:val="00A00EE4"/>
    <w:rsid w:val="00A020D2"/>
    <w:rsid w:val="00A020D4"/>
    <w:rsid w:val="00A03C21"/>
    <w:rsid w:val="00A0485E"/>
    <w:rsid w:val="00A04ADD"/>
    <w:rsid w:val="00A0628C"/>
    <w:rsid w:val="00A0714A"/>
    <w:rsid w:val="00A12BF2"/>
    <w:rsid w:val="00A12F71"/>
    <w:rsid w:val="00A1310D"/>
    <w:rsid w:val="00A139FB"/>
    <w:rsid w:val="00A212FB"/>
    <w:rsid w:val="00A22DA0"/>
    <w:rsid w:val="00A239D0"/>
    <w:rsid w:val="00A30E65"/>
    <w:rsid w:val="00A313A6"/>
    <w:rsid w:val="00A32279"/>
    <w:rsid w:val="00A322A5"/>
    <w:rsid w:val="00A340D6"/>
    <w:rsid w:val="00A35CA6"/>
    <w:rsid w:val="00A4217F"/>
    <w:rsid w:val="00A4228C"/>
    <w:rsid w:val="00A43D91"/>
    <w:rsid w:val="00A443A4"/>
    <w:rsid w:val="00A4454B"/>
    <w:rsid w:val="00A565D8"/>
    <w:rsid w:val="00A57E1B"/>
    <w:rsid w:val="00A61503"/>
    <w:rsid w:val="00A63163"/>
    <w:rsid w:val="00A63584"/>
    <w:rsid w:val="00A64202"/>
    <w:rsid w:val="00A66BE9"/>
    <w:rsid w:val="00A74B14"/>
    <w:rsid w:val="00A7640B"/>
    <w:rsid w:val="00A806BE"/>
    <w:rsid w:val="00A812C2"/>
    <w:rsid w:val="00A82581"/>
    <w:rsid w:val="00A82F7E"/>
    <w:rsid w:val="00A8641D"/>
    <w:rsid w:val="00A86E01"/>
    <w:rsid w:val="00A90902"/>
    <w:rsid w:val="00A918B7"/>
    <w:rsid w:val="00A96C7E"/>
    <w:rsid w:val="00A977F2"/>
    <w:rsid w:val="00AA1589"/>
    <w:rsid w:val="00AA34D6"/>
    <w:rsid w:val="00AA493D"/>
    <w:rsid w:val="00AA7E21"/>
    <w:rsid w:val="00AB0012"/>
    <w:rsid w:val="00AB0914"/>
    <w:rsid w:val="00AB195C"/>
    <w:rsid w:val="00AB2E7C"/>
    <w:rsid w:val="00AB3CC8"/>
    <w:rsid w:val="00AB5C2E"/>
    <w:rsid w:val="00AB61D0"/>
    <w:rsid w:val="00AC2C26"/>
    <w:rsid w:val="00AC6E04"/>
    <w:rsid w:val="00AC763A"/>
    <w:rsid w:val="00AD04E8"/>
    <w:rsid w:val="00AD0966"/>
    <w:rsid w:val="00AD0AC7"/>
    <w:rsid w:val="00AD186E"/>
    <w:rsid w:val="00AD3AF4"/>
    <w:rsid w:val="00AD5370"/>
    <w:rsid w:val="00AE0DDA"/>
    <w:rsid w:val="00AE524C"/>
    <w:rsid w:val="00AE5AB3"/>
    <w:rsid w:val="00AE5B28"/>
    <w:rsid w:val="00AF0619"/>
    <w:rsid w:val="00AF0B36"/>
    <w:rsid w:val="00AF0DD8"/>
    <w:rsid w:val="00AF224C"/>
    <w:rsid w:val="00AF353D"/>
    <w:rsid w:val="00AF36AB"/>
    <w:rsid w:val="00AF50E2"/>
    <w:rsid w:val="00AF5934"/>
    <w:rsid w:val="00AF705B"/>
    <w:rsid w:val="00AF74A5"/>
    <w:rsid w:val="00AF7C09"/>
    <w:rsid w:val="00B00CE0"/>
    <w:rsid w:val="00B015ED"/>
    <w:rsid w:val="00B015FF"/>
    <w:rsid w:val="00B03C80"/>
    <w:rsid w:val="00B107D8"/>
    <w:rsid w:val="00B1205B"/>
    <w:rsid w:val="00B12F88"/>
    <w:rsid w:val="00B15507"/>
    <w:rsid w:val="00B164B7"/>
    <w:rsid w:val="00B1684A"/>
    <w:rsid w:val="00B170E0"/>
    <w:rsid w:val="00B17767"/>
    <w:rsid w:val="00B202E5"/>
    <w:rsid w:val="00B223B4"/>
    <w:rsid w:val="00B2384A"/>
    <w:rsid w:val="00B25CA4"/>
    <w:rsid w:val="00B3097D"/>
    <w:rsid w:val="00B33472"/>
    <w:rsid w:val="00B35C3C"/>
    <w:rsid w:val="00B379F0"/>
    <w:rsid w:val="00B40069"/>
    <w:rsid w:val="00B42063"/>
    <w:rsid w:val="00B45661"/>
    <w:rsid w:val="00B4646B"/>
    <w:rsid w:val="00B464C2"/>
    <w:rsid w:val="00B47455"/>
    <w:rsid w:val="00B5353A"/>
    <w:rsid w:val="00B53755"/>
    <w:rsid w:val="00B53772"/>
    <w:rsid w:val="00B53807"/>
    <w:rsid w:val="00B54FAF"/>
    <w:rsid w:val="00B55C5E"/>
    <w:rsid w:val="00B56326"/>
    <w:rsid w:val="00B57A21"/>
    <w:rsid w:val="00B622C1"/>
    <w:rsid w:val="00B622EE"/>
    <w:rsid w:val="00B63247"/>
    <w:rsid w:val="00B63662"/>
    <w:rsid w:val="00B67303"/>
    <w:rsid w:val="00B67BAF"/>
    <w:rsid w:val="00B729B1"/>
    <w:rsid w:val="00B75339"/>
    <w:rsid w:val="00B75E04"/>
    <w:rsid w:val="00B804C7"/>
    <w:rsid w:val="00B80AB4"/>
    <w:rsid w:val="00B82375"/>
    <w:rsid w:val="00B8381B"/>
    <w:rsid w:val="00B873EC"/>
    <w:rsid w:val="00B93A76"/>
    <w:rsid w:val="00B955BB"/>
    <w:rsid w:val="00B96A2D"/>
    <w:rsid w:val="00BA0404"/>
    <w:rsid w:val="00BA3D79"/>
    <w:rsid w:val="00BA4237"/>
    <w:rsid w:val="00BA47BD"/>
    <w:rsid w:val="00BA5728"/>
    <w:rsid w:val="00BA78AF"/>
    <w:rsid w:val="00BB0B94"/>
    <w:rsid w:val="00BB0C84"/>
    <w:rsid w:val="00BB4E99"/>
    <w:rsid w:val="00BC123D"/>
    <w:rsid w:val="00BC1F40"/>
    <w:rsid w:val="00BC254E"/>
    <w:rsid w:val="00BC269D"/>
    <w:rsid w:val="00BC4B86"/>
    <w:rsid w:val="00BC4CF1"/>
    <w:rsid w:val="00BE0130"/>
    <w:rsid w:val="00BE0834"/>
    <w:rsid w:val="00BE1648"/>
    <w:rsid w:val="00BE1690"/>
    <w:rsid w:val="00BE199F"/>
    <w:rsid w:val="00C00117"/>
    <w:rsid w:val="00C01057"/>
    <w:rsid w:val="00C024DA"/>
    <w:rsid w:val="00C13A16"/>
    <w:rsid w:val="00C15188"/>
    <w:rsid w:val="00C15563"/>
    <w:rsid w:val="00C15587"/>
    <w:rsid w:val="00C2353E"/>
    <w:rsid w:val="00C247DC"/>
    <w:rsid w:val="00C24C01"/>
    <w:rsid w:val="00C24F48"/>
    <w:rsid w:val="00C250C9"/>
    <w:rsid w:val="00C25827"/>
    <w:rsid w:val="00C2610F"/>
    <w:rsid w:val="00C33BEB"/>
    <w:rsid w:val="00C3607F"/>
    <w:rsid w:val="00C36827"/>
    <w:rsid w:val="00C4055C"/>
    <w:rsid w:val="00C45844"/>
    <w:rsid w:val="00C47921"/>
    <w:rsid w:val="00C55EE3"/>
    <w:rsid w:val="00C57C2B"/>
    <w:rsid w:val="00C57C87"/>
    <w:rsid w:val="00C60124"/>
    <w:rsid w:val="00C63DD1"/>
    <w:rsid w:val="00C651CB"/>
    <w:rsid w:val="00C66869"/>
    <w:rsid w:val="00C704C5"/>
    <w:rsid w:val="00C76F5E"/>
    <w:rsid w:val="00C77A12"/>
    <w:rsid w:val="00C81EBA"/>
    <w:rsid w:val="00C82340"/>
    <w:rsid w:val="00C82992"/>
    <w:rsid w:val="00C82EB3"/>
    <w:rsid w:val="00C85DFA"/>
    <w:rsid w:val="00C8723E"/>
    <w:rsid w:val="00C90679"/>
    <w:rsid w:val="00C914FA"/>
    <w:rsid w:val="00C94437"/>
    <w:rsid w:val="00C95B4B"/>
    <w:rsid w:val="00C9643E"/>
    <w:rsid w:val="00C96DB1"/>
    <w:rsid w:val="00C97756"/>
    <w:rsid w:val="00CA0E64"/>
    <w:rsid w:val="00CA320F"/>
    <w:rsid w:val="00CA3BD0"/>
    <w:rsid w:val="00CA5478"/>
    <w:rsid w:val="00CA678A"/>
    <w:rsid w:val="00CB03DE"/>
    <w:rsid w:val="00CB046C"/>
    <w:rsid w:val="00CB0526"/>
    <w:rsid w:val="00CB440A"/>
    <w:rsid w:val="00CB48F3"/>
    <w:rsid w:val="00CC293C"/>
    <w:rsid w:val="00CC3907"/>
    <w:rsid w:val="00CC3B18"/>
    <w:rsid w:val="00CC4C57"/>
    <w:rsid w:val="00CC64A9"/>
    <w:rsid w:val="00CC686E"/>
    <w:rsid w:val="00CD0C5C"/>
    <w:rsid w:val="00CD390C"/>
    <w:rsid w:val="00CD617B"/>
    <w:rsid w:val="00CD7AD8"/>
    <w:rsid w:val="00CE38F5"/>
    <w:rsid w:val="00CE3A8C"/>
    <w:rsid w:val="00CE685C"/>
    <w:rsid w:val="00CE706D"/>
    <w:rsid w:val="00CE713C"/>
    <w:rsid w:val="00CF1BBE"/>
    <w:rsid w:val="00CF30B3"/>
    <w:rsid w:val="00CF3C67"/>
    <w:rsid w:val="00CF7BF8"/>
    <w:rsid w:val="00D008A7"/>
    <w:rsid w:val="00D0131C"/>
    <w:rsid w:val="00D02CBD"/>
    <w:rsid w:val="00D03DCF"/>
    <w:rsid w:val="00D06953"/>
    <w:rsid w:val="00D06CD7"/>
    <w:rsid w:val="00D0760F"/>
    <w:rsid w:val="00D07664"/>
    <w:rsid w:val="00D1003C"/>
    <w:rsid w:val="00D16884"/>
    <w:rsid w:val="00D20179"/>
    <w:rsid w:val="00D241A1"/>
    <w:rsid w:val="00D26E47"/>
    <w:rsid w:val="00D3021D"/>
    <w:rsid w:val="00D34170"/>
    <w:rsid w:val="00D34A3B"/>
    <w:rsid w:val="00D3617A"/>
    <w:rsid w:val="00D378C1"/>
    <w:rsid w:val="00D43FF5"/>
    <w:rsid w:val="00D448A8"/>
    <w:rsid w:val="00D45D62"/>
    <w:rsid w:val="00D50582"/>
    <w:rsid w:val="00D601B6"/>
    <w:rsid w:val="00D60C44"/>
    <w:rsid w:val="00D6390D"/>
    <w:rsid w:val="00D66760"/>
    <w:rsid w:val="00D70A03"/>
    <w:rsid w:val="00D70A2F"/>
    <w:rsid w:val="00D73D2E"/>
    <w:rsid w:val="00D75213"/>
    <w:rsid w:val="00D83AC5"/>
    <w:rsid w:val="00D845A9"/>
    <w:rsid w:val="00D874C6"/>
    <w:rsid w:val="00D9090A"/>
    <w:rsid w:val="00D91346"/>
    <w:rsid w:val="00D92F50"/>
    <w:rsid w:val="00D97689"/>
    <w:rsid w:val="00DA4106"/>
    <w:rsid w:val="00DA48B4"/>
    <w:rsid w:val="00DA5478"/>
    <w:rsid w:val="00DB1DC7"/>
    <w:rsid w:val="00DB2BCA"/>
    <w:rsid w:val="00DB6D67"/>
    <w:rsid w:val="00DB6DC2"/>
    <w:rsid w:val="00DC16BE"/>
    <w:rsid w:val="00DC1FC6"/>
    <w:rsid w:val="00DC4167"/>
    <w:rsid w:val="00DC603B"/>
    <w:rsid w:val="00DC7FC1"/>
    <w:rsid w:val="00DD159F"/>
    <w:rsid w:val="00DD39F3"/>
    <w:rsid w:val="00DD4272"/>
    <w:rsid w:val="00DE14AA"/>
    <w:rsid w:val="00DE6049"/>
    <w:rsid w:val="00DE60D3"/>
    <w:rsid w:val="00DE6B13"/>
    <w:rsid w:val="00DE7CC5"/>
    <w:rsid w:val="00DF0F8C"/>
    <w:rsid w:val="00DF19EC"/>
    <w:rsid w:val="00E00EA1"/>
    <w:rsid w:val="00E02DB6"/>
    <w:rsid w:val="00E05721"/>
    <w:rsid w:val="00E066F4"/>
    <w:rsid w:val="00E07A13"/>
    <w:rsid w:val="00E10A46"/>
    <w:rsid w:val="00E10D50"/>
    <w:rsid w:val="00E11390"/>
    <w:rsid w:val="00E133A7"/>
    <w:rsid w:val="00E163BF"/>
    <w:rsid w:val="00E165DE"/>
    <w:rsid w:val="00E17695"/>
    <w:rsid w:val="00E30087"/>
    <w:rsid w:val="00E30998"/>
    <w:rsid w:val="00E31FE0"/>
    <w:rsid w:val="00E32652"/>
    <w:rsid w:val="00E343B8"/>
    <w:rsid w:val="00E35952"/>
    <w:rsid w:val="00E35A55"/>
    <w:rsid w:val="00E415C1"/>
    <w:rsid w:val="00E42D0A"/>
    <w:rsid w:val="00E43AFE"/>
    <w:rsid w:val="00E44334"/>
    <w:rsid w:val="00E51C34"/>
    <w:rsid w:val="00E577C8"/>
    <w:rsid w:val="00E57DBA"/>
    <w:rsid w:val="00E6076E"/>
    <w:rsid w:val="00E6321E"/>
    <w:rsid w:val="00E6459A"/>
    <w:rsid w:val="00E655DF"/>
    <w:rsid w:val="00E66C7C"/>
    <w:rsid w:val="00E70394"/>
    <w:rsid w:val="00E70D62"/>
    <w:rsid w:val="00E74085"/>
    <w:rsid w:val="00E74B31"/>
    <w:rsid w:val="00E76017"/>
    <w:rsid w:val="00E77B67"/>
    <w:rsid w:val="00E80D59"/>
    <w:rsid w:val="00E813A2"/>
    <w:rsid w:val="00E82C0B"/>
    <w:rsid w:val="00E84463"/>
    <w:rsid w:val="00E85281"/>
    <w:rsid w:val="00E853BA"/>
    <w:rsid w:val="00E92244"/>
    <w:rsid w:val="00E93875"/>
    <w:rsid w:val="00E938C6"/>
    <w:rsid w:val="00E94D9F"/>
    <w:rsid w:val="00E953D1"/>
    <w:rsid w:val="00E9652C"/>
    <w:rsid w:val="00EA066D"/>
    <w:rsid w:val="00EB0BE3"/>
    <w:rsid w:val="00EB39A2"/>
    <w:rsid w:val="00EB3C38"/>
    <w:rsid w:val="00EB4BCC"/>
    <w:rsid w:val="00EB6506"/>
    <w:rsid w:val="00EB7DB2"/>
    <w:rsid w:val="00EC0D96"/>
    <w:rsid w:val="00EC1B9B"/>
    <w:rsid w:val="00EC277E"/>
    <w:rsid w:val="00EC5AB6"/>
    <w:rsid w:val="00EC74C6"/>
    <w:rsid w:val="00ED3563"/>
    <w:rsid w:val="00ED5666"/>
    <w:rsid w:val="00ED7151"/>
    <w:rsid w:val="00EE0CD6"/>
    <w:rsid w:val="00EE514B"/>
    <w:rsid w:val="00EE6B73"/>
    <w:rsid w:val="00EF14AD"/>
    <w:rsid w:val="00EF160B"/>
    <w:rsid w:val="00F00864"/>
    <w:rsid w:val="00F02CDA"/>
    <w:rsid w:val="00F05A99"/>
    <w:rsid w:val="00F06208"/>
    <w:rsid w:val="00F06B22"/>
    <w:rsid w:val="00F07009"/>
    <w:rsid w:val="00F07959"/>
    <w:rsid w:val="00F1100B"/>
    <w:rsid w:val="00F119FF"/>
    <w:rsid w:val="00F11CA6"/>
    <w:rsid w:val="00F20A73"/>
    <w:rsid w:val="00F2244F"/>
    <w:rsid w:val="00F2574A"/>
    <w:rsid w:val="00F2C76C"/>
    <w:rsid w:val="00F34753"/>
    <w:rsid w:val="00F34A42"/>
    <w:rsid w:val="00F36BB0"/>
    <w:rsid w:val="00F37CA9"/>
    <w:rsid w:val="00F40E85"/>
    <w:rsid w:val="00F4208B"/>
    <w:rsid w:val="00F42E02"/>
    <w:rsid w:val="00F43326"/>
    <w:rsid w:val="00F47D9D"/>
    <w:rsid w:val="00F506A3"/>
    <w:rsid w:val="00F512AA"/>
    <w:rsid w:val="00F52F50"/>
    <w:rsid w:val="00F61555"/>
    <w:rsid w:val="00F62B85"/>
    <w:rsid w:val="00F62C1E"/>
    <w:rsid w:val="00F63986"/>
    <w:rsid w:val="00F63AEA"/>
    <w:rsid w:val="00F63C30"/>
    <w:rsid w:val="00F63FC1"/>
    <w:rsid w:val="00F65BD1"/>
    <w:rsid w:val="00F67C82"/>
    <w:rsid w:val="00F70F05"/>
    <w:rsid w:val="00F75852"/>
    <w:rsid w:val="00F77A9B"/>
    <w:rsid w:val="00F77C89"/>
    <w:rsid w:val="00F806B9"/>
    <w:rsid w:val="00F8459B"/>
    <w:rsid w:val="00F917A3"/>
    <w:rsid w:val="00F92FAA"/>
    <w:rsid w:val="00F932A4"/>
    <w:rsid w:val="00F934CD"/>
    <w:rsid w:val="00F94F42"/>
    <w:rsid w:val="00F97471"/>
    <w:rsid w:val="00FA1559"/>
    <w:rsid w:val="00FA418A"/>
    <w:rsid w:val="00FA4A98"/>
    <w:rsid w:val="00FB0530"/>
    <w:rsid w:val="00FB1E84"/>
    <w:rsid w:val="00FB3332"/>
    <w:rsid w:val="00FB3713"/>
    <w:rsid w:val="00FB40CB"/>
    <w:rsid w:val="00FB6217"/>
    <w:rsid w:val="00FB67AB"/>
    <w:rsid w:val="00FB6B0C"/>
    <w:rsid w:val="00FB76BA"/>
    <w:rsid w:val="00FC2D2F"/>
    <w:rsid w:val="00FC2D7C"/>
    <w:rsid w:val="00FC36EA"/>
    <w:rsid w:val="00FC548F"/>
    <w:rsid w:val="00FC54E9"/>
    <w:rsid w:val="00FC56D5"/>
    <w:rsid w:val="00FC6262"/>
    <w:rsid w:val="00FC629C"/>
    <w:rsid w:val="00FD2431"/>
    <w:rsid w:val="00FD51BA"/>
    <w:rsid w:val="00FD533D"/>
    <w:rsid w:val="00FD5436"/>
    <w:rsid w:val="00FD7771"/>
    <w:rsid w:val="00FE09CD"/>
    <w:rsid w:val="00FE1BB1"/>
    <w:rsid w:val="00FE304B"/>
    <w:rsid w:val="00FE42FB"/>
    <w:rsid w:val="00FE5499"/>
    <w:rsid w:val="00FE69E8"/>
    <w:rsid w:val="00FF2A57"/>
    <w:rsid w:val="00FF3349"/>
    <w:rsid w:val="00FF4DDF"/>
    <w:rsid w:val="00FF5024"/>
    <w:rsid w:val="00FF53F9"/>
    <w:rsid w:val="00FF7229"/>
    <w:rsid w:val="00FF7625"/>
    <w:rsid w:val="01F26911"/>
    <w:rsid w:val="01FE71F7"/>
    <w:rsid w:val="02388EF0"/>
    <w:rsid w:val="0261403C"/>
    <w:rsid w:val="02767475"/>
    <w:rsid w:val="02A782C1"/>
    <w:rsid w:val="035A80C8"/>
    <w:rsid w:val="035C7693"/>
    <w:rsid w:val="03AD9696"/>
    <w:rsid w:val="03D45F51"/>
    <w:rsid w:val="0453CB0A"/>
    <w:rsid w:val="04A4E55E"/>
    <w:rsid w:val="04F7BD25"/>
    <w:rsid w:val="0522F57D"/>
    <w:rsid w:val="0535B504"/>
    <w:rsid w:val="0603206C"/>
    <w:rsid w:val="064041C4"/>
    <w:rsid w:val="064B62C3"/>
    <w:rsid w:val="06C51F1B"/>
    <w:rsid w:val="070C0013"/>
    <w:rsid w:val="0850D3B5"/>
    <w:rsid w:val="089F41F8"/>
    <w:rsid w:val="089FDAA7"/>
    <w:rsid w:val="08A7D074"/>
    <w:rsid w:val="08CFE46C"/>
    <w:rsid w:val="09761E28"/>
    <w:rsid w:val="0A018EED"/>
    <w:rsid w:val="0A1BA92A"/>
    <w:rsid w:val="0B0AE519"/>
    <w:rsid w:val="0B1B3B7B"/>
    <w:rsid w:val="0CAF8348"/>
    <w:rsid w:val="0D31C5C5"/>
    <w:rsid w:val="0D8D8731"/>
    <w:rsid w:val="0FB4CA63"/>
    <w:rsid w:val="0FF01847"/>
    <w:rsid w:val="10195E41"/>
    <w:rsid w:val="11A0BEA8"/>
    <w:rsid w:val="13344FC5"/>
    <w:rsid w:val="13485ABC"/>
    <w:rsid w:val="13D74F0B"/>
    <w:rsid w:val="1488B969"/>
    <w:rsid w:val="14C73FAE"/>
    <w:rsid w:val="15A99E0B"/>
    <w:rsid w:val="1617B948"/>
    <w:rsid w:val="16607E6A"/>
    <w:rsid w:val="16BCE441"/>
    <w:rsid w:val="16E3638D"/>
    <w:rsid w:val="1728F340"/>
    <w:rsid w:val="17793DEC"/>
    <w:rsid w:val="18FF320A"/>
    <w:rsid w:val="19F3363D"/>
    <w:rsid w:val="1A4F7889"/>
    <w:rsid w:val="1AA9A3F0"/>
    <w:rsid w:val="1B10AE54"/>
    <w:rsid w:val="1BC7A908"/>
    <w:rsid w:val="1BE1FC49"/>
    <w:rsid w:val="1C3BFB59"/>
    <w:rsid w:val="1C7E4FAC"/>
    <w:rsid w:val="1D87194B"/>
    <w:rsid w:val="1E70ED8D"/>
    <w:rsid w:val="1F1847DF"/>
    <w:rsid w:val="1F3F8949"/>
    <w:rsid w:val="1F9F8EDA"/>
    <w:rsid w:val="1FD6E56B"/>
    <w:rsid w:val="206830D3"/>
    <w:rsid w:val="208EF0BF"/>
    <w:rsid w:val="20D88936"/>
    <w:rsid w:val="20E0D6A7"/>
    <w:rsid w:val="211A0B44"/>
    <w:rsid w:val="21A88E4F"/>
    <w:rsid w:val="225A8A6E"/>
    <w:rsid w:val="22639562"/>
    <w:rsid w:val="24BAE09E"/>
    <w:rsid w:val="2504B328"/>
    <w:rsid w:val="252A3929"/>
    <w:rsid w:val="2531D2E7"/>
    <w:rsid w:val="25858A93"/>
    <w:rsid w:val="25922B30"/>
    <w:rsid w:val="25B3EDBB"/>
    <w:rsid w:val="26C6098A"/>
    <w:rsid w:val="282D6FE6"/>
    <w:rsid w:val="28C9CBF2"/>
    <w:rsid w:val="2918E6BE"/>
    <w:rsid w:val="297F1ED8"/>
    <w:rsid w:val="2A0AF829"/>
    <w:rsid w:val="2A6E3681"/>
    <w:rsid w:val="2A7EC4B0"/>
    <w:rsid w:val="2A96434B"/>
    <w:rsid w:val="2AB971E4"/>
    <w:rsid w:val="2B9F6632"/>
    <w:rsid w:val="2C235B39"/>
    <w:rsid w:val="2C23894E"/>
    <w:rsid w:val="2C38461F"/>
    <w:rsid w:val="2C554245"/>
    <w:rsid w:val="2C7C0A1A"/>
    <w:rsid w:val="2D3CF871"/>
    <w:rsid w:val="2D9D3D15"/>
    <w:rsid w:val="2DE62E2A"/>
    <w:rsid w:val="2E83CBD8"/>
    <w:rsid w:val="2ED10070"/>
    <w:rsid w:val="2F497C0F"/>
    <w:rsid w:val="2F722D44"/>
    <w:rsid w:val="2FBC1A3C"/>
    <w:rsid w:val="30042A7C"/>
    <w:rsid w:val="307BEA85"/>
    <w:rsid w:val="30A88721"/>
    <w:rsid w:val="30C8D2BB"/>
    <w:rsid w:val="30DCCB5D"/>
    <w:rsid w:val="30DEB903"/>
    <w:rsid w:val="314A3BE7"/>
    <w:rsid w:val="314D62E1"/>
    <w:rsid w:val="318645D4"/>
    <w:rsid w:val="326E2DD6"/>
    <w:rsid w:val="3270AE38"/>
    <w:rsid w:val="32CA86BA"/>
    <w:rsid w:val="32EEA742"/>
    <w:rsid w:val="330BE3AA"/>
    <w:rsid w:val="33761CEC"/>
    <w:rsid w:val="33E1DD2C"/>
    <w:rsid w:val="33F72531"/>
    <w:rsid w:val="340DBCDD"/>
    <w:rsid w:val="343B1F62"/>
    <w:rsid w:val="34537A09"/>
    <w:rsid w:val="347A13FF"/>
    <w:rsid w:val="34933195"/>
    <w:rsid w:val="34BDE696"/>
    <w:rsid w:val="3552AD8C"/>
    <w:rsid w:val="362F24FE"/>
    <w:rsid w:val="36C546AF"/>
    <w:rsid w:val="36CB2600"/>
    <w:rsid w:val="372CA029"/>
    <w:rsid w:val="37441F5B"/>
    <w:rsid w:val="377C491C"/>
    <w:rsid w:val="379E9132"/>
    <w:rsid w:val="3875E981"/>
    <w:rsid w:val="38CAC519"/>
    <w:rsid w:val="38F468E8"/>
    <w:rsid w:val="394CBAD9"/>
    <w:rsid w:val="3A416AD4"/>
    <w:rsid w:val="3A7BC01D"/>
    <w:rsid w:val="3ADD00F0"/>
    <w:rsid w:val="3B19EA6D"/>
    <w:rsid w:val="3B1CD218"/>
    <w:rsid w:val="3C29731C"/>
    <w:rsid w:val="3C6472C2"/>
    <w:rsid w:val="3CB5BACE"/>
    <w:rsid w:val="3CDA2BF8"/>
    <w:rsid w:val="3D13ED9F"/>
    <w:rsid w:val="3DA413AE"/>
    <w:rsid w:val="3DEF2B01"/>
    <w:rsid w:val="3EBEA26D"/>
    <w:rsid w:val="3F29A3EC"/>
    <w:rsid w:val="3FB74615"/>
    <w:rsid w:val="404CDAA7"/>
    <w:rsid w:val="4095BF34"/>
    <w:rsid w:val="40E9B02F"/>
    <w:rsid w:val="41F6432F"/>
    <w:rsid w:val="41F9B9CE"/>
    <w:rsid w:val="42014A91"/>
    <w:rsid w:val="42A6E8DB"/>
    <w:rsid w:val="43402785"/>
    <w:rsid w:val="43695A1E"/>
    <w:rsid w:val="43797654"/>
    <w:rsid w:val="43B98D3F"/>
    <w:rsid w:val="442A8FE9"/>
    <w:rsid w:val="442A9F3D"/>
    <w:rsid w:val="442DC35A"/>
    <w:rsid w:val="449607E9"/>
    <w:rsid w:val="451DCAB8"/>
    <w:rsid w:val="452D3F27"/>
    <w:rsid w:val="4532C124"/>
    <w:rsid w:val="462E3F75"/>
    <w:rsid w:val="46D7BAA9"/>
    <w:rsid w:val="46FBE916"/>
    <w:rsid w:val="4765641C"/>
    <w:rsid w:val="4969C613"/>
    <w:rsid w:val="4981F4BB"/>
    <w:rsid w:val="4A02A983"/>
    <w:rsid w:val="4A66858F"/>
    <w:rsid w:val="4A90C57D"/>
    <w:rsid w:val="4B5D0115"/>
    <w:rsid w:val="4BE1C674"/>
    <w:rsid w:val="4BF8FF1F"/>
    <w:rsid w:val="4C43F2E0"/>
    <w:rsid w:val="4D8BF31C"/>
    <w:rsid w:val="4DD1722F"/>
    <w:rsid w:val="4E8997C7"/>
    <w:rsid w:val="4EAC0CC5"/>
    <w:rsid w:val="4ECDCF50"/>
    <w:rsid w:val="4F3199ED"/>
    <w:rsid w:val="50256828"/>
    <w:rsid w:val="5089A2FF"/>
    <w:rsid w:val="50AD8506"/>
    <w:rsid w:val="50BA8C97"/>
    <w:rsid w:val="50F31E05"/>
    <w:rsid w:val="51C6FE11"/>
    <w:rsid w:val="526DC256"/>
    <w:rsid w:val="5279EA51"/>
    <w:rsid w:val="53684331"/>
    <w:rsid w:val="538E40C4"/>
    <w:rsid w:val="53CCEA24"/>
    <w:rsid w:val="54BC9E79"/>
    <w:rsid w:val="550FE0CB"/>
    <w:rsid w:val="551B4E49"/>
    <w:rsid w:val="553868CD"/>
    <w:rsid w:val="553D10D4"/>
    <w:rsid w:val="5561C972"/>
    <w:rsid w:val="55B2FA7D"/>
    <w:rsid w:val="561017F3"/>
    <w:rsid w:val="561E231D"/>
    <w:rsid w:val="56D8E135"/>
    <w:rsid w:val="570AF43B"/>
    <w:rsid w:val="5748077B"/>
    <w:rsid w:val="5782DCF9"/>
    <w:rsid w:val="583BB454"/>
    <w:rsid w:val="58C7B09B"/>
    <w:rsid w:val="58D458BA"/>
    <w:rsid w:val="595B7950"/>
    <w:rsid w:val="59614764"/>
    <w:rsid w:val="59B3004E"/>
    <w:rsid w:val="59EEBF6C"/>
    <w:rsid w:val="5AEEF83B"/>
    <w:rsid w:val="5B93840A"/>
    <w:rsid w:val="5C4E0A93"/>
    <w:rsid w:val="5C98E826"/>
    <w:rsid w:val="5CF40687"/>
    <w:rsid w:val="5CF6CDBC"/>
    <w:rsid w:val="5D87B95F"/>
    <w:rsid w:val="5E297AA7"/>
    <w:rsid w:val="5E8FD6E8"/>
    <w:rsid w:val="5F7B8923"/>
    <w:rsid w:val="5FB51F85"/>
    <w:rsid w:val="6020A139"/>
    <w:rsid w:val="602BA749"/>
    <w:rsid w:val="60352D71"/>
    <w:rsid w:val="6064D37C"/>
    <w:rsid w:val="6066F52D"/>
    <w:rsid w:val="60C5896B"/>
    <w:rsid w:val="614BDEEA"/>
    <w:rsid w:val="6178B6ED"/>
    <w:rsid w:val="627BAF27"/>
    <w:rsid w:val="63C6D2BC"/>
    <w:rsid w:val="641CDEB4"/>
    <w:rsid w:val="642DE152"/>
    <w:rsid w:val="64921882"/>
    <w:rsid w:val="6494D080"/>
    <w:rsid w:val="64FAC70E"/>
    <w:rsid w:val="65164AA4"/>
    <w:rsid w:val="654135F9"/>
    <w:rsid w:val="655BE148"/>
    <w:rsid w:val="65C82228"/>
    <w:rsid w:val="65C9501D"/>
    <w:rsid w:val="660C0CA9"/>
    <w:rsid w:val="661791B3"/>
    <w:rsid w:val="66B2BAFC"/>
    <w:rsid w:val="66E4E68E"/>
    <w:rsid w:val="6744064E"/>
    <w:rsid w:val="684E8B5D"/>
    <w:rsid w:val="6855C4D2"/>
    <w:rsid w:val="68D5DDF2"/>
    <w:rsid w:val="69091DBC"/>
    <w:rsid w:val="699A926F"/>
    <w:rsid w:val="69D02E84"/>
    <w:rsid w:val="69D4A981"/>
    <w:rsid w:val="69FE83BC"/>
    <w:rsid w:val="6A04E336"/>
    <w:rsid w:val="6A2D6920"/>
    <w:rsid w:val="6A31F00C"/>
    <w:rsid w:val="6ABBDDEA"/>
    <w:rsid w:val="6AFCE645"/>
    <w:rsid w:val="6C8B135B"/>
    <w:rsid w:val="6CBD1406"/>
    <w:rsid w:val="6D59E98E"/>
    <w:rsid w:val="6DAEE483"/>
    <w:rsid w:val="6E4B8172"/>
    <w:rsid w:val="6E79ADE4"/>
    <w:rsid w:val="6EA90FAD"/>
    <w:rsid w:val="6F8F06FB"/>
    <w:rsid w:val="7027B07F"/>
    <w:rsid w:val="71DEE48C"/>
    <w:rsid w:val="7210CEB8"/>
    <w:rsid w:val="725F5061"/>
    <w:rsid w:val="74157AE7"/>
    <w:rsid w:val="749BD91D"/>
    <w:rsid w:val="74B66240"/>
    <w:rsid w:val="74FB21A2"/>
    <w:rsid w:val="75D8806A"/>
    <w:rsid w:val="76692AA7"/>
    <w:rsid w:val="77913DD4"/>
    <w:rsid w:val="77C6F511"/>
    <w:rsid w:val="78309C11"/>
    <w:rsid w:val="7886577E"/>
    <w:rsid w:val="78D6E412"/>
    <w:rsid w:val="79714FD0"/>
    <w:rsid w:val="7971F257"/>
    <w:rsid w:val="79F6445D"/>
    <w:rsid w:val="7AA4B5B4"/>
    <w:rsid w:val="7AE1771E"/>
    <w:rsid w:val="7BDBF7AC"/>
    <w:rsid w:val="7C381BBE"/>
    <w:rsid w:val="7C9A6634"/>
    <w:rsid w:val="7CE1FD96"/>
    <w:rsid w:val="7CFB9468"/>
    <w:rsid w:val="7CFF075D"/>
    <w:rsid w:val="7D1B5411"/>
    <w:rsid w:val="7E1C0781"/>
    <w:rsid w:val="7F0CA802"/>
    <w:rsid w:val="7F76D8D6"/>
    <w:rsid w:val="7FB7D7E2"/>
    <w:rsid w:val="7FD1003F"/>
    <w:rsid w:val="7FDA5A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13DD4"/>
  <w15:chartTrackingRefBased/>
  <w15:docId w15:val="{703D2E34-ABEE-4F92-84E5-5047239B4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601B6"/>
    <w:pPr>
      <w:spacing w:after="0" w:line="240" w:lineRule="auto"/>
    </w:pPr>
  </w:style>
  <w:style w:type="paragraph" w:styleId="ListParagraph">
    <w:name w:val="List Paragraph"/>
    <w:basedOn w:val="Normal"/>
    <w:uiPriority w:val="34"/>
    <w:qFormat/>
    <w:rsid w:val="009D42E8"/>
    <w:pPr>
      <w:ind w:left="720"/>
      <w:contextualSpacing/>
    </w:p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rPr>
      <w:sz w:val="18"/>
      <w:szCs w:val="18"/>
    </w:rPr>
  </w:style>
  <w:style w:type="paragraph" w:styleId="Header">
    <w:name w:val="header"/>
    <w:basedOn w:val="Normal"/>
    <w:link w:val="HeaderChar"/>
    <w:uiPriority w:val="99"/>
    <w:unhideWhenUsed/>
    <w:pPr>
      <w:pBdr>
        <w:bottom w:val="single" w:sz="6" w:space="1" w:color="auto"/>
      </w:pBdr>
      <w:tabs>
        <w:tab w:val="center" w:pos="4513"/>
        <w:tab w:val="right" w:pos="9026"/>
      </w:tabs>
      <w:snapToGrid w:val="0"/>
      <w:jc w:val="center"/>
    </w:pPr>
    <w:rPr>
      <w:sz w:val="18"/>
      <w:szCs w:val="18"/>
    </w:rPr>
  </w:style>
  <w:style w:type="character" w:customStyle="1" w:styleId="FooterChar">
    <w:name w:val="Footer Char"/>
    <w:basedOn w:val="DefaultParagraphFont"/>
    <w:link w:val="Footer"/>
    <w:uiPriority w:val="99"/>
    <w:rPr>
      <w:sz w:val="18"/>
      <w:szCs w:val="18"/>
    </w:rPr>
  </w:style>
  <w:style w:type="paragraph" w:styleId="Footer">
    <w:name w:val="footer"/>
    <w:basedOn w:val="Normal"/>
    <w:link w:val="FooterChar"/>
    <w:uiPriority w:val="99"/>
    <w:unhideWhenUsed/>
    <w:pPr>
      <w:tabs>
        <w:tab w:val="center" w:pos="4513"/>
        <w:tab w:val="right" w:pos="9026"/>
      </w:tabs>
      <w:snapToGrid w:val="0"/>
    </w:pPr>
    <w:rPr>
      <w:sz w:val="18"/>
      <w:szCs w:val="18"/>
    </w:rPr>
  </w:style>
  <w:style w:type="character" w:styleId="UnresolvedMention">
    <w:name w:val="Unresolved Mention"/>
    <w:basedOn w:val="DefaultParagraphFont"/>
    <w:uiPriority w:val="99"/>
    <w:semiHidden/>
    <w:unhideWhenUsed/>
    <w:rsid w:val="00DD159F"/>
    <w:rPr>
      <w:color w:val="605E5C"/>
      <w:shd w:val="clear" w:color="auto" w:fill="E1DFDD"/>
    </w:rPr>
  </w:style>
  <w:style w:type="paragraph" w:styleId="Revision">
    <w:name w:val="Revision"/>
    <w:hidden/>
    <w:uiPriority w:val="99"/>
    <w:semiHidden/>
    <w:rsid w:val="001C0910"/>
    <w:pPr>
      <w:spacing w:after="0" w:line="240" w:lineRule="auto"/>
    </w:pPr>
  </w:style>
  <w:style w:type="character" w:styleId="FollowedHyperlink">
    <w:name w:val="FollowedHyperlink"/>
    <w:basedOn w:val="DefaultParagraphFont"/>
    <w:uiPriority w:val="99"/>
    <w:semiHidden/>
    <w:unhideWhenUsed/>
    <w:rsid w:val="009D3A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com/electricity-transmission/document/143211/download" TargetMode="External"/><Relationship Id="rId18" Type="http://schemas.openxmlformats.org/officeDocument/2006/relationships/hyperlink" Target="https://www.ofgem.gov.uk/sites/default/files/2022-06/GHD%20-%20Storm%20Arwen%20Review%20Main%20Report.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ons.org.br/AcervoDigitalDocumentosEPublicacoes/Livros-da-Diretoria-de-Planejamento-na-biblioteca-digital-ONS/LIVRO-O-PLANEJAMENTO-DA-OPERA%C3%87%C3%83O-ENERG%C3%89TICA-NO-SISTEMA%20INTERLIGADO-NACIONAL.pdf" TargetMode="External"/><Relationship Id="rId7" Type="http://schemas.openxmlformats.org/officeDocument/2006/relationships/settings" Target="settings.xml"/><Relationship Id="rId12" Type="http://schemas.openxmlformats.org/officeDocument/2006/relationships/hyperlink" Target="https://smarter.energynetworks.org/projects/10061033-nget-whole-energy-system-resilience-vulnerability-assessment-sifiesrr-rd2_discovery/" TargetMode="External"/><Relationship Id="rId17" Type="http://schemas.openxmlformats.org/officeDocument/2006/relationships/hyperlink" Target="https://www.ofgem.gov.uk/sites/default/files/docs/2020/04/riio-ed1_regulatory_instructions_and_guidance_annex_f_-_interruptions.pdf"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static-content.springer.com/esm/art%3A10.1038%2Fs43247-024-01217-w/MediaObjects/43247_2024_1217_MOESM2_ESM.pdf" TargetMode="External"/><Relationship Id="rId20" Type="http://schemas.openxmlformats.org/officeDocument/2006/relationships/hyperlink" Target="https://aemo.com.au/-/media/files/major-publications/isp/2020/appendix--8.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igre.org/article//defining-power-system-resilienc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doi.org/10.1038/s43247-024-01217-w" TargetMode="External"/><Relationship Id="rId23" Type="http://schemas.openxmlformats.org/officeDocument/2006/relationships/hyperlink" Target="https://www.iea.org/reports/making-the-energy-sector-more-resilient-to-climate-change"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caiso.com/Documents/rotating-power-outages-are-now-possible-to-protect-grid.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toffice.gov.uk/weather/learn-about/past-uk-weather-events" TargetMode="External"/><Relationship Id="rId22" Type="http://schemas.openxmlformats.org/officeDocument/2006/relationships/hyperlink" Target="https://www2.aneel.gov.br/cedoc/aren2021956_2_7.pdf"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7E97E444-9342-4411-B7DA-2EB45B75268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AEC9461-7864-4485-906E-9564A3219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06E1B2-8CBF-4AD8-82E1-5F6D55C3D6F9}">
  <ds:schemaRefs>
    <ds:schemaRef ds:uri="http://schemas.microsoft.com/sharepoint/v3/contenttype/forms"/>
  </ds:schemaRefs>
</ds:datastoreItem>
</file>

<file path=customXml/itemProps4.xml><?xml version="1.0" encoding="utf-8"?>
<ds:datastoreItem xmlns:ds="http://schemas.openxmlformats.org/officeDocument/2006/customXml" ds:itemID="{1549B9EE-8C28-4A95-B09E-AF8E89D302B9}">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4974</Words>
  <Characters>28353</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33261</CharactersWithSpaces>
  <SharedDoc>false</SharedDoc>
  <HLinks>
    <vt:vector size="78" baseType="variant">
      <vt:variant>
        <vt:i4>4718597</vt:i4>
      </vt:variant>
      <vt:variant>
        <vt:i4>36</vt:i4>
      </vt:variant>
      <vt:variant>
        <vt:i4>0</vt:i4>
      </vt:variant>
      <vt:variant>
        <vt:i4>5</vt:i4>
      </vt:variant>
      <vt:variant>
        <vt:lpwstr>https://www.iea.org/reports/making-the-energy-sector-more-resilient-to-climate-change</vt:lpwstr>
      </vt:variant>
      <vt:variant>
        <vt:lpwstr/>
      </vt:variant>
      <vt:variant>
        <vt:i4>2556002</vt:i4>
      </vt:variant>
      <vt:variant>
        <vt:i4>33</vt:i4>
      </vt:variant>
      <vt:variant>
        <vt:i4>0</vt:i4>
      </vt:variant>
      <vt:variant>
        <vt:i4>5</vt:i4>
      </vt:variant>
      <vt:variant>
        <vt:lpwstr>https://www2.aneel.gov.br/cedoc/aren2021956_2_7.pdf</vt:lpwstr>
      </vt:variant>
      <vt:variant>
        <vt:lpwstr/>
      </vt:variant>
      <vt:variant>
        <vt:i4>2883621</vt:i4>
      </vt:variant>
      <vt:variant>
        <vt:i4>30</vt:i4>
      </vt:variant>
      <vt:variant>
        <vt:i4>0</vt:i4>
      </vt:variant>
      <vt:variant>
        <vt:i4>5</vt:i4>
      </vt:variant>
      <vt:variant>
        <vt:lpwstr>https://www.ons.org.br/AcervoDigitalDocumentosEPublicacoes/Livros-da-Diretoria-de-Planejamento-na-biblioteca-digital-ONS/LIVRO-O-PLANEJAMENTO-DA-OPERA%C3%87%C3%83O-ENERG%C3%89TICA-NO-SISTEMA INTERLIGADO-NACIONAL.pdf</vt:lpwstr>
      </vt:variant>
      <vt:variant>
        <vt:lpwstr/>
      </vt:variant>
      <vt:variant>
        <vt:i4>1900546</vt:i4>
      </vt:variant>
      <vt:variant>
        <vt:i4>27</vt:i4>
      </vt:variant>
      <vt:variant>
        <vt:i4>0</vt:i4>
      </vt:variant>
      <vt:variant>
        <vt:i4>5</vt:i4>
      </vt:variant>
      <vt:variant>
        <vt:lpwstr>https://aemo.com.au/-/media/files/major-publications/isp/2020/appendix--8.pdf</vt:lpwstr>
      </vt:variant>
      <vt:variant>
        <vt:lpwstr/>
      </vt:variant>
      <vt:variant>
        <vt:i4>7929959</vt:i4>
      </vt:variant>
      <vt:variant>
        <vt:i4>24</vt:i4>
      </vt:variant>
      <vt:variant>
        <vt:i4>0</vt:i4>
      </vt:variant>
      <vt:variant>
        <vt:i4>5</vt:i4>
      </vt:variant>
      <vt:variant>
        <vt:lpwstr>https://www.caiso.com/Documents/rotating-power-outages-are-now-possible-to-protect-grid.pdf</vt:lpwstr>
      </vt:variant>
      <vt:variant>
        <vt:lpwstr/>
      </vt:variant>
      <vt:variant>
        <vt:i4>589852</vt:i4>
      </vt:variant>
      <vt:variant>
        <vt:i4>21</vt:i4>
      </vt:variant>
      <vt:variant>
        <vt:i4>0</vt:i4>
      </vt:variant>
      <vt:variant>
        <vt:i4>5</vt:i4>
      </vt:variant>
      <vt:variant>
        <vt:lpwstr>https://www.ofgem.gov.uk/sites/default/files/2022-06/GHD - Storm Arwen Review Main Report.pdf</vt:lpwstr>
      </vt:variant>
      <vt:variant>
        <vt:lpwstr/>
      </vt:variant>
      <vt:variant>
        <vt:i4>4521986</vt:i4>
      </vt:variant>
      <vt:variant>
        <vt:i4>18</vt:i4>
      </vt:variant>
      <vt:variant>
        <vt:i4>0</vt:i4>
      </vt:variant>
      <vt:variant>
        <vt:i4>5</vt:i4>
      </vt:variant>
      <vt:variant>
        <vt:lpwstr>https://www.ofgem.gov.uk/sites/default/files/docs/2020/04/riio-ed1_regulatory_instructions_and_guidance_annex_f_-_interruptions.pdf</vt:lpwstr>
      </vt:variant>
      <vt:variant>
        <vt:lpwstr/>
      </vt:variant>
      <vt:variant>
        <vt:i4>6357105</vt:i4>
      </vt:variant>
      <vt:variant>
        <vt:i4>15</vt:i4>
      </vt:variant>
      <vt:variant>
        <vt:i4>0</vt:i4>
      </vt:variant>
      <vt:variant>
        <vt:i4>5</vt:i4>
      </vt:variant>
      <vt:variant>
        <vt:lpwstr>https://static-content.springer.com/esm/art%3A10.1038%2Fs43247-024-01217-w/MediaObjects/43247_2024_1217_MOESM2_ESM.pdf</vt:lpwstr>
      </vt:variant>
      <vt:variant>
        <vt:lpwstr/>
      </vt:variant>
      <vt:variant>
        <vt:i4>6750265</vt:i4>
      </vt:variant>
      <vt:variant>
        <vt:i4>12</vt:i4>
      </vt:variant>
      <vt:variant>
        <vt:i4>0</vt:i4>
      </vt:variant>
      <vt:variant>
        <vt:i4>5</vt:i4>
      </vt:variant>
      <vt:variant>
        <vt:lpwstr>https://doi.org/10.1038/s43247-024-01217-w</vt:lpwstr>
      </vt:variant>
      <vt:variant>
        <vt:lpwstr/>
      </vt:variant>
      <vt:variant>
        <vt:i4>7012397</vt:i4>
      </vt:variant>
      <vt:variant>
        <vt:i4>9</vt:i4>
      </vt:variant>
      <vt:variant>
        <vt:i4>0</vt:i4>
      </vt:variant>
      <vt:variant>
        <vt:i4>5</vt:i4>
      </vt:variant>
      <vt:variant>
        <vt:lpwstr>https://www.metoffice.gov.uk/weather/learn-about/past-uk-weather-events</vt:lpwstr>
      </vt:variant>
      <vt:variant>
        <vt:lpwstr/>
      </vt:variant>
      <vt:variant>
        <vt:i4>7733364</vt:i4>
      </vt:variant>
      <vt:variant>
        <vt:i4>6</vt:i4>
      </vt:variant>
      <vt:variant>
        <vt:i4>0</vt:i4>
      </vt:variant>
      <vt:variant>
        <vt:i4>5</vt:i4>
      </vt:variant>
      <vt:variant>
        <vt:lpwstr>https://www.nationalgrid.com/electricity-transmission/document/143211/download</vt:lpwstr>
      </vt:variant>
      <vt:variant>
        <vt:lpwstr/>
      </vt:variant>
      <vt:variant>
        <vt:i4>6160426</vt:i4>
      </vt:variant>
      <vt:variant>
        <vt:i4>3</vt:i4>
      </vt:variant>
      <vt:variant>
        <vt:i4>0</vt:i4>
      </vt:variant>
      <vt:variant>
        <vt:i4>5</vt:i4>
      </vt:variant>
      <vt:variant>
        <vt:lpwstr>https://smarter.energynetworks.org/projects/10061033-nget-whole-energy-system-resilience-vulnerability-assessment-sifiesrr-rd2_discovery/</vt:lpwstr>
      </vt:variant>
      <vt:variant>
        <vt:lpwstr/>
      </vt:variant>
      <vt:variant>
        <vt:i4>8060961</vt:i4>
      </vt:variant>
      <vt:variant>
        <vt:i4>0</vt:i4>
      </vt:variant>
      <vt:variant>
        <vt:i4>0</vt:i4>
      </vt:variant>
      <vt:variant>
        <vt:i4>5</vt:i4>
      </vt:variant>
      <vt:variant>
        <vt:lpwstr>https://www.cigre.org/article//defining-power-system-resilience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"Laiz Souto de Carvalho" &lt;laiz.souto@bristol.ac.uk&gt;</dc:creator>
  <cp:keywords/>
  <dc:description/>
  <cp:lastModifiedBy>Madeleine Harris</cp:lastModifiedBy>
  <cp:revision>1035</cp:revision>
  <cp:lastPrinted>2024-02-15T11:12:00Z</cp:lastPrinted>
  <dcterms:created xsi:type="dcterms:W3CDTF">2024-03-07T18:50:00Z</dcterms:created>
  <dcterms:modified xsi:type="dcterms:W3CDTF">2024-04-05T17:44:00Z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OFFICIAL-InternalOnly</vt:lpwstr>
  </property>
  <property fmtid="{D5CDD505-2E9C-101B-9397-08002B2CF9AE}" pid="7" name="MSIP_Label_38144ccb-b10a-4c0f-b070-7a3b00ac7463_Enabled">
    <vt:lpwstr>true</vt:lpwstr>
  </property>
  <property fmtid="{D5CDD505-2E9C-101B-9397-08002B2CF9AE}" pid="8" name="MSIP_Label_38144ccb-b10a-4c0f-b070-7a3b00ac7463_SetDate">
    <vt:lpwstr>2024-03-07T10:50:24Z</vt:lpwstr>
  </property>
  <property fmtid="{D5CDD505-2E9C-101B-9397-08002B2CF9AE}" pid="9" name="MSIP_Label_38144ccb-b10a-4c0f-b070-7a3b00ac7463_Method">
    <vt:lpwstr>Standard</vt:lpwstr>
  </property>
  <property fmtid="{D5CDD505-2E9C-101B-9397-08002B2CF9AE}" pid="10" name="MSIP_Label_38144ccb-b10a-4c0f-b070-7a3b00ac7463_Name">
    <vt:lpwstr>InternalOnly</vt:lpwstr>
  </property>
  <property fmtid="{D5CDD505-2E9C-101B-9397-08002B2CF9AE}" pid="11" name="MSIP_Label_38144ccb-b10a-4c0f-b070-7a3b00ac7463_SiteId">
    <vt:lpwstr>185562ad-39bc-4840-8e40-be6216340c52</vt:lpwstr>
  </property>
  <property fmtid="{D5CDD505-2E9C-101B-9397-08002B2CF9AE}" pid="12" name="MSIP_Label_38144ccb-b10a-4c0f-b070-7a3b00ac7463_ActionId">
    <vt:lpwstr>364ff8e3-ec5d-4074-8ae5-be87cbc525df</vt:lpwstr>
  </property>
  <property fmtid="{D5CDD505-2E9C-101B-9397-08002B2CF9AE}" pid="13" name="MSIP_Label_38144ccb-b10a-4c0f-b070-7a3b00ac7463_ContentBits">
    <vt:lpwstr>2</vt:lpwstr>
  </property>
  <property fmtid="{D5CDD505-2E9C-101B-9397-08002B2CF9AE}" pid="14" name="docIndexRef">
    <vt:lpwstr>11cd9a1a-4816-4b11-80e0-22241cf5ef72</vt:lpwstr>
  </property>
  <property fmtid="{D5CDD505-2E9C-101B-9397-08002B2CF9AE}" pid="15" name="bjSaver">
    <vt:lpwstr>t/8XA0DwPvjwUYg7J7CuaMPKzZtj0a8S</vt:lpwstr>
  </property>
  <property fmtid="{D5CDD505-2E9C-101B-9397-08002B2CF9AE}" pid="16" name="bjDocumentSecurityLabel">
    <vt:lpwstr>This item has no classification</vt:lpwstr>
  </property>
  <property fmtid="{D5CDD505-2E9C-101B-9397-08002B2CF9AE}" pid="17" name="bjClsUserRVM">
    <vt:lpwstr>[]</vt:lpwstr>
  </property>
</Properties>
</file>