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Spec="center" w:tblpY="951"/>
        <w:tblW w:w="10080" w:type="dxa"/>
        <w:tblBorders>
          <w:bottom w:val="single" w:sz="4" w:space="0" w:color="auto"/>
        </w:tblBorders>
        <w:tblLayout w:type="fixed"/>
        <w:tblLook w:val="0000" w:firstRow="0" w:lastRow="0" w:firstColumn="0" w:lastColumn="0" w:noHBand="0" w:noVBand="0"/>
      </w:tblPr>
      <w:tblGrid>
        <w:gridCol w:w="3060"/>
        <w:gridCol w:w="7020"/>
      </w:tblGrid>
      <w:tr w:rsidR="008837C7" w:rsidRPr="00A174B7" w14:paraId="5948CA5B" w14:textId="77777777" w:rsidTr="00A52A7F">
        <w:trPr>
          <w:trHeight w:val="851"/>
        </w:trPr>
        <w:tc>
          <w:tcPr>
            <w:tcW w:w="3060" w:type="dxa"/>
          </w:tcPr>
          <w:p w14:paraId="17A52BC3" w14:textId="77777777" w:rsidR="008837C7" w:rsidRPr="004549FF" w:rsidRDefault="008837C7" w:rsidP="00A52A7F">
            <w:pPr>
              <w:spacing w:after="0" w:line="240" w:lineRule="auto"/>
              <w:jc w:val="both"/>
              <w:rPr>
                <w:rFonts w:ascii="Arial" w:eastAsia="Times New Roman" w:hAnsi="Arial" w:cs="Arial"/>
                <w:sz w:val="24"/>
                <w:szCs w:val="24"/>
              </w:rPr>
            </w:pPr>
            <w:r>
              <w:rPr>
                <w:noProof/>
              </w:rPr>
              <w:drawing>
                <wp:anchor distT="0" distB="0" distL="114300" distR="114300" simplePos="0" relativeHeight="251658240" behindDoc="0" locked="0" layoutInCell="1" allowOverlap="1" wp14:anchorId="7AE7981A" wp14:editId="21C31C00">
                  <wp:simplePos x="0" y="0"/>
                  <wp:positionH relativeFrom="margin">
                    <wp:posOffset>184150</wp:posOffset>
                  </wp:positionH>
                  <wp:positionV relativeFrom="margin">
                    <wp:posOffset>-196850</wp:posOffset>
                  </wp:positionV>
                  <wp:extent cx="1149985" cy="512445"/>
                  <wp:effectExtent l="0" t="0" r="0" b="0"/>
                  <wp:wrapSquare wrapText="bothSides"/>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49985" cy="5124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020" w:type="dxa"/>
          </w:tcPr>
          <w:p w14:paraId="368CA2B2" w14:textId="77777777" w:rsidR="008837C7" w:rsidRPr="00A174B7" w:rsidRDefault="008837C7" w:rsidP="00A52A7F">
            <w:pPr>
              <w:keepLines/>
              <w:overflowPunct w:val="0"/>
              <w:autoSpaceDE w:val="0"/>
              <w:autoSpaceDN w:val="0"/>
              <w:adjustRightInd w:val="0"/>
              <w:spacing w:after="0" w:line="200" w:lineRule="atLeast"/>
              <w:textAlignment w:val="baseline"/>
              <w:rPr>
                <w:rFonts w:ascii="Arial" w:eastAsia="Times New Roman" w:hAnsi="Arial" w:cs="Arial"/>
                <w:bCs/>
                <w:spacing w:val="-2"/>
                <w:sz w:val="20"/>
                <w:szCs w:val="20"/>
              </w:rPr>
            </w:pPr>
          </w:p>
          <w:p w14:paraId="4C4A4BBF" w14:textId="77777777" w:rsidR="008837C7" w:rsidRPr="00A174B7" w:rsidRDefault="008837C7" w:rsidP="00A52A7F">
            <w:pPr>
              <w:keepNext/>
              <w:shd w:val="clear" w:color="auto" w:fill="FFFFFF"/>
              <w:spacing w:after="0" w:line="240" w:lineRule="auto"/>
              <w:jc w:val="right"/>
              <w:outlineLvl w:val="3"/>
              <w:rPr>
                <w:rFonts w:ascii="Arial" w:eastAsia="Arial Unicode MS" w:hAnsi="Arial" w:cs="Arial"/>
                <w:b/>
                <w:bCs/>
                <w:sz w:val="20"/>
                <w:szCs w:val="20"/>
              </w:rPr>
            </w:pPr>
            <w:r>
              <w:rPr>
                <w:rFonts w:ascii="Arial" w:eastAsia="Arial Unicode MS" w:hAnsi="Arial" w:cs="Arial"/>
                <w:b/>
                <w:bCs/>
                <w:sz w:val="20"/>
                <w:szCs w:val="20"/>
              </w:rPr>
              <w:t>May 2023</w:t>
            </w:r>
          </w:p>
        </w:tc>
      </w:tr>
    </w:tbl>
    <w:p w14:paraId="5887FB72" w14:textId="77777777" w:rsidR="008837C7" w:rsidRDefault="008837C7" w:rsidP="008837C7">
      <w:pPr>
        <w:rPr>
          <w:rFonts w:ascii="Calibri" w:eastAsia="Calibri" w:hAnsi="Calibri" w:cs="Calibri"/>
          <w:b/>
          <w:bCs/>
          <w:color w:val="000000" w:themeColor="text1"/>
          <w:sz w:val="26"/>
          <w:szCs w:val="26"/>
        </w:rPr>
      </w:pPr>
    </w:p>
    <w:p w14:paraId="73C61DF3" w14:textId="5B2A93B7" w:rsidR="008837C7" w:rsidRDefault="008837C7" w:rsidP="008837C7">
      <w:pPr>
        <w:pStyle w:val="NoSpacing"/>
        <w:rPr>
          <w:b/>
          <w:bCs/>
          <w:color w:val="000000" w:themeColor="text1"/>
          <w:sz w:val="36"/>
          <w:szCs w:val="36"/>
        </w:rPr>
      </w:pPr>
      <w:r w:rsidRPr="59A148AA">
        <w:rPr>
          <w:b/>
          <w:bCs/>
          <w:color w:val="000000" w:themeColor="text1"/>
          <w:sz w:val="36"/>
          <w:szCs w:val="36"/>
        </w:rPr>
        <w:t xml:space="preserve">MCS Foundation response to OFGEM’s Call for Input: </w:t>
      </w:r>
      <w:r>
        <w:rPr>
          <w:b/>
          <w:bCs/>
          <w:color w:val="000000" w:themeColor="text1"/>
          <w:sz w:val="36"/>
          <w:szCs w:val="36"/>
        </w:rPr>
        <w:t xml:space="preserve">Frameworks for Future Systems and Network </w:t>
      </w:r>
    </w:p>
    <w:p w14:paraId="1277F5CE" w14:textId="77777777" w:rsidR="008837C7" w:rsidRDefault="008837C7" w:rsidP="008837C7">
      <w:pPr>
        <w:pStyle w:val="NoSpacing"/>
        <w:rPr>
          <w:rFonts w:cstheme="minorHAnsi"/>
          <w:b/>
          <w:bCs/>
          <w:color w:val="000000" w:themeColor="text1"/>
          <w:sz w:val="36"/>
          <w:szCs w:val="36"/>
        </w:rPr>
      </w:pPr>
    </w:p>
    <w:p w14:paraId="1F1DA380" w14:textId="77777777" w:rsidR="008837C7" w:rsidRDefault="008837C7" w:rsidP="008837C7">
      <w:pPr>
        <w:rPr>
          <w:rFonts w:ascii="Calibri" w:eastAsia="Calibri" w:hAnsi="Calibri" w:cs="Calibri"/>
          <w:color w:val="000000" w:themeColor="text1"/>
        </w:rPr>
      </w:pPr>
      <w:r w:rsidRPr="36C64507">
        <w:rPr>
          <w:rFonts w:ascii="Calibri" w:eastAsia="Calibri" w:hAnsi="Calibri" w:cs="Calibri"/>
          <w:color w:val="000000" w:themeColor="text1"/>
        </w:rPr>
        <w:t xml:space="preserve">Submission by   </w:t>
      </w:r>
      <w:r w:rsidRPr="00A444BB">
        <w:rPr>
          <w:rFonts w:ascii="Calibri" w:eastAsia="Calibri" w:hAnsi="Calibri" w:cs="Calibri"/>
          <w:b/>
          <w:bCs/>
          <w:color w:val="000000" w:themeColor="text1"/>
        </w:rPr>
        <w:t>Jenny Russon</w:t>
      </w:r>
      <w:r>
        <w:rPr>
          <w:rFonts w:ascii="Calibri" w:eastAsia="Calibri" w:hAnsi="Calibri" w:cs="Calibri"/>
          <w:color w:val="000000" w:themeColor="text1"/>
        </w:rPr>
        <w:t xml:space="preserve"> </w:t>
      </w:r>
    </w:p>
    <w:p w14:paraId="1DE89F12" w14:textId="3B3DE2AB" w:rsidR="008837C7" w:rsidRDefault="008837C7" w:rsidP="008837C7">
      <w:pPr>
        <w:rPr>
          <w:rFonts w:ascii="Calibri" w:eastAsia="Calibri" w:hAnsi="Calibri" w:cs="Calibri"/>
          <w:color w:val="000000" w:themeColor="text1"/>
        </w:rPr>
      </w:pPr>
      <w:r w:rsidRPr="36C64507">
        <w:rPr>
          <w:rFonts w:ascii="Calibri" w:eastAsia="Calibri" w:hAnsi="Calibri" w:cs="Calibri"/>
          <w:color w:val="000000" w:themeColor="text1"/>
        </w:rPr>
        <w:t xml:space="preserve"> </w:t>
      </w:r>
      <w:r w:rsidRPr="1E4658AD">
        <w:rPr>
          <w:rFonts w:ascii="Calibri" w:eastAsia="Calibri" w:hAnsi="Calibri" w:cs="Calibri"/>
          <w:color w:val="000000" w:themeColor="text1"/>
        </w:rPr>
        <w:t xml:space="preserve">Organisations: </w:t>
      </w:r>
      <w:r w:rsidRPr="1E4658AD">
        <w:rPr>
          <w:rFonts w:ascii="Calibri" w:eastAsia="Calibri" w:hAnsi="Calibri" w:cs="Calibri"/>
          <w:b/>
          <w:bCs/>
          <w:color w:val="000000" w:themeColor="text1"/>
        </w:rPr>
        <w:t>MCS Charitable Foundation</w:t>
      </w:r>
      <w:r w:rsidRPr="1E4658AD">
        <w:rPr>
          <w:rFonts w:ascii="Calibri" w:eastAsia="Calibri" w:hAnsi="Calibri" w:cs="Calibri"/>
          <w:color w:val="000000" w:themeColor="text1"/>
        </w:rPr>
        <w:t xml:space="preserve">  </w:t>
      </w:r>
    </w:p>
    <w:p w14:paraId="17747AB7" w14:textId="77777777" w:rsidR="008837C7" w:rsidRDefault="008837C7" w:rsidP="008837C7">
      <w:pPr>
        <w:rPr>
          <w:rFonts w:ascii="Calibri" w:eastAsia="Calibri" w:hAnsi="Calibri" w:cs="Calibri"/>
          <w:color w:val="000000" w:themeColor="text1"/>
        </w:rPr>
      </w:pPr>
      <w:r w:rsidRPr="1E4658AD">
        <w:rPr>
          <w:rFonts w:ascii="Calibri" w:eastAsia="Calibri" w:hAnsi="Calibri" w:cs="Calibri"/>
          <w:color w:val="000000" w:themeColor="text1"/>
        </w:rPr>
        <w:t xml:space="preserve">Contact: jenny.russon@mcscharitablefoundation.org  </w:t>
      </w:r>
    </w:p>
    <w:p w14:paraId="6A9489DC" w14:textId="77777777" w:rsidR="008837C7" w:rsidRDefault="008837C7" w:rsidP="008837C7">
      <w:pPr>
        <w:rPr>
          <w:rFonts w:ascii="Calibri" w:eastAsia="Calibri" w:hAnsi="Calibri" w:cs="Calibri"/>
          <w:b/>
          <w:bCs/>
          <w:color w:val="000000" w:themeColor="text1"/>
          <w:sz w:val="26"/>
          <w:szCs w:val="26"/>
        </w:rPr>
      </w:pPr>
    </w:p>
    <w:p w14:paraId="5F799AC9" w14:textId="77777777" w:rsidR="008837C7" w:rsidRDefault="008837C7" w:rsidP="008837C7">
      <w:pPr>
        <w:rPr>
          <w:rFonts w:ascii="Calibri" w:eastAsia="Calibri" w:hAnsi="Calibri" w:cs="Calibri"/>
          <w:b/>
          <w:bCs/>
          <w:color w:val="000000" w:themeColor="text1"/>
          <w:sz w:val="26"/>
          <w:szCs w:val="26"/>
        </w:rPr>
      </w:pPr>
      <w:r w:rsidRPr="36C64507">
        <w:rPr>
          <w:rFonts w:ascii="Calibri" w:eastAsia="Calibri" w:hAnsi="Calibri" w:cs="Calibri"/>
          <w:b/>
          <w:bCs/>
          <w:color w:val="000000" w:themeColor="text1"/>
          <w:sz w:val="26"/>
          <w:szCs w:val="26"/>
        </w:rPr>
        <w:t>Introduction</w:t>
      </w:r>
      <w:r>
        <w:rPr>
          <w:rFonts w:ascii="Calibri" w:eastAsia="Calibri" w:hAnsi="Calibri" w:cs="Calibri"/>
          <w:b/>
          <w:bCs/>
          <w:color w:val="000000" w:themeColor="text1"/>
          <w:sz w:val="26"/>
          <w:szCs w:val="26"/>
        </w:rPr>
        <w:t>:</w:t>
      </w:r>
    </w:p>
    <w:p w14:paraId="57340994" w14:textId="77777777" w:rsidR="008837C7" w:rsidRDefault="008837C7" w:rsidP="008837C7">
      <w:pPr>
        <w:rPr>
          <w:rFonts w:ascii="Calibri" w:eastAsia="Calibri" w:hAnsi="Calibri" w:cs="Calibri"/>
          <w:color w:val="000000" w:themeColor="text1"/>
        </w:rPr>
      </w:pPr>
      <w:r w:rsidRPr="36C64507">
        <w:rPr>
          <w:rFonts w:ascii="Calibri" w:eastAsia="Calibri" w:hAnsi="Calibri" w:cs="Calibri"/>
          <w:color w:val="000000" w:themeColor="text1"/>
        </w:rPr>
        <w:t xml:space="preserve">Our vision is a world where everyone has access to affordable and reliable renewable energy and zero carbon technologies – for the benefit of our environment, our communities and the general public.  As a Foundation we work to increase public confidence, awareness and access to renewable energy and zero carbon solutions across the UK. We support education and engagement programmes, fund research and facilitate innovative solutions to drive widespread adoption. </w:t>
      </w:r>
    </w:p>
    <w:p w14:paraId="02605693" w14:textId="77777777" w:rsidR="008837C7" w:rsidRDefault="008837C7" w:rsidP="008837C7">
      <w:pPr>
        <w:rPr>
          <w:rFonts w:ascii="Calibri" w:eastAsia="Calibri" w:hAnsi="Calibri" w:cs="Calibri"/>
          <w:color w:val="000000" w:themeColor="text1"/>
        </w:rPr>
      </w:pPr>
      <w:r w:rsidRPr="36C64507">
        <w:rPr>
          <w:rFonts w:ascii="Calibri" w:eastAsia="Calibri" w:hAnsi="Calibri" w:cs="Calibri"/>
          <w:color w:val="000000" w:themeColor="text1"/>
        </w:rPr>
        <w:t>In addition, the Foundation oversees the</w:t>
      </w:r>
      <w:hyperlink r:id="rId12">
        <w:r w:rsidRPr="36C64507">
          <w:rPr>
            <w:rStyle w:val="Hyperlink"/>
            <w:rFonts w:ascii="Calibri" w:eastAsia="Calibri" w:hAnsi="Calibri" w:cs="Calibri"/>
          </w:rPr>
          <w:t xml:space="preserve"> Microgeneration Certification Scheme (</w:t>
        </w:r>
        <w:r>
          <w:rPr>
            <w:rStyle w:val="Hyperlink"/>
            <w:rFonts w:ascii="Calibri" w:eastAsia="Calibri" w:hAnsi="Calibri" w:cs="Calibri"/>
          </w:rPr>
          <w:t>MCS CHARITABLE FOUNDATION</w:t>
        </w:r>
        <w:r w:rsidRPr="36C64507">
          <w:rPr>
            <w:rStyle w:val="Hyperlink"/>
            <w:rFonts w:ascii="Calibri" w:eastAsia="Calibri" w:hAnsi="Calibri" w:cs="Calibri"/>
          </w:rPr>
          <w:t>)</w:t>
        </w:r>
      </w:hyperlink>
      <w:r w:rsidRPr="36C64507">
        <w:rPr>
          <w:rFonts w:ascii="Calibri" w:eastAsia="Calibri" w:hAnsi="Calibri" w:cs="Calibri"/>
          <w:color w:val="000000" w:themeColor="text1"/>
        </w:rPr>
        <w:t xml:space="preserve"> which defines, maintains and improves quality standards for renewable energy at buildings scale. </w:t>
      </w:r>
    </w:p>
    <w:p w14:paraId="55D523DD" w14:textId="77777777" w:rsidR="00732586" w:rsidRDefault="00732586" w:rsidP="008837C7">
      <w:pPr>
        <w:rPr>
          <w:rFonts w:ascii="Calibri" w:eastAsia="Calibri" w:hAnsi="Calibri" w:cs="Calibri"/>
          <w:color w:val="000000" w:themeColor="text1"/>
        </w:rPr>
      </w:pPr>
    </w:p>
    <w:p w14:paraId="371E7466" w14:textId="5ABA9724" w:rsidR="00363296" w:rsidRDefault="00363296" w:rsidP="008837C7">
      <w:pPr>
        <w:rPr>
          <w:rFonts w:ascii="Calibri" w:eastAsia="Calibri" w:hAnsi="Calibri" w:cs="Calibri"/>
          <w:b/>
          <w:bCs/>
          <w:color w:val="000000" w:themeColor="text1"/>
          <w:sz w:val="27"/>
          <w:szCs w:val="27"/>
        </w:rPr>
      </w:pPr>
      <w:r w:rsidRPr="00363296">
        <w:rPr>
          <w:rFonts w:ascii="Calibri" w:eastAsia="Calibri" w:hAnsi="Calibri" w:cs="Calibri"/>
          <w:b/>
          <w:bCs/>
          <w:color w:val="000000" w:themeColor="text1"/>
          <w:sz w:val="27"/>
          <w:szCs w:val="27"/>
        </w:rPr>
        <w:t>Summary:</w:t>
      </w:r>
    </w:p>
    <w:p w14:paraId="4EE02872" w14:textId="615D9ABC" w:rsidR="00363296" w:rsidRDefault="00363296" w:rsidP="008837C7">
      <w:pPr>
        <w:rPr>
          <w:rFonts w:ascii="Calibri" w:eastAsia="Calibri" w:hAnsi="Calibri" w:cs="Calibri"/>
          <w:color w:val="000000" w:themeColor="text1"/>
        </w:rPr>
      </w:pPr>
      <w:r>
        <w:rPr>
          <w:rFonts w:ascii="Calibri" w:eastAsia="Calibri" w:hAnsi="Calibri" w:cs="Calibri"/>
          <w:color w:val="000000" w:themeColor="text1"/>
        </w:rPr>
        <w:t xml:space="preserve">MCS </w:t>
      </w:r>
      <w:r w:rsidR="00D25FBE">
        <w:rPr>
          <w:rFonts w:ascii="Calibri" w:eastAsia="Calibri" w:hAnsi="Calibri" w:cs="Calibri"/>
          <w:color w:val="000000" w:themeColor="text1"/>
        </w:rPr>
        <w:t>Charitable Foundation does not intend to respond to the specific questions in the consultation, but nevertheless would like to</w:t>
      </w:r>
      <w:r w:rsidR="0047742E">
        <w:rPr>
          <w:rFonts w:ascii="Calibri" w:eastAsia="Calibri" w:hAnsi="Calibri" w:cs="Calibri"/>
          <w:color w:val="000000" w:themeColor="text1"/>
        </w:rPr>
        <w:t xml:space="preserve"> </w:t>
      </w:r>
      <w:r w:rsidR="2C2FBF01" w:rsidRPr="2C2FBF01">
        <w:rPr>
          <w:rFonts w:ascii="Calibri" w:eastAsia="Calibri" w:hAnsi="Calibri" w:cs="Calibri"/>
          <w:color w:val="000000" w:themeColor="text1"/>
        </w:rPr>
        <w:t xml:space="preserve">provide </w:t>
      </w:r>
      <w:r w:rsidR="0047742E">
        <w:rPr>
          <w:rFonts w:ascii="Calibri" w:eastAsia="Calibri" w:hAnsi="Calibri" w:cs="Calibri"/>
          <w:color w:val="000000" w:themeColor="text1"/>
        </w:rPr>
        <w:t xml:space="preserve">our </w:t>
      </w:r>
      <w:r w:rsidR="00407048">
        <w:rPr>
          <w:rFonts w:ascii="Calibri" w:eastAsia="Calibri" w:hAnsi="Calibri" w:cs="Calibri"/>
          <w:color w:val="000000" w:themeColor="text1"/>
        </w:rPr>
        <w:t xml:space="preserve">overall </w:t>
      </w:r>
      <w:r w:rsidR="0047742E">
        <w:rPr>
          <w:rFonts w:ascii="Calibri" w:eastAsia="Calibri" w:hAnsi="Calibri" w:cs="Calibri"/>
          <w:color w:val="000000" w:themeColor="text1"/>
        </w:rPr>
        <w:t xml:space="preserve">position on this </w:t>
      </w:r>
      <w:r w:rsidR="00AA598F">
        <w:rPr>
          <w:rFonts w:ascii="Calibri" w:eastAsia="Calibri" w:hAnsi="Calibri" w:cs="Calibri"/>
          <w:color w:val="000000" w:themeColor="text1"/>
        </w:rPr>
        <w:t>subject</w:t>
      </w:r>
      <w:r w:rsidR="00407048">
        <w:rPr>
          <w:rFonts w:ascii="Calibri" w:eastAsia="Calibri" w:hAnsi="Calibri" w:cs="Calibri"/>
          <w:color w:val="000000" w:themeColor="text1"/>
        </w:rPr>
        <w:t xml:space="preserve"> to be considered. </w:t>
      </w:r>
    </w:p>
    <w:p w14:paraId="04938F53" w14:textId="431711E6" w:rsidR="00407048" w:rsidRDefault="00357095" w:rsidP="000E45C7">
      <w:r w:rsidRPr="000E45C7">
        <w:rPr>
          <w:rFonts w:ascii="Calibri" w:eastAsia="Calibri" w:hAnsi="Calibri" w:cs="Calibri"/>
          <w:color w:val="000000" w:themeColor="text1"/>
        </w:rPr>
        <w:t>From now until 203</w:t>
      </w:r>
      <w:r w:rsidR="00291D43">
        <w:rPr>
          <w:rFonts w:ascii="Calibri" w:eastAsia="Calibri" w:hAnsi="Calibri" w:cs="Calibri"/>
          <w:color w:val="000000" w:themeColor="text1"/>
        </w:rPr>
        <w:t>5</w:t>
      </w:r>
      <w:r w:rsidRPr="000E45C7">
        <w:rPr>
          <w:rFonts w:ascii="Calibri" w:eastAsia="Calibri" w:hAnsi="Calibri" w:cs="Calibri"/>
          <w:color w:val="000000" w:themeColor="text1"/>
        </w:rPr>
        <w:t xml:space="preserve">, </w:t>
      </w:r>
      <w:r w:rsidR="00407048">
        <w:rPr>
          <w:rFonts w:ascii="Calibri" w:eastAsia="Calibri" w:hAnsi="Calibri" w:cs="Calibri"/>
          <w:color w:val="000000" w:themeColor="text1"/>
        </w:rPr>
        <w:t>the UK</w:t>
      </w:r>
      <w:r w:rsidRPr="000E45C7">
        <w:rPr>
          <w:rFonts w:ascii="Calibri" w:eastAsia="Calibri" w:hAnsi="Calibri" w:cs="Calibri"/>
          <w:color w:val="000000" w:themeColor="text1"/>
        </w:rPr>
        <w:t xml:space="preserve"> need to connect unprecedented amounts </w:t>
      </w:r>
      <w:r>
        <w:rPr>
          <w:rFonts w:ascii="Calibri" w:eastAsia="Calibri" w:hAnsi="Calibri" w:cs="Calibri"/>
          <w:color w:val="000000" w:themeColor="text1"/>
        </w:rPr>
        <w:t>of</w:t>
      </w:r>
      <w:r w:rsidRPr="000E45C7">
        <w:rPr>
          <w:rFonts w:ascii="Calibri" w:eastAsia="Calibri" w:hAnsi="Calibri" w:cs="Calibri"/>
          <w:color w:val="000000" w:themeColor="text1"/>
        </w:rPr>
        <w:t xml:space="preserve"> renewable</w:t>
      </w:r>
      <w:r>
        <w:rPr>
          <w:rFonts w:ascii="Calibri" w:eastAsia="Calibri" w:hAnsi="Calibri" w:cs="Calibri"/>
          <w:color w:val="000000" w:themeColor="text1"/>
        </w:rPr>
        <w:t xml:space="preserve"> energy </w:t>
      </w:r>
      <w:r w:rsidR="00291D43">
        <w:rPr>
          <w:rFonts w:ascii="Calibri" w:eastAsia="Calibri" w:hAnsi="Calibri" w:cs="Calibri"/>
          <w:color w:val="000000" w:themeColor="text1"/>
        </w:rPr>
        <w:t>to the grid to decarbonise the power sector</w:t>
      </w:r>
      <w:r w:rsidR="000E45C7" w:rsidRPr="000E45C7">
        <w:rPr>
          <w:rFonts w:ascii="Calibri" w:eastAsia="Calibri" w:hAnsi="Calibri" w:cs="Calibri"/>
          <w:color w:val="000000" w:themeColor="text1"/>
        </w:rPr>
        <w:t xml:space="preserve">. </w:t>
      </w:r>
      <w:r w:rsidR="00291D43">
        <w:rPr>
          <w:rFonts w:ascii="Calibri" w:eastAsia="Calibri" w:hAnsi="Calibri" w:cs="Calibri"/>
          <w:color w:val="000000" w:themeColor="text1"/>
        </w:rPr>
        <w:t xml:space="preserve">It is predicted that </w:t>
      </w:r>
      <w:r w:rsidR="00291D43">
        <w:t>renewable technologies will generate from 70% to 90% of all electricity, a capacity of between 80GW and 280GW.</w:t>
      </w:r>
      <w:r w:rsidR="00291D43">
        <w:rPr>
          <w:rStyle w:val="FootnoteReference"/>
        </w:rPr>
        <w:footnoteReference w:id="2"/>
      </w:r>
      <w:r w:rsidR="00291D43">
        <w:t xml:space="preserve"> There will also be a significant increase in </w:t>
      </w:r>
      <w:r w:rsidR="00EE7BDE">
        <w:t xml:space="preserve">distributed energy resources </w:t>
      </w:r>
      <w:r w:rsidR="00B37621">
        <w:t>for the UK to meet its</w:t>
      </w:r>
      <w:r w:rsidR="00EE7BDE">
        <w:t xml:space="preserve"> transport and </w:t>
      </w:r>
      <w:r w:rsidR="00B37621">
        <w:t>heat electrification targets. For example, the UK government have</w:t>
      </w:r>
      <w:r w:rsidR="00C26866">
        <w:t xml:space="preserve"> </w:t>
      </w:r>
      <w:r w:rsidR="00C95407">
        <w:t>set a</w:t>
      </w:r>
      <w:r w:rsidR="00C26866">
        <w:t xml:space="preserve"> target to install 600,000 heat pumps per year by 2028 and </w:t>
      </w:r>
      <w:r w:rsidR="00C95407">
        <w:t xml:space="preserve">the sale of new </w:t>
      </w:r>
      <w:r w:rsidR="00C26866">
        <w:t xml:space="preserve">combustion vehicles will </w:t>
      </w:r>
      <w:r w:rsidR="00C95407">
        <w:t>come</w:t>
      </w:r>
      <w:r w:rsidR="00C26866">
        <w:t xml:space="preserve"> into place in 2030. </w:t>
      </w:r>
      <w:r w:rsidR="00F60804">
        <w:t xml:space="preserve"> It thus becomes clear that reaching net zero relies not only on our success to generate an increased amount of renewable energy, but also on the energy system’s capacity to transport this electricity across the system efficiently and reliably. </w:t>
      </w:r>
    </w:p>
    <w:p w14:paraId="6EBB9EAB" w14:textId="6F9625D5" w:rsidR="000E45C7" w:rsidRPr="00AA598F" w:rsidRDefault="00C95407" w:rsidP="000E45C7">
      <w:pPr>
        <w:rPr>
          <w:rFonts w:ascii="Calibri" w:eastAsia="Calibri" w:hAnsi="Calibri" w:cs="Calibri"/>
          <w:color w:val="000000" w:themeColor="text1"/>
        </w:rPr>
      </w:pPr>
      <w:r>
        <w:rPr>
          <w:rFonts w:ascii="Calibri" w:eastAsia="Calibri" w:hAnsi="Calibri" w:cs="Calibri"/>
          <w:color w:val="000000" w:themeColor="text1"/>
        </w:rPr>
        <w:t xml:space="preserve">In the up and coming years, </w:t>
      </w:r>
      <w:r>
        <w:t>t</w:t>
      </w:r>
      <w:r w:rsidR="00C26866">
        <w:t xml:space="preserve">he electricity grid at all </w:t>
      </w:r>
      <w:r w:rsidR="006046F7">
        <w:t xml:space="preserve">system levels, including </w:t>
      </w:r>
      <w:r w:rsidR="005B06A7">
        <w:t xml:space="preserve">low-voltage, high voltage, and transmission levels, will </w:t>
      </w:r>
      <w:r w:rsidR="00B229DC">
        <w:t>need to undergo</w:t>
      </w:r>
      <w:r w:rsidR="005B06A7">
        <w:t xml:space="preserve"> </w:t>
      </w:r>
      <w:r w:rsidR="00B229DC">
        <w:t>its</w:t>
      </w:r>
      <w:r w:rsidR="005B06A7">
        <w:t xml:space="preserve"> largest transformation since the 1960s. </w:t>
      </w:r>
      <w:r w:rsidR="00B229DC">
        <w:t>Whilst this is a significant challenge,</w:t>
      </w:r>
      <w:r w:rsidR="006941DB">
        <w:t xml:space="preserve"> recent research that </w:t>
      </w:r>
      <w:r w:rsidR="00F700C8">
        <w:t>we commissioned from Regen</w:t>
      </w:r>
      <w:r w:rsidR="00F700C8">
        <w:rPr>
          <w:rStyle w:val="FootnoteReference"/>
        </w:rPr>
        <w:footnoteReference w:id="3"/>
      </w:r>
      <w:r w:rsidR="00F700C8">
        <w:t xml:space="preserve"> has confirmed that this is </w:t>
      </w:r>
      <w:r w:rsidR="00DE0EA0">
        <w:t>achievable: “The priority now is moving from action plans to delivering reform and investment at pace”.</w:t>
      </w:r>
    </w:p>
    <w:p w14:paraId="3F614F83" w14:textId="3C35F1D1" w:rsidR="0023552E" w:rsidRDefault="00DE0EA0" w:rsidP="008837C7">
      <w:pPr>
        <w:rPr>
          <w:rFonts w:ascii="Calibri" w:eastAsia="Calibri" w:hAnsi="Calibri" w:cs="Calibri"/>
          <w:color w:val="000000" w:themeColor="text1"/>
        </w:rPr>
      </w:pPr>
      <w:r>
        <w:rPr>
          <w:rFonts w:ascii="Calibri" w:eastAsia="Calibri" w:hAnsi="Calibri" w:cs="Calibri"/>
          <w:color w:val="000000" w:themeColor="text1"/>
        </w:rPr>
        <w:t>For this reason, w</w:t>
      </w:r>
      <w:r w:rsidR="00D86BC6">
        <w:rPr>
          <w:rFonts w:ascii="Calibri" w:eastAsia="Calibri" w:hAnsi="Calibri" w:cs="Calibri"/>
          <w:color w:val="000000" w:themeColor="text1"/>
        </w:rPr>
        <w:t xml:space="preserve">e warmly welcome this consultation from </w:t>
      </w:r>
      <w:r w:rsidR="00476DE9">
        <w:rPr>
          <w:rFonts w:ascii="Calibri" w:eastAsia="Calibri" w:hAnsi="Calibri" w:cs="Calibri"/>
          <w:color w:val="000000" w:themeColor="text1"/>
        </w:rPr>
        <w:t xml:space="preserve">Ofgem and </w:t>
      </w:r>
      <w:r w:rsidR="006C2678">
        <w:rPr>
          <w:rFonts w:ascii="Calibri" w:eastAsia="Calibri" w:hAnsi="Calibri" w:cs="Calibri"/>
          <w:color w:val="000000" w:themeColor="text1"/>
        </w:rPr>
        <w:t xml:space="preserve">the acknowledgement </w:t>
      </w:r>
      <w:r w:rsidR="001C28BF">
        <w:rPr>
          <w:rFonts w:ascii="Calibri" w:eastAsia="Calibri" w:hAnsi="Calibri" w:cs="Calibri"/>
          <w:color w:val="000000" w:themeColor="text1"/>
        </w:rPr>
        <w:t xml:space="preserve">of the need to </w:t>
      </w:r>
      <w:r w:rsidR="00476DE9">
        <w:rPr>
          <w:rFonts w:ascii="Calibri" w:eastAsia="Calibri" w:hAnsi="Calibri" w:cs="Calibri"/>
          <w:color w:val="000000" w:themeColor="text1"/>
        </w:rPr>
        <w:t xml:space="preserve">reform </w:t>
      </w:r>
      <w:r w:rsidR="000A6B62">
        <w:rPr>
          <w:rFonts w:ascii="Calibri" w:eastAsia="Calibri" w:hAnsi="Calibri" w:cs="Calibri"/>
          <w:color w:val="000000" w:themeColor="text1"/>
        </w:rPr>
        <w:t xml:space="preserve">network regulation. </w:t>
      </w:r>
      <w:r w:rsidR="001C28BF">
        <w:rPr>
          <w:rFonts w:ascii="Calibri" w:eastAsia="Calibri" w:hAnsi="Calibri" w:cs="Calibri"/>
          <w:color w:val="000000" w:themeColor="text1"/>
        </w:rPr>
        <w:t>From our perspective, t</w:t>
      </w:r>
      <w:r w:rsidR="000A6B62">
        <w:rPr>
          <w:rFonts w:ascii="Calibri" w:eastAsia="Calibri" w:hAnsi="Calibri" w:cs="Calibri"/>
          <w:color w:val="000000" w:themeColor="text1"/>
        </w:rPr>
        <w:t xml:space="preserve">he </w:t>
      </w:r>
      <w:r w:rsidR="001C28BF">
        <w:rPr>
          <w:rFonts w:ascii="Calibri" w:eastAsia="Calibri" w:hAnsi="Calibri" w:cs="Calibri"/>
          <w:color w:val="000000" w:themeColor="text1"/>
        </w:rPr>
        <w:t>shortcoming o</w:t>
      </w:r>
      <w:r w:rsidR="003A3611">
        <w:rPr>
          <w:rFonts w:ascii="Calibri" w:eastAsia="Calibri" w:hAnsi="Calibri" w:cs="Calibri"/>
          <w:color w:val="000000" w:themeColor="text1"/>
        </w:rPr>
        <w:t>f the existing</w:t>
      </w:r>
      <w:r w:rsidR="000A6B62">
        <w:rPr>
          <w:rFonts w:ascii="Calibri" w:eastAsia="Calibri" w:hAnsi="Calibri" w:cs="Calibri"/>
          <w:color w:val="000000" w:themeColor="text1"/>
        </w:rPr>
        <w:t xml:space="preserve"> RIIO-2 framework </w:t>
      </w:r>
      <w:r w:rsidR="003A3611">
        <w:rPr>
          <w:rFonts w:ascii="Calibri" w:eastAsia="Calibri" w:hAnsi="Calibri" w:cs="Calibri"/>
          <w:color w:val="000000" w:themeColor="text1"/>
        </w:rPr>
        <w:t xml:space="preserve">is the strong </w:t>
      </w:r>
      <w:r w:rsidR="000A6B62">
        <w:rPr>
          <w:rFonts w:ascii="Calibri" w:eastAsia="Calibri" w:hAnsi="Calibri" w:cs="Calibri"/>
          <w:color w:val="000000" w:themeColor="text1"/>
        </w:rPr>
        <w:t xml:space="preserve">emphasis on </w:t>
      </w:r>
      <w:r w:rsidR="00526BF3">
        <w:rPr>
          <w:rFonts w:ascii="Calibri" w:eastAsia="Calibri" w:hAnsi="Calibri" w:cs="Calibri"/>
          <w:color w:val="000000" w:themeColor="text1"/>
        </w:rPr>
        <w:t xml:space="preserve">ensuring that investments are efficient and at the lowest cost </w:t>
      </w:r>
      <w:r w:rsidR="003A3611">
        <w:rPr>
          <w:rFonts w:ascii="Calibri" w:eastAsia="Calibri" w:hAnsi="Calibri" w:cs="Calibri"/>
          <w:color w:val="000000" w:themeColor="text1"/>
        </w:rPr>
        <w:t>to</w:t>
      </w:r>
      <w:r w:rsidR="00526BF3">
        <w:rPr>
          <w:rFonts w:ascii="Calibri" w:eastAsia="Calibri" w:hAnsi="Calibri" w:cs="Calibri"/>
          <w:color w:val="000000" w:themeColor="text1"/>
        </w:rPr>
        <w:t xml:space="preserve"> consumers. Whilst </w:t>
      </w:r>
      <w:r w:rsidR="003A3611">
        <w:rPr>
          <w:rFonts w:ascii="Calibri" w:eastAsia="Calibri" w:hAnsi="Calibri" w:cs="Calibri"/>
          <w:color w:val="000000" w:themeColor="text1"/>
        </w:rPr>
        <w:t>keeping costs as low as possible for consumers is an important consideration</w:t>
      </w:r>
      <w:r w:rsidR="00526BF3">
        <w:rPr>
          <w:rFonts w:ascii="Calibri" w:eastAsia="Calibri" w:hAnsi="Calibri" w:cs="Calibri"/>
          <w:color w:val="000000" w:themeColor="text1"/>
        </w:rPr>
        <w:t xml:space="preserve">, </w:t>
      </w:r>
      <w:r w:rsidR="00FF0396">
        <w:rPr>
          <w:rFonts w:ascii="Calibri" w:eastAsia="Calibri" w:hAnsi="Calibri" w:cs="Calibri"/>
          <w:color w:val="000000" w:themeColor="text1"/>
        </w:rPr>
        <w:t xml:space="preserve">this has started to act as a barrier to necessary network development. </w:t>
      </w:r>
      <w:r w:rsidR="00C02442">
        <w:rPr>
          <w:rFonts w:ascii="Calibri" w:eastAsia="Calibri" w:hAnsi="Calibri" w:cs="Calibri"/>
          <w:color w:val="000000" w:themeColor="text1"/>
        </w:rPr>
        <w:t xml:space="preserve">For example, for the recent RIIO-2 period (2023-2028) which was </w:t>
      </w:r>
      <w:r w:rsidR="0066612E">
        <w:rPr>
          <w:rFonts w:ascii="Calibri" w:eastAsia="Calibri" w:hAnsi="Calibri" w:cs="Calibri"/>
          <w:color w:val="000000" w:themeColor="text1"/>
        </w:rPr>
        <w:t>completed in 2022, network reinforcements budgets proposed by the networks w</w:t>
      </w:r>
      <w:r w:rsidR="002250E1">
        <w:rPr>
          <w:rFonts w:ascii="Calibri" w:eastAsia="Calibri" w:hAnsi="Calibri" w:cs="Calibri"/>
          <w:color w:val="000000" w:themeColor="text1"/>
        </w:rPr>
        <w:t>ere reduced 17% by OFGEM.</w:t>
      </w:r>
      <w:r w:rsidR="002250E1">
        <w:rPr>
          <w:rStyle w:val="FootnoteReference"/>
          <w:rFonts w:ascii="Calibri" w:eastAsia="Calibri" w:hAnsi="Calibri" w:cs="Calibri"/>
          <w:color w:val="000000" w:themeColor="text1"/>
        </w:rPr>
        <w:footnoteReference w:id="4"/>
      </w:r>
      <w:r w:rsidR="002250E1">
        <w:rPr>
          <w:rFonts w:ascii="Calibri" w:eastAsia="Calibri" w:hAnsi="Calibri" w:cs="Calibri"/>
          <w:color w:val="000000" w:themeColor="text1"/>
        </w:rPr>
        <w:t xml:space="preserve"> We believe that O</w:t>
      </w:r>
      <w:r w:rsidR="00FF0396">
        <w:rPr>
          <w:rFonts w:ascii="Calibri" w:eastAsia="Calibri" w:hAnsi="Calibri" w:cs="Calibri"/>
          <w:color w:val="000000" w:themeColor="text1"/>
        </w:rPr>
        <w:t>fgem</w:t>
      </w:r>
      <w:r w:rsidR="002250E1">
        <w:rPr>
          <w:rFonts w:ascii="Calibri" w:eastAsia="Calibri" w:hAnsi="Calibri" w:cs="Calibri"/>
          <w:color w:val="000000" w:themeColor="text1"/>
        </w:rPr>
        <w:t xml:space="preserve"> have taken a significant risk</w:t>
      </w:r>
      <w:r w:rsidR="00080CD3">
        <w:rPr>
          <w:rFonts w:ascii="Calibri" w:eastAsia="Calibri" w:hAnsi="Calibri" w:cs="Calibri"/>
          <w:color w:val="000000" w:themeColor="text1"/>
        </w:rPr>
        <w:t xml:space="preserve"> in potentially delaying transition to net zero</w:t>
      </w:r>
      <w:r w:rsidR="002250E1">
        <w:rPr>
          <w:rFonts w:ascii="Calibri" w:eastAsia="Calibri" w:hAnsi="Calibri" w:cs="Calibri"/>
          <w:color w:val="000000" w:themeColor="text1"/>
        </w:rPr>
        <w:t xml:space="preserve"> </w:t>
      </w:r>
      <w:r w:rsidR="00A9419A">
        <w:rPr>
          <w:rFonts w:ascii="Calibri" w:eastAsia="Calibri" w:hAnsi="Calibri" w:cs="Calibri"/>
          <w:color w:val="000000" w:themeColor="text1"/>
        </w:rPr>
        <w:t xml:space="preserve">in an effort to improve the efficiency and lower costs for consumers. </w:t>
      </w:r>
      <w:r w:rsidR="00080CD3">
        <w:rPr>
          <w:rFonts w:ascii="Calibri" w:eastAsia="Calibri" w:hAnsi="Calibri" w:cs="Calibri"/>
          <w:color w:val="000000" w:themeColor="text1"/>
        </w:rPr>
        <w:t xml:space="preserve">The </w:t>
      </w:r>
      <w:r w:rsidR="003423F8">
        <w:rPr>
          <w:rFonts w:ascii="Calibri" w:eastAsia="Calibri" w:hAnsi="Calibri" w:cs="Calibri"/>
          <w:color w:val="000000" w:themeColor="text1"/>
        </w:rPr>
        <w:t xml:space="preserve">consequences of this are </w:t>
      </w:r>
      <w:r w:rsidR="00080CD3">
        <w:rPr>
          <w:rFonts w:ascii="Calibri" w:eastAsia="Calibri" w:hAnsi="Calibri" w:cs="Calibri"/>
          <w:color w:val="000000" w:themeColor="text1"/>
        </w:rPr>
        <w:t>already</w:t>
      </w:r>
      <w:r w:rsidR="007F72F7">
        <w:rPr>
          <w:rFonts w:ascii="Calibri" w:eastAsia="Calibri" w:hAnsi="Calibri" w:cs="Calibri"/>
          <w:color w:val="000000" w:themeColor="text1"/>
        </w:rPr>
        <w:t xml:space="preserve"> </w:t>
      </w:r>
      <w:r w:rsidR="003423F8">
        <w:rPr>
          <w:rFonts w:ascii="Calibri" w:eastAsia="Calibri" w:hAnsi="Calibri" w:cs="Calibri"/>
          <w:color w:val="000000" w:themeColor="text1"/>
        </w:rPr>
        <w:t>po</w:t>
      </w:r>
      <w:r w:rsidR="00A800CF">
        <w:rPr>
          <w:rFonts w:ascii="Calibri" w:eastAsia="Calibri" w:hAnsi="Calibri" w:cs="Calibri"/>
          <w:color w:val="000000" w:themeColor="text1"/>
        </w:rPr>
        <w:t>sing a threat</w:t>
      </w:r>
      <w:r w:rsidR="007F72F7">
        <w:rPr>
          <w:rFonts w:ascii="Calibri" w:eastAsia="Calibri" w:hAnsi="Calibri" w:cs="Calibri"/>
          <w:color w:val="000000" w:themeColor="text1"/>
        </w:rPr>
        <w:t xml:space="preserve"> to the UK’s net zero targets</w:t>
      </w:r>
      <w:r w:rsidR="0023552E">
        <w:rPr>
          <w:rFonts w:ascii="Calibri" w:eastAsia="Calibri" w:hAnsi="Calibri" w:cs="Calibri"/>
          <w:color w:val="000000" w:themeColor="text1"/>
        </w:rPr>
        <w:t>:</w:t>
      </w:r>
    </w:p>
    <w:p w14:paraId="4E38F97E" w14:textId="7D26B55D" w:rsidR="000E45C7" w:rsidRDefault="0023552E" w:rsidP="0023552E">
      <w:pPr>
        <w:pStyle w:val="ListParagraph"/>
        <w:numPr>
          <w:ilvl w:val="0"/>
          <w:numId w:val="4"/>
        </w:numPr>
        <w:rPr>
          <w:rFonts w:ascii="Calibri" w:eastAsia="Calibri" w:hAnsi="Calibri" w:cs="Calibri"/>
          <w:color w:val="000000" w:themeColor="text1"/>
        </w:rPr>
      </w:pPr>
      <w:r>
        <w:rPr>
          <w:rFonts w:ascii="Calibri" w:eastAsia="Calibri" w:hAnsi="Calibri" w:cs="Calibri"/>
          <w:color w:val="000000" w:themeColor="text1"/>
        </w:rPr>
        <w:t>Renewable energy generation and battery storage p</w:t>
      </w:r>
      <w:r w:rsidR="00960E96" w:rsidRPr="0023552E">
        <w:rPr>
          <w:rFonts w:ascii="Calibri" w:eastAsia="Calibri" w:hAnsi="Calibri" w:cs="Calibri"/>
          <w:color w:val="000000" w:themeColor="text1"/>
        </w:rPr>
        <w:t xml:space="preserve">rojects </w:t>
      </w:r>
      <w:r w:rsidR="006C107F" w:rsidRPr="0023552E">
        <w:rPr>
          <w:rFonts w:ascii="Calibri" w:eastAsia="Calibri" w:hAnsi="Calibri" w:cs="Calibri"/>
          <w:color w:val="000000" w:themeColor="text1"/>
        </w:rPr>
        <w:t>already in the pipeline are facing up to 15 year waiting times for high-voltage connections</w:t>
      </w:r>
      <w:r w:rsidR="00080CD3" w:rsidRPr="0023552E">
        <w:rPr>
          <w:rFonts w:ascii="Calibri" w:eastAsia="Calibri" w:hAnsi="Calibri" w:cs="Calibri"/>
          <w:color w:val="000000" w:themeColor="text1"/>
        </w:rPr>
        <w:t xml:space="preserve">. </w:t>
      </w:r>
    </w:p>
    <w:p w14:paraId="5321E6C3" w14:textId="72DD2AFA" w:rsidR="0023552E" w:rsidRPr="002E30FF" w:rsidRDefault="00397367" w:rsidP="002E30FF">
      <w:pPr>
        <w:pStyle w:val="ListParagraph"/>
        <w:numPr>
          <w:ilvl w:val="0"/>
          <w:numId w:val="4"/>
        </w:numPr>
        <w:rPr>
          <w:rFonts w:ascii="Calibri" w:eastAsia="Calibri" w:hAnsi="Calibri" w:cs="Calibri"/>
          <w:color w:val="000000" w:themeColor="text1"/>
        </w:rPr>
      </w:pPr>
      <w:r>
        <w:t xml:space="preserve">If spare capacity predictions are correct, the distribution network </w:t>
      </w:r>
      <w:r w:rsidR="008631CF">
        <w:t>headroom will</w:t>
      </w:r>
      <w:r w:rsidR="009E1236">
        <w:t xml:space="preserve"> run out in 2035, however this could be as early as 2028.</w:t>
      </w:r>
      <w:r w:rsidR="009E1236">
        <w:rPr>
          <w:rStyle w:val="FootnoteReference"/>
        </w:rPr>
        <w:footnoteReference w:id="5"/>
      </w:r>
      <w:r>
        <w:t xml:space="preserve"> </w:t>
      </w:r>
      <w:r w:rsidR="0023552E">
        <w:t xml:space="preserve">Anecdotally, we have heard of housing developers being forced to install gas boilers instead of heat pumps, simply of the basis that the distribution network cannot support them. We have heard similar stories regarding EV charging rations. </w:t>
      </w:r>
    </w:p>
    <w:p w14:paraId="7907A1E9" w14:textId="150F9412" w:rsidR="002660D3" w:rsidRPr="0023552E" w:rsidRDefault="00D541DE" w:rsidP="0023552E">
      <w:pPr>
        <w:pStyle w:val="ListParagraph"/>
        <w:numPr>
          <w:ilvl w:val="0"/>
          <w:numId w:val="4"/>
        </w:numPr>
        <w:rPr>
          <w:rFonts w:ascii="Calibri" w:eastAsia="Calibri" w:hAnsi="Calibri" w:cs="Calibri"/>
          <w:color w:val="000000" w:themeColor="text1"/>
        </w:rPr>
      </w:pPr>
      <w:r>
        <w:t>Investment in network capacity has fallen behind generation deployment.</w:t>
      </w:r>
      <w:r>
        <w:rPr>
          <w:rStyle w:val="FootnoteReference"/>
        </w:rPr>
        <w:footnoteReference w:id="6"/>
      </w:r>
      <w:r>
        <w:t xml:space="preserve"> </w:t>
      </w:r>
      <w:r w:rsidR="002660D3">
        <w:t>The UK governments success of achieving 50GW of offshore wind power</w:t>
      </w:r>
      <w:r w:rsidR="007F72F7">
        <w:rPr>
          <w:rStyle w:val="FootnoteReference"/>
        </w:rPr>
        <w:footnoteReference w:id="7"/>
      </w:r>
      <w:r w:rsidR="002660D3">
        <w:t xml:space="preserve"> directly relies on the</w:t>
      </w:r>
      <w:r w:rsidR="00812C71">
        <w:t xml:space="preserve"> construction of</w:t>
      </w:r>
      <w:r w:rsidR="003F724A">
        <w:t xml:space="preserve"> sufficient transmission infrastructure</w:t>
      </w:r>
      <w:r w:rsidR="00B74CB6">
        <w:t xml:space="preserve"> to support extra supply. </w:t>
      </w:r>
    </w:p>
    <w:p w14:paraId="3F2FDC2C" w14:textId="11B027FF" w:rsidR="0047742E" w:rsidRDefault="0076152D" w:rsidP="008837C7">
      <w:pPr>
        <w:rPr>
          <w:rFonts w:ascii="Calibri" w:eastAsia="Calibri" w:hAnsi="Calibri" w:cs="Calibri"/>
          <w:color w:val="000000" w:themeColor="text1"/>
        </w:rPr>
      </w:pPr>
      <w:r>
        <w:rPr>
          <w:rFonts w:ascii="Calibri" w:eastAsia="Calibri" w:hAnsi="Calibri" w:cs="Calibri"/>
          <w:color w:val="000000" w:themeColor="text1"/>
        </w:rPr>
        <w:t>For this reason, we strongly believe that</w:t>
      </w:r>
      <w:r w:rsidR="005A4293">
        <w:rPr>
          <w:rFonts w:ascii="Calibri" w:eastAsia="Calibri" w:hAnsi="Calibri" w:cs="Calibri"/>
          <w:color w:val="000000" w:themeColor="text1"/>
        </w:rPr>
        <w:t xml:space="preserve"> regardless of which framework is chose</w:t>
      </w:r>
      <w:r w:rsidR="00812C71">
        <w:rPr>
          <w:rFonts w:ascii="Calibri" w:eastAsia="Calibri" w:hAnsi="Calibri" w:cs="Calibri"/>
          <w:color w:val="000000" w:themeColor="text1"/>
        </w:rPr>
        <w:t>n</w:t>
      </w:r>
      <w:r w:rsidR="005A4293">
        <w:rPr>
          <w:rFonts w:ascii="Calibri" w:eastAsia="Calibri" w:hAnsi="Calibri" w:cs="Calibri"/>
          <w:color w:val="000000" w:themeColor="text1"/>
        </w:rPr>
        <w:t xml:space="preserve">, it must move beyond the ‘Connect and Manage’ </w:t>
      </w:r>
      <w:r w:rsidR="00926163">
        <w:rPr>
          <w:rFonts w:ascii="Calibri" w:eastAsia="Calibri" w:hAnsi="Calibri" w:cs="Calibri"/>
          <w:color w:val="000000" w:themeColor="text1"/>
        </w:rPr>
        <w:t xml:space="preserve">model, towards a regulatory framework that ensures </w:t>
      </w:r>
      <w:r w:rsidR="009A5280">
        <w:rPr>
          <w:rFonts w:ascii="Calibri" w:eastAsia="Calibri" w:hAnsi="Calibri" w:cs="Calibri"/>
          <w:color w:val="000000" w:themeColor="text1"/>
        </w:rPr>
        <w:t>capacity is built in anticipation of renewable and distributed energy resources.</w:t>
      </w:r>
      <w:r w:rsidR="00C0553A">
        <w:rPr>
          <w:rFonts w:ascii="Calibri" w:eastAsia="Calibri" w:hAnsi="Calibri" w:cs="Calibri"/>
          <w:color w:val="000000" w:themeColor="text1"/>
        </w:rPr>
        <w:t xml:space="preserve"> We strongly agree with the sentiment of </w:t>
      </w:r>
      <w:r w:rsidR="00AD197C">
        <w:rPr>
          <w:rFonts w:ascii="Calibri" w:eastAsia="Calibri" w:hAnsi="Calibri" w:cs="Calibri"/>
          <w:color w:val="000000" w:themeColor="text1"/>
        </w:rPr>
        <w:t>Dieter Helm, Economics Professor at Oxford University:</w:t>
      </w:r>
    </w:p>
    <w:p w14:paraId="26F25A52" w14:textId="25CD7BFB" w:rsidR="00AD197C" w:rsidRPr="00363296" w:rsidRDefault="00AD197C" w:rsidP="00AD197C">
      <w:pPr>
        <w:ind w:left="720"/>
        <w:rPr>
          <w:rFonts w:ascii="Calibri" w:eastAsia="Calibri" w:hAnsi="Calibri" w:cs="Calibri"/>
          <w:color w:val="000000" w:themeColor="text1"/>
        </w:rPr>
      </w:pPr>
      <w:r>
        <w:t>“If the networks are not sufficiently developed, there will be no net zero. If they are slightly over-invested, the costs across the whole customer base are small, and in any event the assets will in due course probably be needed.”</w:t>
      </w:r>
      <w:r>
        <w:rPr>
          <w:rStyle w:val="FootnoteReference"/>
        </w:rPr>
        <w:footnoteReference w:id="8"/>
      </w:r>
    </w:p>
    <w:p w14:paraId="15C3A685" w14:textId="63AE6948" w:rsidR="00363296" w:rsidRDefault="00812C71" w:rsidP="008837C7">
      <w:pPr>
        <w:rPr>
          <w:rFonts w:ascii="Calibri" w:eastAsia="Calibri" w:hAnsi="Calibri" w:cs="Calibri"/>
          <w:color w:val="000000" w:themeColor="text1"/>
        </w:rPr>
      </w:pPr>
      <w:r>
        <w:rPr>
          <w:rFonts w:ascii="Calibri" w:eastAsia="Calibri" w:hAnsi="Calibri" w:cs="Calibri"/>
          <w:color w:val="000000" w:themeColor="text1"/>
        </w:rPr>
        <w:t>F</w:t>
      </w:r>
      <w:r w:rsidR="00016127">
        <w:rPr>
          <w:rFonts w:ascii="Calibri" w:eastAsia="Calibri" w:hAnsi="Calibri" w:cs="Calibri"/>
          <w:color w:val="000000" w:themeColor="text1"/>
        </w:rPr>
        <w:t xml:space="preserve">or this reason we </w:t>
      </w:r>
      <w:r w:rsidR="00224DFC">
        <w:rPr>
          <w:rFonts w:ascii="Calibri" w:eastAsia="Calibri" w:hAnsi="Calibri" w:cs="Calibri"/>
          <w:color w:val="000000" w:themeColor="text1"/>
        </w:rPr>
        <w:t xml:space="preserve">see the benefits of the Freedom and Accountability </w:t>
      </w:r>
      <w:r w:rsidR="00EB6F04">
        <w:rPr>
          <w:rFonts w:ascii="Calibri" w:eastAsia="Calibri" w:hAnsi="Calibri" w:cs="Calibri"/>
          <w:color w:val="000000" w:themeColor="text1"/>
        </w:rPr>
        <w:t xml:space="preserve">framework tool in </w:t>
      </w:r>
      <w:r w:rsidR="008C029A">
        <w:rPr>
          <w:rFonts w:ascii="Calibri" w:eastAsia="Calibri" w:hAnsi="Calibri" w:cs="Calibri"/>
          <w:color w:val="000000" w:themeColor="text1"/>
        </w:rPr>
        <w:t>supporting a more anticipatory approach to grid development</w:t>
      </w:r>
      <w:r>
        <w:rPr>
          <w:rFonts w:ascii="Calibri" w:eastAsia="Calibri" w:hAnsi="Calibri" w:cs="Calibri"/>
          <w:color w:val="000000" w:themeColor="text1"/>
        </w:rPr>
        <w:t>. Nevertheless, w</w:t>
      </w:r>
      <w:r w:rsidR="00111ADE">
        <w:rPr>
          <w:rFonts w:ascii="Calibri" w:eastAsia="Calibri" w:hAnsi="Calibri" w:cs="Calibri"/>
          <w:color w:val="000000" w:themeColor="text1"/>
        </w:rPr>
        <w:t xml:space="preserve">e understand that there </w:t>
      </w:r>
      <w:r w:rsidR="00A34072">
        <w:rPr>
          <w:rFonts w:ascii="Calibri" w:eastAsia="Calibri" w:hAnsi="Calibri" w:cs="Calibri"/>
          <w:color w:val="000000" w:themeColor="text1"/>
        </w:rPr>
        <w:t xml:space="preserve">are respective </w:t>
      </w:r>
      <w:r w:rsidR="00111ADE">
        <w:rPr>
          <w:rFonts w:ascii="Calibri" w:eastAsia="Calibri" w:hAnsi="Calibri" w:cs="Calibri"/>
          <w:color w:val="000000" w:themeColor="text1"/>
        </w:rPr>
        <w:t>trade-off</w:t>
      </w:r>
      <w:r w:rsidR="00A34072">
        <w:rPr>
          <w:rFonts w:ascii="Calibri" w:eastAsia="Calibri" w:hAnsi="Calibri" w:cs="Calibri"/>
          <w:color w:val="000000" w:themeColor="text1"/>
        </w:rPr>
        <w:t>s</w:t>
      </w:r>
      <w:r w:rsidR="00111ADE">
        <w:rPr>
          <w:rFonts w:ascii="Calibri" w:eastAsia="Calibri" w:hAnsi="Calibri" w:cs="Calibri"/>
          <w:color w:val="000000" w:themeColor="text1"/>
        </w:rPr>
        <w:t xml:space="preserve"> </w:t>
      </w:r>
      <w:r w:rsidR="00A34072">
        <w:rPr>
          <w:rFonts w:ascii="Calibri" w:eastAsia="Calibri" w:hAnsi="Calibri" w:cs="Calibri"/>
          <w:color w:val="000000" w:themeColor="text1"/>
        </w:rPr>
        <w:t>to both</w:t>
      </w:r>
      <w:r w:rsidR="00111ADE">
        <w:rPr>
          <w:rFonts w:ascii="Calibri" w:eastAsia="Calibri" w:hAnsi="Calibri" w:cs="Calibri"/>
          <w:color w:val="000000" w:themeColor="text1"/>
        </w:rPr>
        <w:t xml:space="preserve"> </w:t>
      </w:r>
      <w:r w:rsidR="00A34072">
        <w:rPr>
          <w:rFonts w:ascii="Calibri" w:eastAsia="Calibri" w:hAnsi="Calibri" w:cs="Calibri"/>
          <w:color w:val="000000" w:themeColor="text1"/>
        </w:rPr>
        <w:t>incremental and more radical change</w:t>
      </w:r>
      <w:r w:rsidR="001C02C9">
        <w:rPr>
          <w:rFonts w:ascii="Calibri" w:eastAsia="Calibri" w:hAnsi="Calibri" w:cs="Calibri"/>
          <w:color w:val="000000" w:themeColor="text1"/>
        </w:rPr>
        <w:t xml:space="preserve"> and wish to stress the importance on ensuring continued investment </w:t>
      </w:r>
      <w:r w:rsidR="007E1F42">
        <w:rPr>
          <w:rFonts w:ascii="Calibri" w:eastAsia="Calibri" w:hAnsi="Calibri" w:cs="Calibri"/>
          <w:color w:val="000000" w:themeColor="text1"/>
        </w:rPr>
        <w:t>even during this transition period.</w:t>
      </w:r>
      <w:r w:rsidR="008126A7">
        <w:rPr>
          <w:rFonts w:ascii="Calibri" w:eastAsia="Calibri" w:hAnsi="Calibri" w:cs="Calibri"/>
          <w:color w:val="000000" w:themeColor="text1"/>
        </w:rPr>
        <w:t xml:space="preserve"> This could be more easily achieved by</w:t>
      </w:r>
      <w:r w:rsidR="00605277">
        <w:rPr>
          <w:rFonts w:ascii="Calibri" w:eastAsia="Calibri" w:hAnsi="Calibri" w:cs="Calibri"/>
          <w:color w:val="000000" w:themeColor="text1"/>
        </w:rPr>
        <w:t xml:space="preserve"> </w:t>
      </w:r>
      <w:r w:rsidR="00E52B61">
        <w:rPr>
          <w:rFonts w:ascii="Calibri" w:eastAsia="Calibri" w:hAnsi="Calibri" w:cs="Calibri"/>
          <w:color w:val="000000" w:themeColor="text1"/>
        </w:rPr>
        <w:t>an Ex Ante approach</w:t>
      </w:r>
      <w:r w:rsidR="008126A7">
        <w:rPr>
          <w:rFonts w:ascii="Calibri" w:eastAsia="Calibri" w:hAnsi="Calibri" w:cs="Calibri"/>
          <w:color w:val="000000" w:themeColor="text1"/>
        </w:rPr>
        <w:t xml:space="preserve">, which </w:t>
      </w:r>
      <w:r w:rsidR="003F6443">
        <w:rPr>
          <w:rFonts w:ascii="Calibri" w:eastAsia="Calibri" w:hAnsi="Calibri" w:cs="Calibri"/>
          <w:color w:val="000000" w:themeColor="text1"/>
        </w:rPr>
        <w:t xml:space="preserve">follows a similar archetype to RIIO-2 and thus could be more easily understood by stakeholders. </w:t>
      </w:r>
      <w:r>
        <w:rPr>
          <w:rFonts w:ascii="Calibri" w:eastAsia="Calibri" w:hAnsi="Calibri" w:cs="Calibri"/>
          <w:color w:val="000000" w:themeColor="text1"/>
        </w:rPr>
        <w:t>If this archetype is chosen, w</w:t>
      </w:r>
      <w:r w:rsidR="00DE5A52">
        <w:rPr>
          <w:rFonts w:ascii="Calibri" w:eastAsia="Calibri" w:hAnsi="Calibri" w:cs="Calibri"/>
          <w:color w:val="000000" w:themeColor="text1"/>
        </w:rPr>
        <w:t xml:space="preserve">e agree that </w:t>
      </w:r>
      <w:r w:rsidR="00C625D9">
        <w:rPr>
          <w:rFonts w:ascii="Calibri" w:eastAsia="Calibri" w:hAnsi="Calibri" w:cs="Calibri"/>
          <w:color w:val="000000" w:themeColor="text1"/>
        </w:rPr>
        <w:t xml:space="preserve">a more simplified approach must be taken to incentives and assessment, to allow </w:t>
      </w:r>
      <w:r>
        <w:rPr>
          <w:rFonts w:ascii="Calibri" w:eastAsia="Calibri" w:hAnsi="Calibri" w:cs="Calibri"/>
          <w:color w:val="000000" w:themeColor="text1"/>
        </w:rPr>
        <w:t>more</w:t>
      </w:r>
      <w:r w:rsidR="00C625D9">
        <w:rPr>
          <w:rFonts w:ascii="Calibri" w:eastAsia="Calibri" w:hAnsi="Calibri" w:cs="Calibri"/>
          <w:color w:val="000000" w:themeColor="text1"/>
        </w:rPr>
        <w:t xml:space="preserve"> non-experts to understand</w:t>
      </w:r>
      <w:r>
        <w:rPr>
          <w:rFonts w:ascii="Calibri" w:eastAsia="Calibri" w:hAnsi="Calibri" w:cs="Calibri"/>
          <w:color w:val="000000" w:themeColor="text1"/>
        </w:rPr>
        <w:t xml:space="preserve"> the process</w:t>
      </w:r>
      <w:r w:rsidR="00C625D9">
        <w:rPr>
          <w:rFonts w:ascii="Calibri" w:eastAsia="Calibri" w:hAnsi="Calibri" w:cs="Calibri"/>
          <w:color w:val="000000" w:themeColor="text1"/>
        </w:rPr>
        <w:t>.</w:t>
      </w:r>
      <w:r w:rsidR="00FA21BA">
        <w:rPr>
          <w:rFonts w:ascii="Calibri" w:eastAsia="Calibri" w:hAnsi="Calibri" w:cs="Calibri"/>
          <w:color w:val="000000" w:themeColor="text1"/>
        </w:rPr>
        <w:t xml:space="preserve"> Currently </w:t>
      </w:r>
      <w:r w:rsidR="00DD4CD7">
        <w:rPr>
          <w:rFonts w:ascii="Calibri" w:eastAsia="Calibri" w:hAnsi="Calibri" w:cs="Calibri"/>
          <w:color w:val="000000" w:themeColor="text1"/>
        </w:rPr>
        <w:t xml:space="preserve">the RIIO process </w:t>
      </w:r>
      <w:r w:rsidR="00FA21BA">
        <w:rPr>
          <w:rFonts w:ascii="Calibri" w:eastAsia="Calibri" w:hAnsi="Calibri" w:cs="Calibri"/>
          <w:color w:val="000000" w:themeColor="text1"/>
        </w:rPr>
        <w:t>is t</w:t>
      </w:r>
      <w:r w:rsidR="00DD4CD7">
        <w:rPr>
          <w:rFonts w:ascii="Calibri" w:eastAsia="Calibri" w:hAnsi="Calibri" w:cs="Calibri"/>
          <w:color w:val="000000" w:themeColor="text1"/>
        </w:rPr>
        <w:t>i</w:t>
      </w:r>
      <w:r w:rsidR="00FA21BA">
        <w:rPr>
          <w:rFonts w:ascii="Calibri" w:eastAsia="Calibri" w:hAnsi="Calibri" w:cs="Calibri"/>
          <w:color w:val="000000" w:themeColor="text1"/>
        </w:rPr>
        <w:t xml:space="preserve">mely </w:t>
      </w:r>
      <w:r w:rsidR="00D260CE">
        <w:rPr>
          <w:rFonts w:ascii="Calibri" w:eastAsia="Calibri" w:hAnsi="Calibri" w:cs="Calibri"/>
          <w:color w:val="000000" w:themeColor="text1"/>
        </w:rPr>
        <w:t>(taking roughly 3 years</w:t>
      </w:r>
      <w:r w:rsidR="00DD4CD7">
        <w:rPr>
          <w:rFonts w:ascii="Calibri" w:eastAsia="Calibri" w:hAnsi="Calibri" w:cs="Calibri"/>
          <w:color w:val="000000" w:themeColor="text1"/>
        </w:rPr>
        <w:t>) and</w:t>
      </w:r>
      <w:r>
        <w:rPr>
          <w:rFonts w:ascii="Calibri" w:eastAsia="Calibri" w:hAnsi="Calibri" w:cs="Calibri"/>
          <w:color w:val="000000" w:themeColor="text1"/>
        </w:rPr>
        <w:t xml:space="preserve"> complex</w:t>
      </w:r>
      <w:r w:rsidR="00DD4CD7">
        <w:rPr>
          <w:rFonts w:ascii="Calibri" w:eastAsia="Calibri" w:hAnsi="Calibri" w:cs="Calibri"/>
          <w:color w:val="000000" w:themeColor="text1"/>
        </w:rPr>
        <w:t xml:space="preserve">, leading to information asymmetry. </w:t>
      </w:r>
      <w:r w:rsidR="00C625D9">
        <w:rPr>
          <w:rFonts w:ascii="Calibri" w:eastAsia="Calibri" w:hAnsi="Calibri" w:cs="Calibri"/>
          <w:color w:val="000000" w:themeColor="text1"/>
        </w:rPr>
        <w:t xml:space="preserve"> We strongly agree wi</w:t>
      </w:r>
      <w:r w:rsidR="00DD4CD7">
        <w:rPr>
          <w:rFonts w:ascii="Calibri" w:eastAsia="Calibri" w:hAnsi="Calibri" w:cs="Calibri"/>
          <w:color w:val="000000" w:themeColor="text1"/>
        </w:rPr>
        <w:t xml:space="preserve">th the need to address this moving forward. </w:t>
      </w:r>
    </w:p>
    <w:p w14:paraId="5F1DBB86" w14:textId="2A9F1211" w:rsidR="007E1F42" w:rsidRDefault="007E1F42" w:rsidP="008837C7">
      <w:pPr>
        <w:rPr>
          <w:rFonts w:ascii="Calibri" w:eastAsia="Calibri" w:hAnsi="Calibri" w:cs="Calibri"/>
          <w:color w:val="000000" w:themeColor="text1"/>
        </w:rPr>
      </w:pPr>
      <w:r>
        <w:rPr>
          <w:rFonts w:ascii="Calibri" w:eastAsia="Calibri" w:hAnsi="Calibri" w:cs="Calibri"/>
          <w:color w:val="000000" w:themeColor="text1"/>
        </w:rPr>
        <w:t xml:space="preserve">We agree </w:t>
      </w:r>
      <w:r w:rsidR="00007984">
        <w:rPr>
          <w:rFonts w:ascii="Calibri" w:eastAsia="Calibri" w:hAnsi="Calibri" w:cs="Calibri"/>
          <w:color w:val="000000" w:themeColor="text1"/>
        </w:rPr>
        <w:t xml:space="preserve">that planning is needed to </w:t>
      </w:r>
      <w:r w:rsidR="00DE04EE">
        <w:rPr>
          <w:rFonts w:ascii="Calibri" w:eastAsia="Calibri" w:hAnsi="Calibri" w:cs="Calibri"/>
          <w:color w:val="000000" w:themeColor="text1"/>
        </w:rPr>
        <w:t>support grid development at the pace and scale needed</w:t>
      </w:r>
      <w:r w:rsidR="00812C71">
        <w:rPr>
          <w:rFonts w:ascii="Calibri" w:eastAsia="Calibri" w:hAnsi="Calibri" w:cs="Calibri"/>
          <w:color w:val="000000" w:themeColor="text1"/>
        </w:rPr>
        <w:t xml:space="preserve">, </w:t>
      </w:r>
      <w:r w:rsidR="00DE04EE">
        <w:rPr>
          <w:rFonts w:ascii="Calibri" w:eastAsia="Calibri" w:hAnsi="Calibri" w:cs="Calibri"/>
          <w:color w:val="000000" w:themeColor="text1"/>
        </w:rPr>
        <w:t xml:space="preserve">and </w:t>
      </w:r>
      <w:r>
        <w:rPr>
          <w:rFonts w:ascii="Calibri" w:eastAsia="Calibri" w:hAnsi="Calibri" w:cs="Calibri"/>
          <w:color w:val="000000" w:themeColor="text1"/>
        </w:rPr>
        <w:t xml:space="preserve">that the Future System Operator (FSO) </w:t>
      </w:r>
      <w:r w:rsidR="000537CE">
        <w:rPr>
          <w:rFonts w:ascii="Calibri" w:eastAsia="Calibri" w:hAnsi="Calibri" w:cs="Calibri"/>
          <w:color w:val="000000" w:themeColor="text1"/>
        </w:rPr>
        <w:t xml:space="preserve">could be </w:t>
      </w:r>
      <w:r w:rsidR="003C3D71">
        <w:rPr>
          <w:rFonts w:ascii="Calibri" w:eastAsia="Calibri" w:hAnsi="Calibri" w:cs="Calibri"/>
          <w:color w:val="000000" w:themeColor="text1"/>
        </w:rPr>
        <w:t>in a strong position to facilitate this</w:t>
      </w:r>
      <w:r w:rsidR="001422B6">
        <w:rPr>
          <w:rFonts w:ascii="Calibri" w:eastAsia="Calibri" w:hAnsi="Calibri" w:cs="Calibri"/>
          <w:color w:val="000000" w:themeColor="text1"/>
        </w:rPr>
        <w:t xml:space="preserve">, through taking a more cross-vector approach both at a local and national level. However, </w:t>
      </w:r>
      <w:r w:rsidR="004347C0">
        <w:rPr>
          <w:rFonts w:ascii="Calibri" w:eastAsia="Calibri" w:hAnsi="Calibri" w:cs="Calibri"/>
          <w:color w:val="000000" w:themeColor="text1"/>
        </w:rPr>
        <w:t xml:space="preserve">we are concerned with the level of uncertainty surrounding the FSO and believe that </w:t>
      </w:r>
      <w:r w:rsidR="00704228">
        <w:rPr>
          <w:rFonts w:ascii="Calibri" w:eastAsia="Calibri" w:hAnsi="Calibri" w:cs="Calibri"/>
          <w:color w:val="000000" w:themeColor="text1"/>
        </w:rPr>
        <w:t xml:space="preserve">this must be rectified moving forward, especially as the FSO feature heavily in several OFGEM plans, including local </w:t>
      </w:r>
      <w:r w:rsidR="007558E3">
        <w:rPr>
          <w:rFonts w:ascii="Calibri" w:eastAsia="Calibri" w:hAnsi="Calibri" w:cs="Calibri"/>
          <w:color w:val="000000" w:themeColor="text1"/>
        </w:rPr>
        <w:t>energy governance,</w:t>
      </w:r>
      <w:r w:rsidR="007558E3">
        <w:rPr>
          <w:rStyle w:val="FootnoteReference"/>
          <w:rFonts w:ascii="Calibri" w:eastAsia="Calibri" w:hAnsi="Calibri" w:cs="Calibri"/>
          <w:color w:val="000000" w:themeColor="text1"/>
        </w:rPr>
        <w:footnoteReference w:id="9"/>
      </w:r>
      <w:r w:rsidR="007558E3">
        <w:rPr>
          <w:rFonts w:ascii="Calibri" w:eastAsia="Calibri" w:hAnsi="Calibri" w:cs="Calibri"/>
          <w:color w:val="000000" w:themeColor="text1"/>
        </w:rPr>
        <w:t xml:space="preserve"> distributed flexibility,</w:t>
      </w:r>
      <w:r w:rsidR="0022399C">
        <w:rPr>
          <w:rStyle w:val="FootnoteReference"/>
          <w:rFonts w:ascii="Calibri" w:eastAsia="Calibri" w:hAnsi="Calibri" w:cs="Calibri"/>
          <w:color w:val="000000" w:themeColor="text1"/>
        </w:rPr>
        <w:footnoteReference w:id="10"/>
      </w:r>
      <w:r w:rsidR="007558E3">
        <w:rPr>
          <w:rFonts w:ascii="Calibri" w:eastAsia="Calibri" w:hAnsi="Calibri" w:cs="Calibri"/>
          <w:color w:val="000000" w:themeColor="text1"/>
        </w:rPr>
        <w:t xml:space="preserve"> and network planning.</w:t>
      </w:r>
      <w:r w:rsidR="00E90105">
        <w:rPr>
          <w:rFonts w:ascii="Calibri" w:eastAsia="Calibri" w:hAnsi="Calibri" w:cs="Calibri"/>
          <w:color w:val="000000" w:themeColor="text1"/>
        </w:rPr>
        <w:t xml:space="preserve"> We recommend that: </w:t>
      </w:r>
    </w:p>
    <w:p w14:paraId="5A19AA06" w14:textId="53639D77" w:rsidR="00EF2F66" w:rsidRPr="00EF2F66" w:rsidRDefault="00EF2F66" w:rsidP="00EF2F66">
      <w:pPr>
        <w:pStyle w:val="ListParagraph"/>
        <w:numPr>
          <w:ilvl w:val="0"/>
          <w:numId w:val="5"/>
        </w:numPr>
        <w:rPr>
          <w:rFonts w:ascii="Calibri" w:eastAsia="Calibri" w:hAnsi="Calibri" w:cs="Calibri"/>
          <w:color w:val="000000" w:themeColor="text1"/>
        </w:rPr>
      </w:pPr>
      <w:r>
        <w:t>Ofgem and Government should publish the strategy and policy statement</w:t>
      </w:r>
      <w:r w:rsidR="002340C0">
        <w:t xml:space="preserve"> for the FSO. </w:t>
      </w:r>
    </w:p>
    <w:p w14:paraId="75349093" w14:textId="3B2ECCDA" w:rsidR="00EF2F66" w:rsidRPr="00EF2F66" w:rsidRDefault="002340C0" w:rsidP="00EF2F66">
      <w:pPr>
        <w:pStyle w:val="ListParagraph"/>
        <w:numPr>
          <w:ilvl w:val="0"/>
          <w:numId w:val="5"/>
        </w:numPr>
        <w:rPr>
          <w:rFonts w:ascii="Calibri" w:eastAsia="Calibri" w:hAnsi="Calibri" w:cs="Calibri"/>
          <w:color w:val="000000" w:themeColor="text1"/>
        </w:rPr>
      </w:pPr>
      <w:r>
        <w:t>Ofgem m</w:t>
      </w:r>
      <w:r w:rsidR="00EF2F66">
        <w:t>inimise</w:t>
      </w:r>
      <w:r>
        <w:t>s</w:t>
      </w:r>
      <w:r w:rsidR="00EF2F66">
        <w:t xml:space="preserve"> uncertainty by putting the FSO in place as soon as possible. </w:t>
      </w:r>
    </w:p>
    <w:p w14:paraId="019218CE" w14:textId="433439CD" w:rsidR="007E1F42" w:rsidRPr="009F5176" w:rsidRDefault="00AF0527" w:rsidP="00EF2F66">
      <w:pPr>
        <w:pStyle w:val="ListParagraph"/>
        <w:numPr>
          <w:ilvl w:val="0"/>
          <w:numId w:val="5"/>
        </w:numPr>
        <w:rPr>
          <w:rFonts w:ascii="Calibri" w:eastAsia="Calibri" w:hAnsi="Calibri" w:cs="Calibri"/>
          <w:color w:val="000000" w:themeColor="text1"/>
        </w:rPr>
      </w:pPr>
      <w:r>
        <w:t>T</w:t>
      </w:r>
      <w:r w:rsidR="00EF2F66">
        <w:t>he FSO has a clear strategic direction to deliver net zero and the independence and capacity to deliver.</w:t>
      </w:r>
    </w:p>
    <w:p w14:paraId="603E055B" w14:textId="5A405C80" w:rsidR="009F5176" w:rsidRPr="003C3D71" w:rsidRDefault="009F5176" w:rsidP="00EF2F66">
      <w:pPr>
        <w:pStyle w:val="ListParagraph"/>
        <w:numPr>
          <w:ilvl w:val="0"/>
          <w:numId w:val="5"/>
        </w:numPr>
        <w:rPr>
          <w:rFonts w:ascii="Calibri" w:eastAsia="Calibri" w:hAnsi="Calibri" w:cs="Calibri"/>
          <w:color w:val="000000" w:themeColor="text1"/>
        </w:rPr>
      </w:pPr>
      <w:r>
        <w:t>Ofgem publish a schematic showing the governance of the proposed system, including the likely interaction between consumer energy resources, flexibility providers, the Future System Operator (FSO), DNOs and energy suppliers</w:t>
      </w:r>
      <w:r w:rsidR="00AF0527">
        <w:t>.</w:t>
      </w:r>
    </w:p>
    <w:p w14:paraId="584AD345" w14:textId="7BBC641D" w:rsidR="003C3D71" w:rsidRPr="003C3D71" w:rsidRDefault="003C3D71" w:rsidP="003C3D71">
      <w:pPr>
        <w:rPr>
          <w:rFonts w:ascii="Calibri" w:eastAsia="Calibri" w:hAnsi="Calibri" w:cs="Calibri"/>
          <w:color w:val="000000" w:themeColor="text1"/>
        </w:rPr>
      </w:pPr>
      <w:r>
        <w:rPr>
          <w:rFonts w:ascii="Calibri" w:eastAsia="Calibri" w:hAnsi="Calibri" w:cs="Calibri"/>
          <w:color w:val="000000" w:themeColor="text1"/>
        </w:rPr>
        <w:t>Equally, to support the FSO and planning, we encourage the development of a detailed</w:t>
      </w:r>
      <w:r w:rsidR="00AA6FD3">
        <w:rPr>
          <w:rFonts w:ascii="Calibri" w:eastAsia="Calibri" w:hAnsi="Calibri" w:cs="Calibri"/>
          <w:color w:val="000000" w:themeColor="text1"/>
        </w:rPr>
        <w:t>, real-time model</w:t>
      </w:r>
      <w:r w:rsidR="00195E1D">
        <w:rPr>
          <w:rFonts w:ascii="Calibri" w:eastAsia="Calibri" w:hAnsi="Calibri" w:cs="Calibri"/>
          <w:color w:val="000000" w:themeColor="text1"/>
        </w:rPr>
        <w:t>. T</w:t>
      </w:r>
      <w:r w:rsidR="00195E1D">
        <w:t xml:space="preserve">his model would cover connected generation, transmission and distribution capacity and the behaviours of demand-side products (including peak demand, average demand and flexibility capacity). Overtime this could evolve into a digital twin, providing increased efficiency and more strategic planning. </w:t>
      </w:r>
    </w:p>
    <w:p w14:paraId="4F9163EC" w14:textId="6674AB4F" w:rsidR="00CF0030" w:rsidRDefault="00CF0030" w:rsidP="00CF0030">
      <w:r>
        <w:rPr>
          <w:rFonts w:ascii="Calibri" w:eastAsia="Calibri" w:hAnsi="Calibri" w:cs="Calibri"/>
          <w:color w:val="000000" w:themeColor="text1"/>
        </w:rPr>
        <w:t xml:space="preserve">We agree with Ofgem that there needs to be the right balance between developing, smart flexibility, and maintaining assets. </w:t>
      </w:r>
      <w:r>
        <w:t>D</w:t>
      </w:r>
      <w:r w:rsidRPr="001D15A1">
        <w:t>istribut</w:t>
      </w:r>
      <w:r>
        <w:t>ed energy resources (DER)</w:t>
      </w:r>
      <w:r w:rsidRPr="001D15A1">
        <w:t xml:space="preserve"> technologie</w:t>
      </w:r>
      <w:r>
        <w:t xml:space="preserve">s have the potential to contribute to </w:t>
      </w:r>
      <w:r w:rsidRPr="001D15A1">
        <w:t>a more stable and secure energy system</w:t>
      </w:r>
      <w:r>
        <w:t xml:space="preserve"> and that this</w:t>
      </w:r>
      <w:r w:rsidRPr="001D15A1">
        <w:t xml:space="preserve"> relies heavily on </w:t>
      </w:r>
      <w:r>
        <w:t>the</w:t>
      </w:r>
      <w:r w:rsidRPr="001D15A1">
        <w:t xml:space="preserve"> success </w:t>
      </w:r>
      <w:r>
        <w:t>of</w:t>
      </w:r>
      <w:r w:rsidRPr="001D15A1">
        <w:t xml:space="preserve"> deploying flexibility.</w:t>
      </w:r>
      <w:r>
        <w:t xml:space="preserve"> A holistic approach must be taken to fully unlock distributed flexibility potential. There are some fundamental problems with the design of energy markets that create barriers for distributed flexibility participation. For example, distributed flexibility is undervalued in the energy system, which leads to little incentive for participation.</w:t>
      </w:r>
      <w:r>
        <w:rPr>
          <w:rStyle w:val="FootnoteReference"/>
        </w:rPr>
        <w:footnoteReference w:id="11"/>
      </w:r>
      <w:r>
        <w:t xml:space="preserve"> Some of the main services provided by flexibility services include</w:t>
      </w:r>
      <w:r>
        <w:rPr>
          <w:rStyle w:val="FootnoteReference"/>
        </w:rPr>
        <w:footnoteReference w:id="12"/>
      </w:r>
      <w:r>
        <w:t xml:space="preserve">: </w:t>
      </w:r>
    </w:p>
    <w:p w14:paraId="17B33864" w14:textId="77777777" w:rsidR="00CF0030" w:rsidRDefault="00CF0030" w:rsidP="00CF0030">
      <w:pPr>
        <w:ind w:left="720"/>
      </w:pPr>
      <w:r>
        <w:t xml:space="preserve">1.  Electricity balancing from Frequency Restoration Reserves (FRR) and Replacement Reserves (RR), </w:t>
      </w:r>
    </w:p>
    <w:p w14:paraId="51871E22" w14:textId="77777777" w:rsidR="00CF0030" w:rsidRDefault="00CF0030" w:rsidP="00CF0030">
      <w:pPr>
        <w:ind w:left="720"/>
      </w:pPr>
      <w:r>
        <w:t xml:space="preserve">2. Addressing internal or cross-border congestion management in the transmission network and </w:t>
      </w:r>
    </w:p>
    <w:p w14:paraId="479BD4F8" w14:textId="77777777" w:rsidR="00CF0030" w:rsidRDefault="00CF0030" w:rsidP="00CF0030">
      <w:pPr>
        <w:ind w:left="720"/>
      </w:pPr>
      <w:r>
        <w:t>3. For congestion management in the distribution network.</w:t>
      </w:r>
    </w:p>
    <w:p w14:paraId="7AFF907A" w14:textId="121C0DFB" w:rsidR="008B4BAF" w:rsidRDefault="008B4BAF" w:rsidP="008B4BAF">
      <w:r>
        <w:t>Distributed flexibility allows for the connection of more renewable electricity in the distribution system, without having to invest as much in the distribution grids, making the transition more cost-effective for consumers.</w:t>
      </w:r>
      <w:r>
        <w:rPr>
          <w:rStyle w:val="FootnoteReference"/>
        </w:rPr>
        <w:footnoteReference w:id="13"/>
      </w:r>
      <w:r>
        <w:t xml:space="preserve"> It also limits the extra renewable generation needed, by making use of surplus electricity generation, reducing the operating cost of low-carbon generation.</w:t>
      </w:r>
      <w:r w:rsidRPr="00F11A22">
        <w:rPr>
          <w:rStyle w:val="FootnoteReference"/>
        </w:rPr>
        <w:t xml:space="preserve"> </w:t>
      </w:r>
      <w:r>
        <w:rPr>
          <w:rStyle w:val="FootnoteReference"/>
        </w:rPr>
        <w:footnoteReference w:id="14"/>
      </w:r>
      <w:r w:rsidR="001E2EEF">
        <w:t xml:space="preserve"> If Ofgem returns to a RPI-X model for at least some areas, it is important that this does not disincentivise the networks’ investment in flexibility markets where they are more cost-effective on a lifetime basis than capital investment.</w:t>
      </w:r>
    </w:p>
    <w:p w14:paraId="6E1AA0EA" w14:textId="77777777" w:rsidR="00DF47E0" w:rsidRDefault="007F518A" w:rsidP="008B4BAF">
      <w:r>
        <w:t>We strongly feel that Ofgem m</w:t>
      </w:r>
      <w:r w:rsidR="00AF0527">
        <w:t xml:space="preserve">ust </w:t>
      </w:r>
      <w:r w:rsidR="00DF47E0">
        <w:t>put pressure on</w:t>
      </w:r>
      <w:r w:rsidR="00AF0527">
        <w:t xml:space="preserve"> </w:t>
      </w:r>
      <w:r>
        <w:t xml:space="preserve">the Government </w:t>
      </w:r>
      <w:r w:rsidR="00DF47E0">
        <w:t xml:space="preserve">to </w:t>
      </w:r>
      <w:r>
        <w:t>mak</w:t>
      </w:r>
      <w:r w:rsidR="00DF47E0">
        <w:t>e</w:t>
      </w:r>
      <w:r>
        <w:t xml:space="preserve"> a decision on hydrogen for heating at the earliest date possible (by 2024). </w:t>
      </w:r>
      <w:r w:rsidR="00283D33">
        <w:t>The evidence is increasingly demonstrating that hydrogen for heating is not the most efficient or cost-effective pathway to heat decarbonisation.</w:t>
      </w:r>
      <w:r w:rsidR="00C73307">
        <w:rPr>
          <w:rStyle w:val="FootnoteReference"/>
        </w:rPr>
        <w:footnoteReference w:id="15"/>
      </w:r>
      <w:r w:rsidR="00D33B67">
        <w:t xml:space="preserve"> Using green hydrogen to heat our homes is up to five times more expensive than current natural gas prices</w:t>
      </w:r>
      <w:r w:rsidR="00D33B67">
        <w:rPr>
          <w:rStyle w:val="FootnoteReference"/>
        </w:rPr>
        <w:footnoteReference w:id="16"/>
      </w:r>
      <w:r w:rsidR="00D33B67">
        <w:t>, and up to seven times less efficient than using renewable energy to power a heat pump</w:t>
      </w:r>
      <w:r w:rsidR="00D33B67">
        <w:rPr>
          <w:rStyle w:val="FootnoteReference"/>
        </w:rPr>
        <w:footnoteReference w:id="17"/>
      </w:r>
      <w:r w:rsidR="00D33B67">
        <w:t xml:space="preserve">. </w:t>
      </w:r>
      <w:r w:rsidR="00DF47E0">
        <w:t>Furthermore, d</w:t>
      </w:r>
      <w:r w:rsidR="003024BE">
        <w:t>elaying this decision adds further complexity to grid network planning</w:t>
      </w:r>
      <w:r w:rsidR="00DF47E0">
        <w:t xml:space="preserve">. </w:t>
      </w:r>
    </w:p>
    <w:p w14:paraId="37BC2F4A" w14:textId="7C8AA7AE" w:rsidR="00B136A6" w:rsidRDefault="00C901C8" w:rsidP="008B4BAF">
      <w:r>
        <w:t xml:space="preserve">On this point, we </w:t>
      </w:r>
      <w:r w:rsidR="00C21A2D">
        <w:t>believe that the</w:t>
      </w:r>
      <w:r>
        <w:t xml:space="preserve"> maintenance and decommissioning</w:t>
      </w:r>
      <w:r w:rsidR="00DF47E0">
        <w:t xml:space="preserve"> of the gas grid</w:t>
      </w:r>
      <w:r>
        <w:t xml:space="preserve"> needs to include consideration of the introduction of heat network zones and the development of</w:t>
      </w:r>
      <w:r w:rsidR="00C21A2D">
        <w:t xml:space="preserve"> </w:t>
      </w:r>
      <w:r>
        <w:t>regional heat networks. This is important because the majority of connections to these heat networks, which may be upwards of 80-90% of buildings in a given regional zone, will replace the existing gas connection. I</w:t>
      </w:r>
      <w:r w:rsidR="00C21A2D">
        <w:t xml:space="preserve">f this is not </w:t>
      </w:r>
      <w:r>
        <w:t>considered carefully, it could lead to decommissioning parts of the gas network earlier than planned and therefore, higher costs than envisaged.</w:t>
      </w:r>
    </w:p>
    <w:p w14:paraId="395687E4" w14:textId="452CFB11" w:rsidR="008B4BAF" w:rsidRDefault="000B2B42" w:rsidP="008B4BAF">
      <w:r>
        <w:t xml:space="preserve">Finally, we would suggest that regardless of the archetype chosen, </w:t>
      </w:r>
      <w:r w:rsidR="00FC3862">
        <w:t>there should be the unbundling of networks from generation and energy supply.</w:t>
      </w:r>
      <w:r w:rsidR="00EE1E83">
        <w:t xml:space="preserve"> Energy networks should provide services to all market participants on equal terms and unbundling is one way to ensure this. We welcome Ofgem clarifying whether they see 3 these proposals altering unbundling requirements. For instance, whether Ofgem sees a role for energy suppliers or generators building or operating parts of the distribution network.</w:t>
      </w:r>
    </w:p>
    <w:p w14:paraId="07950578" w14:textId="77777777" w:rsidR="008B4BAF" w:rsidRDefault="008B4BAF" w:rsidP="00CF0030">
      <w:pPr>
        <w:ind w:left="720"/>
      </w:pPr>
    </w:p>
    <w:p w14:paraId="380523D9" w14:textId="40460709" w:rsidR="00CF0030" w:rsidRPr="00EF2F66" w:rsidRDefault="00CF0030" w:rsidP="00EF2F66">
      <w:pPr>
        <w:rPr>
          <w:rFonts w:ascii="Calibri" w:eastAsia="Calibri" w:hAnsi="Calibri" w:cs="Calibri"/>
          <w:color w:val="000000" w:themeColor="text1"/>
        </w:rPr>
      </w:pPr>
    </w:p>
    <w:p w14:paraId="478B4DC4" w14:textId="383866D0" w:rsidR="00221B99" w:rsidRDefault="00221B99"/>
    <w:sectPr w:rsidR="00221B99">
      <w:footerReference w:type="even" r:id="rId13"/>
      <w:footerReference w:type="defaul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89FEC" w14:textId="77777777" w:rsidR="008837C7" w:rsidRDefault="008837C7" w:rsidP="008837C7">
      <w:pPr>
        <w:spacing w:after="0" w:line="240" w:lineRule="auto"/>
      </w:pPr>
      <w:r>
        <w:separator/>
      </w:r>
    </w:p>
  </w:endnote>
  <w:endnote w:type="continuationSeparator" w:id="0">
    <w:p w14:paraId="6C081E24" w14:textId="77777777" w:rsidR="008837C7" w:rsidRDefault="008837C7" w:rsidP="008837C7">
      <w:pPr>
        <w:spacing w:after="0" w:line="240" w:lineRule="auto"/>
      </w:pPr>
      <w:r>
        <w:continuationSeparator/>
      </w:r>
    </w:p>
  </w:endnote>
  <w:endnote w:type="continuationNotice" w:id="1">
    <w:p w14:paraId="59F44CD2" w14:textId="77777777" w:rsidR="00F654DA" w:rsidRDefault="00F654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710A1" w14:textId="77777777" w:rsidR="00B1355F" w:rsidRDefault="00B135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D203B" w14:textId="77777777" w:rsidR="00B1355F" w:rsidRDefault="00B135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86560" w14:textId="77777777" w:rsidR="00B1355F" w:rsidRDefault="00B135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958FA" w14:textId="77777777" w:rsidR="008837C7" w:rsidRDefault="008837C7" w:rsidP="008837C7">
      <w:pPr>
        <w:spacing w:after="0" w:line="240" w:lineRule="auto"/>
      </w:pPr>
      <w:r>
        <w:separator/>
      </w:r>
    </w:p>
  </w:footnote>
  <w:footnote w:type="continuationSeparator" w:id="0">
    <w:p w14:paraId="6AD46F35" w14:textId="77777777" w:rsidR="008837C7" w:rsidRDefault="008837C7" w:rsidP="008837C7">
      <w:pPr>
        <w:spacing w:after="0" w:line="240" w:lineRule="auto"/>
      </w:pPr>
      <w:r>
        <w:continuationSeparator/>
      </w:r>
    </w:p>
  </w:footnote>
  <w:footnote w:type="continuationNotice" w:id="1">
    <w:p w14:paraId="117DF973" w14:textId="77777777" w:rsidR="00F654DA" w:rsidRDefault="00F654DA">
      <w:pPr>
        <w:spacing w:after="0" w:line="240" w:lineRule="auto"/>
      </w:pPr>
    </w:p>
  </w:footnote>
  <w:footnote w:id="2">
    <w:p w14:paraId="4C32BBA0" w14:textId="77777777" w:rsidR="00291D43" w:rsidRDefault="00291D43" w:rsidP="00291D43">
      <w:pPr>
        <w:pStyle w:val="FootnoteText"/>
      </w:pPr>
      <w:r>
        <w:rPr>
          <w:rStyle w:val="FootnoteReference"/>
        </w:rPr>
        <w:footnoteRef/>
      </w:r>
      <w:r>
        <w:t xml:space="preserve"> </w:t>
      </w:r>
      <w:hyperlink r:id="rId1" w:history="1">
        <w:r w:rsidRPr="00FF684B">
          <w:rPr>
            <w:rStyle w:val="Hyperlink"/>
          </w:rPr>
          <w:t>https://green-alliance.org.uk/wp-content/uploads/2023/01/The-building-blocks-of-a-zero-carbon-power-system.pdf</w:t>
        </w:r>
      </w:hyperlink>
      <w:r>
        <w:t xml:space="preserve"> </w:t>
      </w:r>
    </w:p>
  </w:footnote>
  <w:footnote w:id="3">
    <w:p w14:paraId="18D780E5" w14:textId="09736549" w:rsidR="00F700C8" w:rsidRPr="00E83277" w:rsidRDefault="00F700C8">
      <w:pPr>
        <w:pStyle w:val="FootnoteText"/>
      </w:pPr>
      <w:r>
        <w:rPr>
          <w:rStyle w:val="FootnoteReference"/>
        </w:rPr>
        <w:footnoteRef/>
      </w:r>
      <w:r>
        <w:t xml:space="preserve">  </w:t>
      </w:r>
      <w:r w:rsidR="00E83277">
        <w:t xml:space="preserve">Regen (2023). </w:t>
      </w:r>
      <w:r w:rsidR="00E83277" w:rsidRPr="00E83277">
        <w:rPr>
          <w:i/>
          <w:iCs/>
        </w:rPr>
        <w:t>Building a Great British electricity network ready for net zero</w:t>
      </w:r>
      <w:r w:rsidR="00E83277">
        <w:rPr>
          <w:i/>
          <w:iCs/>
        </w:rPr>
        <w:t xml:space="preserve"> </w:t>
      </w:r>
      <w:hyperlink r:id="rId2" w:history="1">
        <w:r w:rsidR="00D86BC6" w:rsidRPr="00D86BC6">
          <w:rPr>
            <w:rStyle w:val="Hyperlink"/>
          </w:rPr>
          <w:t>https://www.regen.co.uk/</w:t>
        </w:r>
      </w:hyperlink>
      <w:r w:rsidR="00D86BC6">
        <w:rPr>
          <w:i/>
          <w:iCs/>
        </w:rPr>
        <w:t xml:space="preserve"> </w:t>
      </w:r>
    </w:p>
  </w:footnote>
  <w:footnote w:id="4">
    <w:p w14:paraId="435381BF" w14:textId="19C232A1" w:rsidR="002250E1" w:rsidRDefault="002250E1">
      <w:pPr>
        <w:pStyle w:val="FootnoteText"/>
      </w:pPr>
      <w:r>
        <w:rPr>
          <w:rStyle w:val="FootnoteReference"/>
        </w:rPr>
        <w:footnoteRef/>
      </w:r>
      <w:r>
        <w:t xml:space="preserve"> Regen (2023). </w:t>
      </w:r>
      <w:r w:rsidRPr="00E83277">
        <w:rPr>
          <w:i/>
          <w:iCs/>
        </w:rPr>
        <w:t>Building a Great British electricity network ready for net zero</w:t>
      </w:r>
      <w:r>
        <w:rPr>
          <w:i/>
          <w:iCs/>
        </w:rPr>
        <w:t xml:space="preserve"> </w:t>
      </w:r>
      <w:hyperlink r:id="rId3" w:history="1">
        <w:r w:rsidRPr="00D86BC6">
          <w:rPr>
            <w:rStyle w:val="Hyperlink"/>
          </w:rPr>
          <w:t>https://www.regen.co.uk/</w:t>
        </w:r>
      </w:hyperlink>
      <w:r>
        <w:t xml:space="preserve"> p.24 </w:t>
      </w:r>
    </w:p>
  </w:footnote>
  <w:footnote w:id="5">
    <w:p w14:paraId="1DE4259A" w14:textId="69317C5E" w:rsidR="009E1236" w:rsidRDefault="009E1236">
      <w:pPr>
        <w:pStyle w:val="FootnoteText"/>
      </w:pPr>
      <w:r>
        <w:rPr>
          <w:rStyle w:val="FootnoteReference"/>
        </w:rPr>
        <w:footnoteRef/>
      </w:r>
      <w:r>
        <w:t xml:space="preserve"> </w:t>
      </w:r>
      <w:r w:rsidR="002E30FF">
        <w:t xml:space="preserve">Regen (2023). </w:t>
      </w:r>
      <w:r w:rsidR="002E30FF" w:rsidRPr="00E83277">
        <w:rPr>
          <w:i/>
          <w:iCs/>
        </w:rPr>
        <w:t>Building a Great British electricity network ready for net zero</w:t>
      </w:r>
      <w:r w:rsidR="002E30FF">
        <w:rPr>
          <w:i/>
          <w:iCs/>
        </w:rPr>
        <w:t xml:space="preserve"> </w:t>
      </w:r>
      <w:hyperlink r:id="rId4" w:history="1">
        <w:r w:rsidR="002E30FF" w:rsidRPr="00D86BC6">
          <w:rPr>
            <w:rStyle w:val="Hyperlink"/>
          </w:rPr>
          <w:t>https://www.regen.co.uk/</w:t>
        </w:r>
      </w:hyperlink>
      <w:r w:rsidR="002E30FF">
        <w:t xml:space="preserve"> p.22</w:t>
      </w:r>
    </w:p>
  </w:footnote>
  <w:footnote w:id="6">
    <w:p w14:paraId="4DF95776" w14:textId="6E7EEA86" w:rsidR="00D541DE" w:rsidRDefault="00D541DE">
      <w:pPr>
        <w:pStyle w:val="FootnoteText"/>
      </w:pPr>
      <w:r>
        <w:rPr>
          <w:rStyle w:val="FootnoteReference"/>
        </w:rPr>
        <w:footnoteRef/>
      </w:r>
      <w:r>
        <w:t xml:space="preserve"> Regen (2023). </w:t>
      </w:r>
      <w:r w:rsidRPr="00E83277">
        <w:rPr>
          <w:i/>
          <w:iCs/>
        </w:rPr>
        <w:t>Building a Great British electricity network ready for net zero</w:t>
      </w:r>
      <w:r>
        <w:rPr>
          <w:i/>
          <w:iCs/>
        </w:rPr>
        <w:t xml:space="preserve"> </w:t>
      </w:r>
      <w:hyperlink r:id="rId5" w:history="1">
        <w:r w:rsidRPr="00D86BC6">
          <w:rPr>
            <w:rStyle w:val="Hyperlink"/>
          </w:rPr>
          <w:t>https://www.regen.co.uk/</w:t>
        </w:r>
      </w:hyperlink>
      <w:r>
        <w:t xml:space="preserve"> p.</w:t>
      </w:r>
      <w:r w:rsidR="009E5B16">
        <w:t xml:space="preserve">36 </w:t>
      </w:r>
    </w:p>
  </w:footnote>
  <w:footnote w:id="7">
    <w:p w14:paraId="798E496E" w14:textId="6A664971" w:rsidR="007F72F7" w:rsidRDefault="007F72F7">
      <w:pPr>
        <w:pStyle w:val="FootnoteText"/>
      </w:pPr>
      <w:r>
        <w:rPr>
          <w:rStyle w:val="FootnoteReference"/>
        </w:rPr>
        <w:footnoteRef/>
      </w:r>
      <w:r>
        <w:t xml:space="preserve"> </w:t>
      </w:r>
      <w:hyperlink r:id="rId6" w:history="1">
        <w:r w:rsidR="003F724A" w:rsidRPr="00BB41A3">
          <w:rPr>
            <w:rStyle w:val="Hyperlink"/>
          </w:rPr>
          <w:t>https://www.gov.uk/government/news/uk-signs-agreement-on-offshore-renewable-energy-cooperation</w:t>
        </w:r>
      </w:hyperlink>
      <w:r w:rsidR="003F724A">
        <w:t xml:space="preserve"> </w:t>
      </w:r>
    </w:p>
  </w:footnote>
  <w:footnote w:id="8">
    <w:p w14:paraId="571A219A" w14:textId="42AA9DAF" w:rsidR="00AD197C" w:rsidRDefault="00AD197C">
      <w:pPr>
        <w:pStyle w:val="FootnoteText"/>
      </w:pPr>
      <w:r>
        <w:rPr>
          <w:rStyle w:val="FootnoteReference"/>
        </w:rPr>
        <w:footnoteRef/>
      </w:r>
      <w:r>
        <w:t xml:space="preserve"> </w:t>
      </w:r>
      <w:r w:rsidR="00A400B1">
        <w:t xml:space="preserve">Regen (2023). </w:t>
      </w:r>
      <w:r w:rsidR="00A400B1" w:rsidRPr="00E83277">
        <w:rPr>
          <w:i/>
          <w:iCs/>
        </w:rPr>
        <w:t>Building a Great British electricity network ready for net zero</w:t>
      </w:r>
      <w:r w:rsidR="00A400B1">
        <w:rPr>
          <w:i/>
          <w:iCs/>
        </w:rPr>
        <w:t xml:space="preserve"> </w:t>
      </w:r>
      <w:hyperlink r:id="rId7" w:history="1">
        <w:r w:rsidR="00A400B1" w:rsidRPr="00D86BC6">
          <w:rPr>
            <w:rStyle w:val="Hyperlink"/>
          </w:rPr>
          <w:t>https://www.regen.co.uk/</w:t>
        </w:r>
      </w:hyperlink>
      <w:r w:rsidR="00A400B1">
        <w:t xml:space="preserve"> p.24</w:t>
      </w:r>
    </w:p>
  </w:footnote>
  <w:footnote w:id="9">
    <w:p w14:paraId="2C83324B" w14:textId="0F00048F" w:rsidR="007558E3" w:rsidRPr="0022399C" w:rsidRDefault="007558E3" w:rsidP="0022399C">
      <w:pPr>
        <w:rPr>
          <w:rFonts w:ascii="Calibri" w:eastAsia="Times New Roman" w:hAnsi="Calibri" w:cs="Calibri"/>
          <w:color w:val="0563C1"/>
          <w:kern w:val="0"/>
          <w:u w:val="single"/>
          <w:lang w:eastAsia="en-GB"/>
          <w14:ligatures w14:val="none"/>
        </w:rPr>
      </w:pPr>
      <w:r>
        <w:rPr>
          <w:rStyle w:val="FootnoteReference"/>
        </w:rPr>
        <w:footnoteRef/>
      </w:r>
      <w:r>
        <w:t xml:space="preserve"> </w:t>
      </w:r>
      <w:hyperlink r:id="rId8" w:history="1">
        <w:r w:rsidR="0022399C" w:rsidRPr="0022399C">
          <w:rPr>
            <w:rFonts w:ascii="Calibri" w:eastAsia="Times New Roman" w:hAnsi="Calibri" w:cs="Calibri"/>
            <w:color w:val="0563C1"/>
            <w:kern w:val="0"/>
            <w:u w:val="single"/>
            <w:lang w:eastAsia="en-GB"/>
            <w14:ligatures w14:val="none"/>
          </w:rPr>
          <w:t>https://www.ofgem.gov.uk/publications/consultation-future-local-energy-institutions-and-governance</w:t>
        </w:r>
      </w:hyperlink>
    </w:p>
  </w:footnote>
  <w:footnote w:id="10">
    <w:p w14:paraId="4BF058D3" w14:textId="0859EC0E" w:rsidR="0022399C" w:rsidRDefault="0022399C">
      <w:pPr>
        <w:pStyle w:val="FootnoteText"/>
      </w:pPr>
      <w:r>
        <w:rPr>
          <w:rStyle w:val="FootnoteReference"/>
        </w:rPr>
        <w:footnoteRef/>
      </w:r>
      <w:r>
        <w:t xml:space="preserve"> </w:t>
      </w:r>
      <w:hyperlink r:id="rId9" w:history="1">
        <w:r w:rsidR="00E90105" w:rsidRPr="00BB41A3">
          <w:rPr>
            <w:rStyle w:val="Hyperlink"/>
          </w:rPr>
          <w:t>https://www.ofgem.gov.uk/publications/call-input-future-distributed-flexibility</w:t>
        </w:r>
      </w:hyperlink>
      <w:r w:rsidR="00E90105">
        <w:t xml:space="preserve"> </w:t>
      </w:r>
    </w:p>
  </w:footnote>
  <w:footnote w:id="11">
    <w:p w14:paraId="24B86E55" w14:textId="77777777" w:rsidR="00CF0030" w:rsidRDefault="00CF0030" w:rsidP="00CF0030">
      <w:pPr>
        <w:pStyle w:val="FootnoteText"/>
      </w:pPr>
      <w:r>
        <w:rPr>
          <w:rStyle w:val="FootnoteReference"/>
        </w:rPr>
        <w:footnoteRef/>
      </w:r>
      <w:r>
        <w:t xml:space="preserve"> </w:t>
      </w:r>
      <w:hyperlink r:id="rId10" w:history="1">
        <w:r w:rsidRPr="004E7E4D">
          <w:rPr>
            <w:rStyle w:val="Hyperlink"/>
          </w:rPr>
          <w:t>https://www.ukri.org/wp-content/uploads/2022/11/IUK-011122-SmartLocalEnergySystemsPolicyAndRegulationNov22.pdf</w:t>
        </w:r>
      </w:hyperlink>
    </w:p>
  </w:footnote>
  <w:footnote w:id="12">
    <w:p w14:paraId="5988AF0C" w14:textId="77777777" w:rsidR="00CF0030" w:rsidRDefault="00CF0030" w:rsidP="00CF0030">
      <w:pPr>
        <w:pStyle w:val="FootnoteText"/>
      </w:pPr>
      <w:r>
        <w:rPr>
          <w:rStyle w:val="FootnoteReference"/>
        </w:rPr>
        <w:footnoteRef/>
      </w:r>
      <w:r>
        <w:t xml:space="preserve"> </w:t>
      </w:r>
      <w:hyperlink r:id="rId11" w:history="1">
        <w:r w:rsidRPr="004E7E4D">
          <w:rPr>
            <w:rStyle w:val="Hyperlink"/>
          </w:rPr>
          <w:t>https://eepublicdownloads.entsoe.eu/clean-documents/Publications/Position%20papers%20and%20reports/170809_Distributed_Flexibility_working-paper_final.pdf?Web=1</w:t>
        </w:r>
      </w:hyperlink>
    </w:p>
  </w:footnote>
  <w:footnote w:id="13">
    <w:p w14:paraId="47A7FB23" w14:textId="77777777" w:rsidR="008B4BAF" w:rsidRDefault="008B4BAF" w:rsidP="008B4BAF">
      <w:pPr>
        <w:pStyle w:val="FootnoteText"/>
      </w:pPr>
      <w:r>
        <w:rPr>
          <w:rStyle w:val="FootnoteReference"/>
        </w:rPr>
        <w:footnoteRef/>
      </w:r>
      <w:r>
        <w:t xml:space="preserve"> </w:t>
      </w:r>
      <w:hyperlink r:id="rId12" w:anchor=":~:text=Distributed%20Flexibility%20is%20a%20key,costly%20investment%20in%20distribution%20grids" w:history="1">
        <w:r w:rsidRPr="004E7E4D">
          <w:rPr>
            <w:rStyle w:val="Hyperlink"/>
          </w:rPr>
          <w:t>https://www.nordicenergy.org/publications/distributed-flexibility-lessons-learned-in-the-nordics/#:~:text=Distributed%20Flexibility%20is%20a%20key,costly%20investment%20in%20distribution%20grids</w:t>
        </w:r>
      </w:hyperlink>
      <w:r w:rsidRPr="00136A64">
        <w:t>.</w:t>
      </w:r>
      <w:r>
        <w:t xml:space="preserve"> </w:t>
      </w:r>
    </w:p>
  </w:footnote>
  <w:footnote w:id="14">
    <w:p w14:paraId="125A483B" w14:textId="77777777" w:rsidR="008B4BAF" w:rsidRDefault="008B4BAF" w:rsidP="008B4BAF">
      <w:pPr>
        <w:pStyle w:val="FootnoteText"/>
      </w:pPr>
      <w:r>
        <w:rPr>
          <w:rStyle w:val="FootnoteReference"/>
        </w:rPr>
        <w:footnoteRef/>
      </w:r>
      <w:r>
        <w:t xml:space="preserve"> </w:t>
      </w:r>
      <w:hyperlink r:id="rId13" w:history="1">
        <w:r w:rsidRPr="003A7803">
          <w:rPr>
            <w:rStyle w:val="Hyperlink"/>
          </w:rPr>
          <w:t>https://www.ukri.org/wp-content/uploads/2022/11/IUK-011122-SmartLocalEnergySystemsPolicyAndRegulationNov22.pdf</w:t>
        </w:r>
      </w:hyperlink>
      <w:r>
        <w:t xml:space="preserve"> </w:t>
      </w:r>
    </w:p>
  </w:footnote>
  <w:footnote w:id="15">
    <w:p w14:paraId="05DF8105" w14:textId="24092079" w:rsidR="00C73307" w:rsidRDefault="00C73307">
      <w:pPr>
        <w:pStyle w:val="FootnoteText"/>
      </w:pPr>
      <w:r>
        <w:rPr>
          <w:rStyle w:val="FootnoteReference"/>
        </w:rPr>
        <w:footnoteRef/>
      </w:r>
      <w:r>
        <w:t xml:space="preserve"> </w:t>
      </w:r>
      <w:hyperlink r:id="rId14" w:history="1">
        <w:r w:rsidRPr="00BB41A3">
          <w:rPr>
            <w:rStyle w:val="Hyperlink"/>
          </w:rPr>
          <w:t>https://www.sciencedirect.com/science/article/abs/pii/S2542435122004160</w:t>
        </w:r>
      </w:hyperlink>
      <w:r>
        <w:t xml:space="preserve"> </w:t>
      </w:r>
    </w:p>
  </w:footnote>
  <w:footnote w:id="16">
    <w:p w14:paraId="4EBC7E31" w14:textId="77777777" w:rsidR="00D33B67" w:rsidRDefault="00D33B67" w:rsidP="00D33B67">
      <w:pPr>
        <w:pStyle w:val="FootnoteText"/>
      </w:pPr>
      <w:r>
        <w:rPr>
          <w:rStyle w:val="FootnoteReference"/>
        </w:rPr>
        <w:footnoteRef/>
      </w:r>
      <w:r>
        <w:t xml:space="preserve"> </w:t>
      </w:r>
      <w:hyperlink r:id="rId15" w:anchor="!divAbstract" w:history="1">
        <w:r w:rsidRPr="00ED7B17">
          <w:rPr>
            <w:rStyle w:val="Hyperlink"/>
          </w:rPr>
          <w:t>https://pubs.rsc.org/en/content/articlelanding/2020/ee/d0ee02016h#!divAbstract</w:t>
        </w:r>
      </w:hyperlink>
      <w:r>
        <w:t xml:space="preserve"> </w:t>
      </w:r>
    </w:p>
  </w:footnote>
  <w:footnote w:id="17">
    <w:p w14:paraId="3041EF06" w14:textId="77777777" w:rsidR="00D33B67" w:rsidRDefault="00D33B67" w:rsidP="00D33B67">
      <w:pPr>
        <w:pStyle w:val="FootnoteText"/>
      </w:pPr>
      <w:r>
        <w:rPr>
          <w:rStyle w:val="FootnoteReference"/>
        </w:rPr>
        <w:footnoteRef/>
      </w:r>
      <w:r>
        <w:t xml:space="preserve"> </w:t>
      </w:r>
      <w:hyperlink r:id="rId16" w:history="1">
        <w:r w:rsidRPr="000B48FD">
          <w:rPr>
            <w:rStyle w:val="Hyperlink"/>
          </w:rPr>
          <w:t>https://www.theccc.org.uk/publication/hydrogen-in-a-low-carbon-economy/</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6190C"/>
    <w:multiLevelType w:val="hybridMultilevel"/>
    <w:tmpl w:val="0B02B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04D5D49"/>
    <w:multiLevelType w:val="hybridMultilevel"/>
    <w:tmpl w:val="07909E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59D04C2"/>
    <w:multiLevelType w:val="hybridMultilevel"/>
    <w:tmpl w:val="5072B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DC626F6"/>
    <w:multiLevelType w:val="hybridMultilevel"/>
    <w:tmpl w:val="DA020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401A45"/>
    <w:multiLevelType w:val="hybridMultilevel"/>
    <w:tmpl w:val="EEE2FF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7919353">
    <w:abstractNumId w:val="3"/>
  </w:num>
  <w:num w:numId="2" w16cid:durableId="390160583">
    <w:abstractNumId w:val="2"/>
  </w:num>
  <w:num w:numId="3" w16cid:durableId="1828594974">
    <w:abstractNumId w:val="1"/>
  </w:num>
  <w:num w:numId="4" w16cid:durableId="2020158969">
    <w:abstractNumId w:val="4"/>
  </w:num>
  <w:num w:numId="5" w16cid:durableId="8971346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243"/>
    <w:rsid w:val="00007984"/>
    <w:rsid w:val="00016127"/>
    <w:rsid w:val="00020DD2"/>
    <w:rsid w:val="000537CE"/>
    <w:rsid w:val="00073BD0"/>
    <w:rsid w:val="00074CE7"/>
    <w:rsid w:val="00080CD3"/>
    <w:rsid w:val="000843CA"/>
    <w:rsid w:val="000A6B62"/>
    <w:rsid w:val="000B2B42"/>
    <w:rsid w:val="000C6BBA"/>
    <w:rsid w:val="000E45C7"/>
    <w:rsid w:val="00111ADE"/>
    <w:rsid w:val="001422B6"/>
    <w:rsid w:val="00154FED"/>
    <w:rsid w:val="00195E1D"/>
    <w:rsid w:val="001C02C9"/>
    <w:rsid w:val="001C28BF"/>
    <w:rsid w:val="001C61BC"/>
    <w:rsid w:val="001E2EEF"/>
    <w:rsid w:val="001F2B23"/>
    <w:rsid w:val="0020019C"/>
    <w:rsid w:val="00221B99"/>
    <w:rsid w:val="0022399C"/>
    <w:rsid w:val="00224DFC"/>
    <w:rsid w:val="002250E1"/>
    <w:rsid w:val="002340C0"/>
    <w:rsid w:val="0023552E"/>
    <w:rsid w:val="002547A0"/>
    <w:rsid w:val="002660D3"/>
    <w:rsid w:val="00283D33"/>
    <w:rsid w:val="00290B7E"/>
    <w:rsid w:val="00291D43"/>
    <w:rsid w:val="002E30FF"/>
    <w:rsid w:val="002E7243"/>
    <w:rsid w:val="003024BE"/>
    <w:rsid w:val="003423F8"/>
    <w:rsid w:val="00357095"/>
    <w:rsid w:val="00363296"/>
    <w:rsid w:val="003822E7"/>
    <w:rsid w:val="00393DB7"/>
    <w:rsid w:val="00397367"/>
    <w:rsid w:val="003A3611"/>
    <w:rsid w:val="003B6A26"/>
    <w:rsid w:val="003C3D71"/>
    <w:rsid w:val="003F6443"/>
    <w:rsid w:val="003F724A"/>
    <w:rsid w:val="004051C5"/>
    <w:rsid w:val="00407048"/>
    <w:rsid w:val="00425CA3"/>
    <w:rsid w:val="004347C0"/>
    <w:rsid w:val="00441BDB"/>
    <w:rsid w:val="00476DE9"/>
    <w:rsid w:val="0047742E"/>
    <w:rsid w:val="004932CD"/>
    <w:rsid w:val="004B6D65"/>
    <w:rsid w:val="00511480"/>
    <w:rsid w:val="00526BF3"/>
    <w:rsid w:val="00551940"/>
    <w:rsid w:val="005A4293"/>
    <w:rsid w:val="005B06A7"/>
    <w:rsid w:val="005D0F95"/>
    <w:rsid w:val="006046F7"/>
    <w:rsid w:val="00605277"/>
    <w:rsid w:val="006246E4"/>
    <w:rsid w:val="0066229A"/>
    <w:rsid w:val="0066612E"/>
    <w:rsid w:val="006828F2"/>
    <w:rsid w:val="006941DB"/>
    <w:rsid w:val="006A1F31"/>
    <w:rsid w:val="006C107F"/>
    <w:rsid w:val="006C2678"/>
    <w:rsid w:val="006D3A56"/>
    <w:rsid w:val="00704228"/>
    <w:rsid w:val="00732586"/>
    <w:rsid w:val="007558E3"/>
    <w:rsid w:val="0076152D"/>
    <w:rsid w:val="00781069"/>
    <w:rsid w:val="007A6F62"/>
    <w:rsid w:val="007B2342"/>
    <w:rsid w:val="007D740E"/>
    <w:rsid w:val="007E1F42"/>
    <w:rsid w:val="007F518A"/>
    <w:rsid w:val="007F72F7"/>
    <w:rsid w:val="00800BE8"/>
    <w:rsid w:val="008126A7"/>
    <w:rsid w:val="00812C71"/>
    <w:rsid w:val="008631CF"/>
    <w:rsid w:val="00867BC5"/>
    <w:rsid w:val="008837C7"/>
    <w:rsid w:val="008B4BAF"/>
    <w:rsid w:val="008C029A"/>
    <w:rsid w:val="008D6634"/>
    <w:rsid w:val="008E7C5C"/>
    <w:rsid w:val="00926163"/>
    <w:rsid w:val="00960E96"/>
    <w:rsid w:val="009A5280"/>
    <w:rsid w:val="009C70C5"/>
    <w:rsid w:val="009D1437"/>
    <w:rsid w:val="009E1236"/>
    <w:rsid w:val="009E5B16"/>
    <w:rsid w:val="009F493B"/>
    <w:rsid w:val="009F5176"/>
    <w:rsid w:val="00A34072"/>
    <w:rsid w:val="00A400B1"/>
    <w:rsid w:val="00A45501"/>
    <w:rsid w:val="00A75D37"/>
    <w:rsid w:val="00A800CF"/>
    <w:rsid w:val="00A9419A"/>
    <w:rsid w:val="00AA598F"/>
    <w:rsid w:val="00AA6FD3"/>
    <w:rsid w:val="00AD197C"/>
    <w:rsid w:val="00AF0527"/>
    <w:rsid w:val="00B1355F"/>
    <w:rsid w:val="00B136A6"/>
    <w:rsid w:val="00B229DC"/>
    <w:rsid w:val="00B37621"/>
    <w:rsid w:val="00B74CB6"/>
    <w:rsid w:val="00B75C6B"/>
    <w:rsid w:val="00BE433A"/>
    <w:rsid w:val="00BE65D0"/>
    <w:rsid w:val="00C02442"/>
    <w:rsid w:val="00C0553A"/>
    <w:rsid w:val="00C21A2D"/>
    <w:rsid w:val="00C26866"/>
    <w:rsid w:val="00C625D9"/>
    <w:rsid w:val="00C637FC"/>
    <w:rsid w:val="00C6724C"/>
    <w:rsid w:val="00C73307"/>
    <w:rsid w:val="00C901C8"/>
    <w:rsid w:val="00C95407"/>
    <w:rsid w:val="00CE672E"/>
    <w:rsid w:val="00CF0030"/>
    <w:rsid w:val="00D25FBE"/>
    <w:rsid w:val="00D260CE"/>
    <w:rsid w:val="00D33B67"/>
    <w:rsid w:val="00D541DE"/>
    <w:rsid w:val="00D86BC6"/>
    <w:rsid w:val="00DD4CD7"/>
    <w:rsid w:val="00DE04EE"/>
    <w:rsid w:val="00DE0EA0"/>
    <w:rsid w:val="00DE5A52"/>
    <w:rsid w:val="00DF47E0"/>
    <w:rsid w:val="00E52B61"/>
    <w:rsid w:val="00E538F4"/>
    <w:rsid w:val="00E83277"/>
    <w:rsid w:val="00E90105"/>
    <w:rsid w:val="00E9325B"/>
    <w:rsid w:val="00EB242A"/>
    <w:rsid w:val="00EB6F04"/>
    <w:rsid w:val="00EE1E83"/>
    <w:rsid w:val="00EE7BDE"/>
    <w:rsid w:val="00EF2F66"/>
    <w:rsid w:val="00F60804"/>
    <w:rsid w:val="00F654DA"/>
    <w:rsid w:val="00F700C8"/>
    <w:rsid w:val="00FA21BA"/>
    <w:rsid w:val="00FA50CA"/>
    <w:rsid w:val="00FC3723"/>
    <w:rsid w:val="00FC3862"/>
    <w:rsid w:val="00FF0396"/>
    <w:rsid w:val="21D9793F"/>
    <w:rsid w:val="2C2FBF01"/>
    <w:rsid w:val="60738F8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26272"/>
  <w15:chartTrackingRefBased/>
  <w15:docId w15:val="{98923B23-5C6A-41BC-A88A-FC9D0100D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37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37C7"/>
    <w:pPr>
      <w:ind w:left="720"/>
      <w:contextualSpacing/>
    </w:pPr>
  </w:style>
  <w:style w:type="paragraph" w:styleId="FootnoteText">
    <w:name w:val="footnote text"/>
    <w:basedOn w:val="Normal"/>
    <w:link w:val="FootnoteTextChar"/>
    <w:uiPriority w:val="99"/>
    <w:unhideWhenUsed/>
    <w:rsid w:val="008837C7"/>
    <w:pPr>
      <w:spacing w:after="0" w:line="240" w:lineRule="auto"/>
    </w:pPr>
    <w:rPr>
      <w:sz w:val="20"/>
      <w:szCs w:val="20"/>
    </w:rPr>
  </w:style>
  <w:style w:type="character" w:customStyle="1" w:styleId="FootnoteTextChar">
    <w:name w:val="Footnote Text Char"/>
    <w:basedOn w:val="DefaultParagraphFont"/>
    <w:link w:val="FootnoteText"/>
    <w:uiPriority w:val="99"/>
    <w:rsid w:val="008837C7"/>
    <w:rPr>
      <w:sz w:val="20"/>
      <w:szCs w:val="20"/>
    </w:rPr>
  </w:style>
  <w:style w:type="character" w:styleId="FootnoteReference">
    <w:name w:val="footnote reference"/>
    <w:basedOn w:val="DefaultParagraphFont"/>
    <w:uiPriority w:val="99"/>
    <w:unhideWhenUsed/>
    <w:rsid w:val="008837C7"/>
    <w:rPr>
      <w:vertAlign w:val="superscript"/>
    </w:rPr>
  </w:style>
  <w:style w:type="character" w:styleId="Hyperlink">
    <w:name w:val="Hyperlink"/>
    <w:basedOn w:val="DefaultParagraphFont"/>
    <w:uiPriority w:val="99"/>
    <w:unhideWhenUsed/>
    <w:rsid w:val="008837C7"/>
    <w:rPr>
      <w:color w:val="0563C1" w:themeColor="hyperlink"/>
      <w:u w:val="single"/>
    </w:rPr>
  </w:style>
  <w:style w:type="paragraph" w:styleId="NoSpacing">
    <w:name w:val="No Spacing"/>
    <w:uiPriority w:val="1"/>
    <w:qFormat/>
    <w:rsid w:val="008837C7"/>
    <w:pPr>
      <w:spacing w:after="0" w:line="240" w:lineRule="auto"/>
    </w:pPr>
    <w:rPr>
      <w:kern w:val="0"/>
      <w14:ligatures w14:val="none"/>
    </w:rPr>
  </w:style>
  <w:style w:type="character" w:styleId="UnresolvedMention">
    <w:name w:val="Unresolved Mention"/>
    <w:basedOn w:val="DefaultParagraphFont"/>
    <w:uiPriority w:val="99"/>
    <w:semiHidden/>
    <w:unhideWhenUsed/>
    <w:rsid w:val="00D86BC6"/>
    <w:rPr>
      <w:color w:val="605E5C"/>
      <w:shd w:val="clear" w:color="auto" w:fill="E1DFDD"/>
    </w:rPr>
  </w:style>
  <w:style w:type="paragraph" w:styleId="Header">
    <w:name w:val="header"/>
    <w:basedOn w:val="Normal"/>
    <w:link w:val="HeaderChar"/>
    <w:uiPriority w:val="99"/>
    <w:semiHidden/>
    <w:unhideWhenUsed/>
    <w:rsid w:val="007B234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654DA"/>
  </w:style>
  <w:style w:type="paragraph" w:styleId="Footer">
    <w:name w:val="footer"/>
    <w:basedOn w:val="Normal"/>
    <w:link w:val="FooterChar"/>
    <w:uiPriority w:val="99"/>
    <w:unhideWhenUsed/>
    <w:rsid w:val="007B23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54DA"/>
  </w:style>
  <w:style w:type="paragraph" w:styleId="Revision">
    <w:name w:val="Revision"/>
    <w:hidden/>
    <w:uiPriority w:val="99"/>
    <w:semiHidden/>
    <w:rsid w:val="007A6F6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684352">
      <w:bodyDiv w:val="1"/>
      <w:marLeft w:val="0"/>
      <w:marRight w:val="0"/>
      <w:marTop w:val="0"/>
      <w:marBottom w:val="0"/>
      <w:divBdr>
        <w:top w:val="none" w:sz="0" w:space="0" w:color="auto"/>
        <w:left w:val="none" w:sz="0" w:space="0" w:color="auto"/>
        <w:bottom w:val="none" w:sz="0" w:space="0" w:color="auto"/>
        <w:right w:val="none" w:sz="0" w:space="0" w:color="auto"/>
      </w:divBdr>
      <w:divsChild>
        <w:div w:id="285239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cscertified.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www.ofgem.gov.uk/publications/consultation-future-local-energy-institutions-and-governance" TargetMode="External"/><Relationship Id="rId13" Type="http://schemas.openxmlformats.org/officeDocument/2006/relationships/hyperlink" Target="https://www.ukri.org/wp-content/uploads/2022/11/IUK-011122-SmartLocalEnergySystemsPolicyAndRegulationNov22.pdf" TargetMode="External"/><Relationship Id="rId3" Type="http://schemas.openxmlformats.org/officeDocument/2006/relationships/hyperlink" Target="https://www.regen.co.uk/" TargetMode="External"/><Relationship Id="rId7" Type="http://schemas.openxmlformats.org/officeDocument/2006/relationships/hyperlink" Target="https://www.regen.co.uk/" TargetMode="External"/><Relationship Id="rId12" Type="http://schemas.openxmlformats.org/officeDocument/2006/relationships/hyperlink" Target="https://www.nordicenergy.org/publications/distributed-flexibility-lessons-learned-in-the-nordics/" TargetMode="External"/><Relationship Id="rId2" Type="http://schemas.openxmlformats.org/officeDocument/2006/relationships/hyperlink" Target="https://www.regen.co.uk/" TargetMode="External"/><Relationship Id="rId16" Type="http://schemas.openxmlformats.org/officeDocument/2006/relationships/hyperlink" Target="https://www.theccc.org.uk/publication/hydrogen-in-a-low-carbon-economy/" TargetMode="External"/><Relationship Id="rId1" Type="http://schemas.openxmlformats.org/officeDocument/2006/relationships/hyperlink" Target="https://green-alliance.org.uk/wp-content/uploads/2023/01/The-building-blocks-of-a-zero-carbon-power-system.pdf" TargetMode="External"/><Relationship Id="rId6" Type="http://schemas.openxmlformats.org/officeDocument/2006/relationships/hyperlink" Target="https://www.gov.uk/government/news/uk-signs-agreement-on-offshore-renewable-energy-cooperation" TargetMode="External"/><Relationship Id="rId11" Type="http://schemas.openxmlformats.org/officeDocument/2006/relationships/hyperlink" Target="https://eepublicdownloads.entsoe.eu/clean-documents/Publications/Position%20papers%20and%20reports/170809_Distributed_Flexibility_working-paper_final.pdf?Web=1" TargetMode="External"/><Relationship Id="rId5" Type="http://schemas.openxmlformats.org/officeDocument/2006/relationships/hyperlink" Target="https://www.regen.co.uk/" TargetMode="External"/><Relationship Id="rId15" Type="http://schemas.openxmlformats.org/officeDocument/2006/relationships/hyperlink" Target="https://pubs.rsc.org/en/content/articlelanding/2020/ee/d0ee02016h" TargetMode="External"/><Relationship Id="rId10" Type="http://schemas.openxmlformats.org/officeDocument/2006/relationships/hyperlink" Target="https://www.ukri.org/wp-content/uploads/2022/11/IUK-011122-SmartLocalEnergySystemsPolicyAndRegulationNov22.pdf" TargetMode="External"/><Relationship Id="rId4" Type="http://schemas.openxmlformats.org/officeDocument/2006/relationships/hyperlink" Target="https://www.regen.co.uk/" TargetMode="External"/><Relationship Id="rId9" Type="http://schemas.openxmlformats.org/officeDocument/2006/relationships/hyperlink" Target="https://www.ofgem.gov.uk/publications/call-input-future-distributed-flexibility" TargetMode="External"/><Relationship Id="rId14" Type="http://schemas.openxmlformats.org/officeDocument/2006/relationships/hyperlink" Target="https://www.sciencedirect.com/science/article/abs/pii/S25424351220041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6e83f4df-d578-4ec5-a166-a62a7a4734d0">
      <Terms xmlns="http://schemas.microsoft.com/office/infopath/2007/PartnerControls"/>
    </lcf76f155ced4ddcb4097134ff3c332f>
    <_ip_UnifiedCompliancePolicyProperties xmlns="http://schemas.microsoft.com/sharepoint/v3" xsi:nil="true"/>
    <TaxCatchAll xmlns="305d7f50-f6b6-4a44-93a1-f967d35e112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7241024A39B5E4EB0A0E22395734BC7" ma:contentTypeVersion="16" ma:contentTypeDescription="Create a new document." ma:contentTypeScope="" ma:versionID="37f2341c27ccb8c6922318856cd1432a">
  <xsd:schema xmlns:xsd="http://www.w3.org/2001/XMLSchema" xmlns:xs="http://www.w3.org/2001/XMLSchema" xmlns:p="http://schemas.microsoft.com/office/2006/metadata/properties" xmlns:ns1="http://schemas.microsoft.com/sharepoint/v3" xmlns:ns2="6e83f4df-d578-4ec5-a166-a62a7a4734d0" xmlns:ns3="305d7f50-f6b6-4a44-93a1-f967d35e1129" targetNamespace="http://schemas.microsoft.com/office/2006/metadata/properties" ma:root="true" ma:fieldsID="f76a771b947c43565a32256e618e8fc6" ns1:_="" ns2:_="" ns3:_="">
    <xsd:import namespace="http://schemas.microsoft.com/sharepoint/v3"/>
    <xsd:import namespace="6e83f4df-d578-4ec5-a166-a62a7a4734d0"/>
    <xsd:import namespace="305d7f50-f6b6-4a44-93a1-f967d35e112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83f4df-d578-4ec5-a166-a62a7a4734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05d7f50-f6b6-4a44-93a1-f967d35e112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700be859-6a9c-441d-9650-b4e9276f1e6a}" ma:internalName="TaxCatchAll" ma:showField="CatchAllData" ma:web="305d7f50-f6b6-4a44-93a1-f967d35e11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CCF8E9-1E15-48AF-960A-AFEF88A9D9C6}">
  <ds:schemaRefs>
    <ds:schemaRef ds:uri="http://schemas.microsoft.com/office/2006/metadata/properties"/>
    <ds:schemaRef ds:uri="http://schemas.microsoft.com/office/infopath/2007/PartnerControls"/>
    <ds:schemaRef ds:uri="http://schemas.microsoft.com/sharepoint/v3"/>
    <ds:schemaRef ds:uri="6e83f4df-d578-4ec5-a166-a62a7a4734d0"/>
    <ds:schemaRef ds:uri="305d7f50-f6b6-4a44-93a1-f967d35e1129"/>
  </ds:schemaRefs>
</ds:datastoreItem>
</file>

<file path=customXml/itemProps2.xml><?xml version="1.0" encoding="utf-8"?>
<ds:datastoreItem xmlns:ds="http://schemas.openxmlformats.org/officeDocument/2006/customXml" ds:itemID="{4D827E5E-AA76-435A-B978-D628759F0959}">
  <ds:schemaRefs>
    <ds:schemaRef ds:uri="http://schemas.microsoft.com/sharepoint/v3/contenttype/forms"/>
  </ds:schemaRefs>
</ds:datastoreItem>
</file>

<file path=customXml/itemProps3.xml><?xml version="1.0" encoding="utf-8"?>
<ds:datastoreItem xmlns:ds="http://schemas.openxmlformats.org/officeDocument/2006/customXml" ds:itemID="{8C71CFA2-EDF1-41DB-BF2A-788DD149F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e83f4df-d578-4ec5-a166-a62a7a4734d0"/>
    <ds:schemaRef ds:uri="305d7f50-f6b6-4a44-93a1-f967d35e11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D6887F-CF17-4DA3-A361-0C2149E0E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1523</Words>
  <Characters>8687</Characters>
  <Application>Microsoft Office Word</Application>
  <DocSecurity>0</DocSecurity>
  <Lines>72</Lines>
  <Paragraphs>20</Paragraphs>
  <ScaleCrop>false</ScaleCrop>
  <Company/>
  <LinksUpToDate>false</LinksUpToDate>
  <CharactersWithSpaces>10190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Russon (MCS Charitable Foundation)</dc:creator>
  <cp:keywords/>
  <dc:description/>
  <cp:lastModifiedBy>Dzhordzhio Naldzhiev</cp:lastModifiedBy>
  <cp:revision>151</cp:revision>
  <dcterms:created xsi:type="dcterms:W3CDTF">2023-05-23T09:18:00Z</dcterms:created>
  <dcterms:modified xsi:type="dcterms:W3CDTF">2023-05-23T09:18:00Z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0x01010017241024A39B5E4EB0A0E22395734BC7</vt:lpwstr>
  </property>
  <property fmtid="{D5CDD505-2E9C-101B-9397-08002B2CF9AE}" pid="3" name="MSIP_Label_38144ccb-b10a-4c0f-b070-7a3b00ac7463_Enabled">
    <vt:lpwstr>true</vt:lpwstr>
  </property>
  <property fmtid="{D5CDD505-2E9C-101B-9397-08002B2CF9AE}" pid="4" name="MSIP_Label_38144ccb-b10a-4c0f-b070-7a3b00ac7463_SetDate">
    <vt:lpwstr>2023-05-23T09:18:56Z</vt:lpwstr>
  </property>
  <property fmtid="{D5CDD505-2E9C-101B-9397-08002B2CF9AE}" pid="5" name="MSIP_Label_38144ccb-b10a-4c0f-b070-7a3b00ac7463_Method">
    <vt:lpwstr>Standard</vt:lpwstr>
  </property>
  <property fmtid="{D5CDD505-2E9C-101B-9397-08002B2CF9AE}" pid="6" name="MSIP_Label_38144ccb-b10a-4c0f-b070-7a3b00ac7463_Name">
    <vt:lpwstr>InternalOnly</vt:lpwstr>
  </property>
  <property fmtid="{D5CDD505-2E9C-101B-9397-08002B2CF9AE}" pid="7" name="MSIP_Label_38144ccb-b10a-4c0f-b070-7a3b00ac7463_SiteId">
    <vt:lpwstr>185562ad-39bc-4840-8e40-be6216340c52</vt:lpwstr>
  </property>
  <property fmtid="{D5CDD505-2E9C-101B-9397-08002B2CF9AE}" pid="8" name="MSIP_Label_38144ccb-b10a-4c0f-b070-7a3b00ac7463_ActionId">
    <vt:lpwstr>387064df-d998-4125-a15e-609d46e4ca64</vt:lpwstr>
  </property>
  <property fmtid="{D5CDD505-2E9C-101B-9397-08002B2CF9AE}" pid="9" name="MSIP_Label_38144ccb-b10a-4c0f-b070-7a3b00ac7463_ContentBits">
    <vt:lpwstr>2</vt:lpwstr>
  </property>
  <property fmtid="{D5CDD505-2E9C-101B-9397-08002B2CF9AE}" pid="10" name="MediaServiceImageTags">
    <vt:lpwstr/>
  </property>
</Properties>
</file>