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428E9" w:rsidRDefault="00803E73">
      <w:pPr>
        <w:pStyle w:val="Normal1"/>
        <w:widowControl/>
        <w:pBdr>
          <w:top w:val="nil"/>
          <w:left w:val="nil"/>
          <w:bottom w:val="nil"/>
          <w:right w:val="nil"/>
          <w:between w:val="nil"/>
        </w:pBdr>
        <w:spacing w:line="240" w:lineRule="auto"/>
        <w:rPr>
          <w:rFonts w:ascii="Times New Roman" w:eastAsia="Times New Roman" w:hAnsi="Times New Roman" w:cs="Times New Roman"/>
          <w:color w:val="000000"/>
        </w:rPr>
      </w:pPr>
      <w:r>
        <w:rPr>
          <w:noProof/>
        </w:rPr>
        <w:drawing>
          <wp:anchor distT="0" distB="0" distL="114300" distR="114300" simplePos="0" relativeHeight="251658240" behindDoc="0" locked="0" layoutInCell="1" hidden="0" allowOverlap="1" wp14:anchorId="0E7F1A80" wp14:editId="07777777">
            <wp:simplePos x="0" y="0"/>
            <wp:positionH relativeFrom="column">
              <wp:posOffset>4597400</wp:posOffset>
            </wp:positionH>
            <wp:positionV relativeFrom="paragraph">
              <wp:posOffset>7816</wp:posOffset>
            </wp:positionV>
            <wp:extent cx="1464945" cy="1027430"/>
            <wp:effectExtent l="0" t="0" r="0" b="0"/>
            <wp:wrapSquare wrapText="bothSides" distT="0" distB="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a:stretch>
                      <a:fillRect/>
                    </a:stretch>
                  </pic:blipFill>
                  <pic:spPr>
                    <a:xfrm>
                      <a:off x="0" y="0"/>
                      <a:ext cx="1464945" cy="1027430"/>
                    </a:xfrm>
                    <a:prstGeom prst="rect">
                      <a:avLst/>
                    </a:prstGeom>
                    <a:ln/>
                  </pic:spPr>
                </pic:pic>
              </a:graphicData>
            </a:graphic>
          </wp:anchor>
        </w:drawing>
      </w:r>
    </w:p>
    <w:p w14:paraId="00000002" w14:textId="77777777" w:rsidR="00F428E9" w:rsidRDefault="00F428E9">
      <w:pPr>
        <w:pStyle w:val="Normal1"/>
        <w:widowControl/>
        <w:pBdr>
          <w:top w:val="nil"/>
          <w:left w:val="nil"/>
          <w:bottom w:val="nil"/>
          <w:right w:val="nil"/>
          <w:between w:val="nil"/>
        </w:pBdr>
        <w:spacing w:line="240" w:lineRule="auto"/>
        <w:rPr>
          <w:rFonts w:ascii="Times New Roman" w:eastAsia="Times New Roman" w:hAnsi="Times New Roman" w:cs="Times New Roman"/>
          <w:color w:val="000000"/>
        </w:rPr>
      </w:pPr>
    </w:p>
    <w:p w14:paraId="00000003" w14:textId="77777777" w:rsidR="00F428E9" w:rsidRDefault="00F428E9">
      <w:pPr>
        <w:pStyle w:val="Normal1"/>
        <w:widowControl/>
        <w:pBdr>
          <w:top w:val="nil"/>
          <w:left w:val="nil"/>
          <w:bottom w:val="nil"/>
          <w:right w:val="nil"/>
          <w:between w:val="nil"/>
        </w:pBdr>
        <w:spacing w:line="240" w:lineRule="auto"/>
        <w:rPr>
          <w:rFonts w:ascii="Times New Roman" w:eastAsia="Times New Roman" w:hAnsi="Times New Roman" w:cs="Times New Roman"/>
          <w:color w:val="000000"/>
        </w:rPr>
      </w:pPr>
    </w:p>
    <w:p w14:paraId="00000004" w14:textId="77777777" w:rsidR="00F428E9" w:rsidRDefault="00F428E9">
      <w:pPr>
        <w:pStyle w:val="Normal1"/>
        <w:widowControl/>
        <w:pBdr>
          <w:top w:val="nil"/>
          <w:left w:val="nil"/>
          <w:bottom w:val="nil"/>
          <w:right w:val="nil"/>
          <w:between w:val="nil"/>
        </w:pBdr>
        <w:spacing w:line="240" w:lineRule="auto"/>
        <w:rPr>
          <w:rFonts w:ascii="Times New Roman" w:eastAsia="Times New Roman" w:hAnsi="Times New Roman" w:cs="Times New Roman"/>
          <w:color w:val="000000"/>
        </w:rPr>
      </w:pPr>
    </w:p>
    <w:p w14:paraId="00000005" w14:textId="77777777" w:rsidR="00F428E9" w:rsidRDefault="00F428E9">
      <w:pPr>
        <w:pStyle w:val="Normal1"/>
        <w:widowControl/>
        <w:pBdr>
          <w:top w:val="nil"/>
          <w:left w:val="nil"/>
          <w:bottom w:val="nil"/>
          <w:right w:val="nil"/>
          <w:between w:val="nil"/>
        </w:pBdr>
        <w:spacing w:line="240" w:lineRule="auto"/>
        <w:rPr>
          <w:b/>
          <w:color w:val="000000"/>
        </w:rPr>
      </w:pPr>
    </w:p>
    <w:p w14:paraId="00000006" w14:textId="77777777" w:rsidR="00F428E9" w:rsidRDefault="00803E73">
      <w:pPr>
        <w:pStyle w:val="Normal1"/>
        <w:widowControl/>
      </w:pPr>
      <w:r>
        <w:rPr>
          <w:b/>
        </w:rPr>
        <w:t>August 2022</w:t>
      </w:r>
    </w:p>
    <w:p w14:paraId="00000007" w14:textId="77777777" w:rsidR="00F428E9" w:rsidRDefault="00803E73">
      <w:pPr>
        <w:pStyle w:val="heading41"/>
        <w:spacing w:before="280" w:after="160"/>
        <w:rPr>
          <w:rFonts w:ascii="Calibri" w:eastAsia="Calibri" w:hAnsi="Calibri" w:cs="Calibri"/>
          <w:b w:val="0"/>
          <w:color w:val="595959"/>
          <w:sz w:val="32"/>
          <w:szCs w:val="32"/>
        </w:rPr>
      </w:pPr>
      <w:r>
        <w:rPr>
          <w:rFonts w:ascii="Calibri" w:eastAsia="Calibri" w:hAnsi="Calibri" w:cs="Calibri"/>
          <w:b w:val="0"/>
          <w:color w:val="595959"/>
          <w:sz w:val="32"/>
          <w:szCs w:val="32"/>
        </w:rPr>
        <w:t>Community Energy England response to the Ofgem Draft Determination on the Electricity Distribution Business Plans for RIIO-2. </w:t>
      </w:r>
    </w:p>
    <w:p w14:paraId="00000008" w14:textId="77777777" w:rsidR="00F428E9" w:rsidRDefault="00803E73">
      <w:pPr>
        <w:pStyle w:val="heading31"/>
        <w:spacing w:before="320" w:after="80"/>
        <w:rPr>
          <w:color w:val="000000"/>
          <w:u w:val="single"/>
        </w:rPr>
      </w:pPr>
      <w:r>
        <w:rPr>
          <w:rFonts w:ascii="Calibri" w:eastAsia="Calibri" w:hAnsi="Calibri" w:cs="Calibri"/>
          <w:b/>
          <w:color w:val="000000"/>
          <w:sz w:val="28"/>
          <w:szCs w:val="28"/>
          <w:u w:val="single"/>
        </w:rPr>
        <w:t>Introduction to Community Energy England</w:t>
      </w:r>
    </w:p>
    <w:p w14:paraId="00000009" w14:textId="2483CD87" w:rsidR="00F428E9" w:rsidRDefault="00803E73">
      <w:pPr>
        <w:pStyle w:val="Normal1"/>
        <w:widowControl/>
        <w:numPr>
          <w:ilvl w:val="0"/>
          <w:numId w:val="4"/>
        </w:numPr>
        <w:ind w:right="60"/>
      </w:pPr>
      <w:r>
        <w:t>This is a response by Community Energy England, which represents 300+ community energy groups and associated organisations across England involved in the delivery of community-based energy projects that range from the generation of renewable electricity and heat, to the energy efficiency retrofit of buildings, to helping households combat fuel poverty.</w:t>
      </w:r>
    </w:p>
    <w:p w14:paraId="0000000A" w14:textId="77777777" w:rsidR="00F428E9" w:rsidRDefault="00803E73">
      <w:pPr>
        <w:pStyle w:val="Normal1"/>
        <w:widowControl/>
        <w:numPr>
          <w:ilvl w:val="0"/>
          <w:numId w:val="4"/>
        </w:numPr>
        <w:ind w:right="763"/>
      </w:pPr>
      <w:r>
        <w:t>Our vision is of strong, well informed and capable communities, able to take advantage of their renewable energy resources and address their energy issues in a way that builds a more localised, democratic and sustainable energy system.</w:t>
      </w:r>
    </w:p>
    <w:p w14:paraId="0000000B" w14:textId="1E9940BB" w:rsidR="00F428E9" w:rsidRDefault="00803E73">
      <w:pPr>
        <w:pStyle w:val="Normal1"/>
        <w:widowControl/>
        <w:numPr>
          <w:ilvl w:val="0"/>
          <w:numId w:val="4"/>
        </w:numPr>
        <w:ind w:right="763"/>
      </w:pPr>
      <w:r>
        <w:t>Community energy refers to the delivery of community-led renewable energy, energy demand reduction and energy supply projects, whether wholly owned and/or controlled by communities or through partnerships with commercial or public sector partners.</w:t>
      </w:r>
    </w:p>
    <w:p w14:paraId="0000000C" w14:textId="455488FF" w:rsidR="00F428E9" w:rsidRDefault="00803E73">
      <w:pPr>
        <w:pStyle w:val="Normal1"/>
        <w:widowControl/>
        <w:numPr>
          <w:ilvl w:val="0"/>
          <w:numId w:val="4"/>
        </w:numPr>
        <w:ind w:right="763"/>
      </w:pPr>
      <w:r>
        <w:t>The overwhelming motivation of people and groups involved in community energy is to make a contribution to averting climate catastrophe, followed by a desire to bring community benefit.</w:t>
      </w:r>
    </w:p>
    <w:p w14:paraId="0000000D" w14:textId="77777777" w:rsidR="00F428E9" w:rsidRDefault="00803E73">
      <w:pPr>
        <w:pStyle w:val="heading31"/>
        <w:spacing w:before="320" w:after="80"/>
        <w:rPr>
          <w:color w:val="000000"/>
          <w:u w:val="single"/>
        </w:rPr>
      </w:pPr>
      <w:bookmarkStart w:id="0" w:name="_heading=h.bym6o03o6rq0" w:colFirst="0" w:colLast="0"/>
      <w:bookmarkEnd w:id="0"/>
      <w:r>
        <w:rPr>
          <w:rFonts w:ascii="Calibri" w:eastAsia="Calibri" w:hAnsi="Calibri" w:cs="Calibri"/>
          <w:b/>
          <w:color w:val="000000"/>
          <w:sz w:val="28"/>
          <w:szCs w:val="28"/>
          <w:u w:val="single"/>
        </w:rPr>
        <w:t>Summary of Response </w:t>
      </w:r>
    </w:p>
    <w:p w14:paraId="0000000E" w14:textId="77777777" w:rsidR="00F428E9" w:rsidRDefault="00803E73">
      <w:pPr>
        <w:pStyle w:val="Normal1"/>
        <w:widowControl/>
        <w:ind w:right="763"/>
      </w:pPr>
      <w:r>
        <w:t xml:space="preserve">Community Energy England supports the increased emphasis each of the DNOs had on supporting community energy projects and we believe that some of the steps set out in each of the DNO Business Plans will go some way to positively affect the community energy sector and the development of community low carbon energy projects. However, we felt that all of the DNO’s could have gone further in their support. Considering this we were deeply disappointed that the mostly ‘adequate ambition’ of the DNOs has been limited or reduced by Ofgem in the draft determinations.  </w:t>
      </w:r>
    </w:p>
    <w:p w14:paraId="0000000F" w14:textId="77777777" w:rsidR="00F428E9" w:rsidRDefault="00F428E9">
      <w:pPr>
        <w:pStyle w:val="Normal1"/>
      </w:pPr>
    </w:p>
    <w:p w14:paraId="00000010" w14:textId="77777777" w:rsidR="00F428E9" w:rsidRDefault="00803E73">
      <w:pPr>
        <w:pStyle w:val="Normal1"/>
      </w:pPr>
      <w:r>
        <w:t xml:space="preserve">Within the response CEE submitted on behalf of the community energy sector as part of the call for evidence on the DNO business plans (see Appendix 1) we compared and ranked the business plans out of 10 in regards to how they would impact/benefit the community energy sector. The highest ranking DNO business plan scored only 7. We appreciated they committed 'in principle’ to supporting the growth of community energy but felt all of them had room for improvement in their support for communities, local development and necessary engagement of people in the transition to Net Zero. </w:t>
      </w:r>
    </w:p>
    <w:p w14:paraId="00000011" w14:textId="77777777" w:rsidR="00F428E9" w:rsidRDefault="00F428E9">
      <w:pPr>
        <w:pStyle w:val="Normal1"/>
      </w:pPr>
    </w:p>
    <w:p w14:paraId="00000012" w14:textId="77777777" w:rsidR="00F428E9" w:rsidRDefault="00803E73">
      <w:pPr>
        <w:pStyle w:val="Normal1"/>
      </w:pPr>
      <w:r>
        <w:t>If we used the same system to rank the business plans with the Ofgem draft determinations applied they would all rank at or below 5 out of 10. The main reasons behind these are:</w:t>
      </w:r>
    </w:p>
    <w:p w14:paraId="00000013" w14:textId="77777777" w:rsidR="00F428E9" w:rsidRDefault="00F428E9">
      <w:pPr>
        <w:pStyle w:val="Normal1"/>
      </w:pPr>
    </w:p>
    <w:p w14:paraId="00000014" w14:textId="77777777" w:rsidR="00F428E9" w:rsidRDefault="00803E73">
      <w:pPr>
        <w:pStyle w:val="Normal1"/>
        <w:numPr>
          <w:ilvl w:val="0"/>
          <w:numId w:val="1"/>
        </w:numPr>
      </w:pPr>
      <w:r>
        <w:t xml:space="preserve">Removal of support for community energy </w:t>
      </w:r>
    </w:p>
    <w:p w14:paraId="00000015" w14:textId="77777777" w:rsidR="00F428E9" w:rsidRDefault="00803E73">
      <w:pPr>
        <w:pStyle w:val="Normal1"/>
        <w:numPr>
          <w:ilvl w:val="0"/>
          <w:numId w:val="1"/>
        </w:numPr>
      </w:pPr>
      <w:r>
        <w:t xml:space="preserve">Failure to meet net zero </w:t>
      </w:r>
    </w:p>
    <w:p w14:paraId="00000016" w14:textId="77777777" w:rsidR="00F428E9" w:rsidRDefault="00803E73">
      <w:pPr>
        <w:pStyle w:val="Normal1"/>
        <w:numPr>
          <w:ilvl w:val="0"/>
          <w:numId w:val="1"/>
        </w:numPr>
      </w:pPr>
      <w:r>
        <w:t xml:space="preserve">Failure to support a Just Transition </w:t>
      </w:r>
    </w:p>
    <w:p w14:paraId="00000017" w14:textId="77777777" w:rsidR="00F428E9" w:rsidRDefault="00F428E9">
      <w:pPr>
        <w:pStyle w:val="Normal1"/>
      </w:pPr>
    </w:p>
    <w:p w14:paraId="00000018" w14:textId="77777777" w:rsidR="00F428E9" w:rsidRDefault="00803E73">
      <w:pPr>
        <w:pStyle w:val="Normal1"/>
      </w:pPr>
      <w:r>
        <w:t xml:space="preserve">Across just 2 DNOs that we’ve managed to look at (ENWL and SPEN) the reduction demanded by Ofgem in their funding for community energy compared with their proposals is in the order of £10.9m on proposals of £13.7m. That is a cut in excess of 79%. This money would have been a huge help in kickstarting local climate action and stimulating private investment in low carbon technologies especially in the absence of the Rural Community Energy Fund. </w:t>
      </w:r>
    </w:p>
    <w:p w14:paraId="00000019" w14:textId="77777777" w:rsidR="00F428E9" w:rsidRDefault="00F428E9">
      <w:pPr>
        <w:pStyle w:val="Normal1"/>
      </w:pPr>
    </w:p>
    <w:p w14:paraId="0000001A" w14:textId="77777777" w:rsidR="00F428E9" w:rsidRDefault="00803E73">
      <w:pPr>
        <w:pStyle w:val="Normal1"/>
      </w:pPr>
      <w:r>
        <w:t xml:space="preserve">If this applies to the other DNOs then this is potentially catastrophic for scaling up vital local climate action which can only support localisation and demand side management in the energy system and engaging people in the urgent transition to net zero. </w:t>
      </w:r>
    </w:p>
    <w:p w14:paraId="0000001B" w14:textId="77777777" w:rsidR="00F428E9" w:rsidRDefault="00F428E9">
      <w:pPr>
        <w:pStyle w:val="Normal1"/>
      </w:pPr>
    </w:p>
    <w:p w14:paraId="0000001C" w14:textId="77777777" w:rsidR="00F428E9" w:rsidRDefault="00803E73">
      <w:pPr>
        <w:pStyle w:val="Normal1"/>
      </w:pPr>
      <w:r>
        <w:t>Ofgem should be supporting ambition and requiring other DNOs to match the most ambitious, including requiring them to produce a Community Energy Strategy, like ENWL and SPEN.</w:t>
      </w:r>
    </w:p>
    <w:p w14:paraId="0000001D" w14:textId="77777777" w:rsidR="00F428E9" w:rsidRDefault="00F428E9">
      <w:pPr>
        <w:pStyle w:val="Normal1"/>
      </w:pPr>
    </w:p>
    <w:p w14:paraId="0000001E" w14:textId="77777777" w:rsidR="00F428E9" w:rsidRDefault="00803E73">
      <w:pPr>
        <w:pStyle w:val="Normal1"/>
        <w:rPr>
          <w:i/>
        </w:rPr>
      </w:pPr>
      <w:r>
        <w:t xml:space="preserve">The Committee on Climate Change Committee warns that </w:t>
      </w:r>
      <w:r>
        <w:rPr>
          <w:i/>
        </w:rPr>
        <w:t>“ If policy is not scaled up across every sector; if business is not encouraged to invest; if the people of the UK are not engaged in this challenge - the UK will not deliver Net Zero by 2050… people need to be brought into the decision-making process and derive a sense of ownership of the Net Zero project.”</w:t>
      </w:r>
    </w:p>
    <w:p w14:paraId="0000001F" w14:textId="77777777" w:rsidR="00F428E9" w:rsidRDefault="00F428E9">
      <w:pPr>
        <w:pStyle w:val="Normal1"/>
      </w:pPr>
    </w:p>
    <w:p w14:paraId="00000020" w14:textId="77777777" w:rsidR="00F428E9" w:rsidRDefault="00803E73">
      <w:pPr>
        <w:pStyle w:val="Normal1"/>
      </w:pPr>
      <w:r>
        <w:t xml:space="preserve">Ofgem has rightly insisted on good community engagement in the preparation of the Business Plans. SSEN tell us that their Community Engagement told them that people wanted them to focus on FES scenarios ‘Leading the Way’ or ‘Consumer Transformation’. The decision by Ofgem, post-modelling for the business plans, to revert to the ‘System Transformation’ scenario and the resulting reduction in baseline spending by DNOs is a </w:t>
      </w:r>
      <w:r>
        <w:rPr>
          <w:i/>
        </w:rPr>
        <w:t>scaling back of policy</w:t>
      </w:r>
      <w:r>
        <w:t xml:space="preserve"> and a dangerously retrograde step that should be reversed. It is also an abandonment of ‘Consumer Transformation’ - involving people and giving them a </w:t>
      </w:r>
      <w:r>
        <w:rPr>
          <w:i/>
        </w:rPr>
        <w:t>sense of ownership of the Net Zero Project</w:t>
      </w:r>
      <w:r>
        <w:t>. It is certainly not ‘Leading the Way’ which, as the body holding really important knowledge about the local energy system, is surely an important role for a DNO.</w:t>
      </w:r>
    </w:p>
    <w:p w14:paraId="00000021" w14:textId="77777777" w:rsidR="00F428E9" w:rsidRDefault="00F428E9">
      <w:pPr>
        <w:pStyle w:val="Normal1"/>
      </w:pPr>
    </w:p>
    <w:p w14:paraId="00000022" w14:textId="77777777" w:rsidR="00F428E9" w:rsidRDefault="00803E73">
      <w:pPr>
        <w:pStyle w:val="Normal1"/>
      </w:pPr>
      <w:r>
        <w:t>We note that Ofgem has accepted SSEN’s Whole Systems Consumer Value proposition – to support 200 community groups and 72 local authorities. They identified that this would bring  £11.2m of net benefits.</w:t>
      </w:r>
    </w:p>
    <w:p w14:paraId="00000023" w14:textId="77777777" w:rsidR="00F428E9" w:rsidRDefault="00F428E9">
      <w:pPr>
        <w:pStyle w:val="Normal1"/>
      </w:pPr>
    </w:p>
    <w:p w14:paraId="00000024" w14:textId="77777777" w:rsidR="00F428E9" w:rsidRDefault="00803E73">
      <w:pPr>
        <w:pStyle w:val="Normal1"/>
      </w:pPr>
      <w:r>
        <w:t>We believe stripping back support proposed by other DNOs for community energy development and rejecting progressive, sensible proposals that support this development, is inconsistent and is the wrong area to focus on saving tiny amounts of money which would generate vastly greater returns in social, financial, system, public engagement and carbon terms.  Specifically, the rejection in the draft determinations of the proposed community energy funds for both Electricity North West (ENWL) &amp; SP Energy Network (SPEN) is extremely disappointing. The justification for this was that both DNOs “provided insufficient evidence to justify the need for this fund”. You also questioned whether the DNO was the right body to deliver this funding.</w:t>
      </w:r>
    </w:p>
    <w:p w14:paraId="00000025" w14:textId="77777777" w:rsidR="00F428E9" w:rsidRDefault="00F428E9">
      <w:pPr>
        <w:pStyle w:val="Normal1"/>
      </w:pPr>
    </w:p>
    <w:p w14:paraId="00000026" w14:textId="77777777" w:rsidR="00F428E9" w:rsidRDefault="00803E73">
      <w:pPr>
        <w:pStyle w:val="Normal1"/>
      </w:pPr>
      <w:r>
        <w:rPr>
          <w:u w:val="single"/>
        </w:rPr>
        <w:t>Evidence to justify a community energy fund</w:t>
      </w:r>
    </w:p>
    <w:p w14:paraId="00000027" w14:textId="77777777" w:rsidR="00F428E9" w:rsidRDefault="00803E73">
      <w:pPr>
        <w:pStyle w:val="Normal1"/>
      </w:pPr>
      <w:r>
        <w:t>We would have hoped that after repeated responses to Ofgem consultations, such as our</w:t>
      </w:r>
      <w:hyperlink r:id="rId12">
        <w:r>
          <w:rPr>
            <w:color w:val="1155CC"/>
            <w:u w:val="single"/>
          </w:rPr>
          <w:t xml:space="preserve"> local institutions and governance consultation response</w:t>
        </w:r>
      </w:hyperlink>
      <w:r>
        <w:t>, evidencing the importance and benefits of community energy, it would be accepted by Ofgem as a worthy of support and DNOs would not need to justify their plans to offer relatively small amounts of money in Community Energy Funds.</w:t>
      </w:r>
    </w:p>
    <w:p w14:paraId="00000028" w14:textId="77777777" w:rsidR="00F428E9" w:rsidRDefault="00F428E9">
      <w:pPr>
        <w:pStyle w:val="Normal1"/>
      </w:pPr>
    </w:p>
    <w:p w14:paraId="00000029" w14:textId="77777777" w:rsidR="00F428E9" w:rsidRDefault="00803E73">
      <w:pPr>
        <w:pStyle w:val="Normal1"/>
      </w:pPr>
      <w:r>
        <w:t xml:space="preserve">In the transition to a more local, flexible, participatory energy system, local people and communities are vital, as the Climate Change Committee’s warning above makes clear. (See above consultation response for more detailed explanation.) DNOs need to get better at interacting with people and communities to come up with creative, locally appropriate solutions. DNOs investing in community energy and Local Area Energy Planning with communities will ensure this happens. Communities have connections with vulnerable customers that DNOs do not, and in the ongoing energy crisis can and will help DNOs understand them and cater for them better. </w:t>
      </w:r>
    </w:p>
    <w:p w14:paraId="0000002A" w14:textId="77777777" w:rsidR="00F428E9" w:rsidRDefault="00F428E9">
      <w:pPr>
        <w:pStyle w:val="Normal1"/>
      </w:pPr>
    </w:p>
    <w:p w14:paraId="0000002B" w14:textId="77777777" w:rsidR="00F428E9" w:rsidRDefault="00803E73">
      <w:pPr>
        <w:pStyle w:val="Normal1"/>
      </w:pPr>
      <w:r>
        <w:t>SPEN has developed a Community Energy Strategy which proposed Net Zero Fund of £10.3m to support community energy, of which Ofgem has accepted £3.1m. SPEN identified £14.4m of net benefit that will arise from the funds’ support of communities and vulnerable consumers. That alone should justify this investment. However we believe that significantly more value would accrue to the energy system and consumers by the DNO supporting community energy.</w:t>
      </w:r>
    </w:p>
    <w:p w14:paraId="0000002C" w14:textId="77777777" w:rsidR="00F428E9" w:rsidRDefault="00F428E9">
      <w:pPr>
        <w:pStyle w:val="Normal1"/>
      </w:pPr>
    </w:p>
    <w:p w14:paraId="0000002D" w14:textId="77777777" w:rsidR="00F428E9" w:rsidRDefault="00803E73">
      <w:pPr>
        <w:pStyle w:val="Normal1"/>
      </w:pPr>
      <w:r>
        <w:t>Community energy organisations gather early adopters, innovators, energy entrepreneurs, and community actors - all with a focus on decarbonisation and delivering community and social benefit. They are well placed and well connected to deliver innovative local generation and demand reduction and flexibility projects which will help localise and balance the system, thus avoiding significant re-inforcement costs. As described below they can mobilise significant local investment - to do local projects, which also mobilise human capital and engage people in visible, practical and beneficial examples of the energy transition - increasing buy-in and normalising the change. They are also many times more effective at delivering fuel poverty and energy efficiency measures to householders than government or commercial organisations including national specialist energy advice services. The strengthening of bonds, understanding and collaboration between consumers and the DNO is essential to smooth roll out of the energy transition. It can also generate vital data to enable better future planning.</w:t>
      </w:r>
    </w:p>
    <w:p w14:paraId="0000002E" w14:textId="77777777" w:rsidR="00F428E9" w:rsidRDefault="00F428E9">
      <w:pPr>
        <w:pStyle w:val="Normal1"/>
      </w:pPr>
    </w:p>
    <w:p w14:paraId="0000002F" w14:textId="77777777" w:rsidR="00F428E9" w:rsidRDefault="00803E73">
      <w:pPr>
        <w:pStyle w:val="Normal1"/>
      </w:pPr>
      <w:r>
        <w:t>Community energy generates proven benefits and a high social and financial return on investment. In 2018 development funding on average leveraged more than seventeen times more finance</w:t>
      </w:r>
      <w:r>
        <w:rPr>
          <w:vertAlign w:val="superscript"/>
        </w:rPr>
        <w:footnoteReference w:id="1"/>
      </w:r>
      <w:r>
        <w:t>. Community energy generates 12-13 times more community benefit than commercial schemes according to government commissioned research</w:t>
      </w:r>
      <w:r>
        <w:rPr>
          <w:vertAlign w:val="superscript"/>
        </w:rPr>
        <w:footnoteReference w:id="2"/>
      </w:r>
      <w:r>
        <w:t>. Community energy fuel poverty work generates £10 of social benefit for every £1 spent</w:t>
      </w:r>
      <w:r>
        <w:rPr>
          <w:vertAlign w:val="superscript"/>
        </w:rPr>
        <w:footnoteReference w:id="3"/>
      </w:r>
      <w:r>
        <w:t>. Community wind in Scotland generates 34 times more community benefit than commercial projects</w:t>
      </w:r>
      <w:r>
        <w:rPr>
          <w:vertAlign w:val="superscript"/>
        </w:rPr>
        <w:footnoteReference w:id="4"/>
      </w:r>
      <w:r>
        <w:t>. In 2021, 217,489 people were engaged on energy and climate; 183 new jobs were created; £15m of community benefit was delivered and 143,000 tCO2e were saved annually</w:t>
      </w:r>
      <w:r>
        <w:rPr>
          <w:vertAlign w:val="superscript"/>
        </w:rPr>
        <w:footnoteReference w:id="5"/>
      </w:r>
      <w:r>
        <w:t xml:space="preserve">. </w:t>
      </w:r>
    </w:p>
    <w:p w14:paraId="00000030" w14:textId="77777777" w:rsidR="00F428E9" w:rsidRDefault="00F428E9">
      <w:pPr>
        <w:pStyle w:val="Normal1"/>
      </w:pPr>
    </w:p>
    <w:p w14:paraId="00000031" w14:textId="77777777" w:rsidR="00F428E9" w:rsidRDefault="00803E73">
      <w:pPr>
        <w:pStyle w:val="Normal1"/>
      </w:pPr>
      <w:r>
        <w:t xml:space="preserve">The NW Energy Hub, predominantly covered by ENWL, one of the DNOs whose community energy fund was rejected, recorded a nearly 70:1 ratio of finance to development money with the Rural Community Energy Fund (RCEF). Their RCEF pipeline has 105 megawatts of hugely various projects including combining hydro and EV car clubs, solar and wind providing affordable power for community ground-source heat pumps. </w:t>
      </w:r>
    </w:p>
    <w:p w14:paraId="00000032" w14:textId="77777777" w:rsidR="00F428E9" w:rsidRDefault="00F428E9">
      <w:pPr>
        <w:pStyle w:val="Normal1"/>
      </w:pPr>
    </w:p>
    <w:p w14:paraId="00000033" w14:textId="77777777" w:rsidR="00F428E9" w:rsidRDefault="00803E73">
      <w:pPr>
        <w:pStyle w:val="Normal1"/>
      </w:pPr>
      <w:r>
        <w:t>The Government has recently decided not to provide further grant funding in this form for community energy. Without funding of this type, the projects like those funded by RCEF and this ratio of investment are being lost. In our most recent Community Energy State of the Sector report, we showed that 81 community energy organisations across the UK reported one or more stalled projects – 65% more than in 2020 and 32% more than in 2021. Most (68MW) were electricity generation projects but there were significant numbers of stalled demand side management projects. Organisational capacity and a lack of early stage funding to support this were reported to be key barriers to the progression of stalled projects demonstrating a clear need for financial support mechanisms such as the ENWL’s Community Energy Fund and SPEN’s Net Zero Fund. With the right development support most of these projects would go ahead.</w:t>
      </w:r>
    </w:p>
    <w:p w14:paraId="00000034" w14:textId="77777777" w:rsidR="00F428E9" w:rsidRDefault="00F428E9">
      <w:pPr>
        <w:pStyle w:val="Normal1"/>
      </w:pPr>
    </w:p>
    <w:p w14:paraId="00000035" w14:textId="77777777" w:rsidR="00F428E9" w:rsidRDefault="00803E73">
      <w:pPr>
        <w:pStyle w:val="Normal1"/>
      </w:pPr>
      <w:r>
        <w:t>The NW Energy Hub (now Net Zero Hub) can deliver a near 70:1 ratio of investment to development funding largely because they have excellent officers who know their local area and local energy system conditions and can visit projects to offer targetted advice which saves feasibility and development costs. And because, until March 2022, they could offer feasibility and development grants to worthy projects.</w:t>
      </w:r>
    </w:p>
    <w:p w14:paraId="00000036" w14:textId="77777777" w:rsidR="00F428E9" w:rsidRDefault="00F428E9">
      <w:pPr>
        <w:pStyle w:val="Normal1"/>
      </w:pPr>
    </w:p>
    <w:p w14:paraId="00000037" w14:textId="77777777" w:rsidR="00F428E9" w:rsidRDefault="00803E73">
      <w:pPr>
        <w:pStyle w:val="Normal1"/>
      </w:pPr>
      <w:r>
        <w:t xml:space="preserve">DNOs could easily perform this vital function with the development of the right facilitators and intermediaries and strategic channelling of development funding. Resulting community-led projects would deliver large social, environmental, energy system and decarbonisation benefits as well as increasing the essential constructive cooperation between energy consumers and the DNO tasked with transforming the energy system. </w:t>
      </w:r>
    </w:p>
    <w:p w14:paraId="00000038" w14:textId="77777777" w:rsidR="00F428E9" w:rsidRDefault="00F428E9">
      <w:pPr>
        <w:pStyle w:val="Normal1"/>
      </w:pPr>
    </w:p>
    <w:p w14:paraId="00000039" w14:textId="77777777" w:rsidR="00F428E9" w:rsidRDefault="00803E73">
      <w:pPr>
        <w:pStyle w:val="Normal1"/>
      </w:pPr>
      <w:r>
        <w:t>ENWL and many of the DNOs have excellent community energy and engagement officers and have plans to develop this local expertise in support of Local Area Energy Planning and supporting communities. These plans should be encouraged not thwarted.</w:t>
      </w:r>
    </w:p>
    <w:p w14:paraId="0000003A" w14:textId="77777777" w:rsidR="00F428E9" w:rsidRDefault="00F428E9">
      <w:pPr>
        <w:pStyle w:val="Normal1"/>
      </w:pPr>
    </w:p>
    <w:p w14:paraId="0000003B" w14:textId="77777777" w:rsidR="00F428E9" w:rsidRDefault="00803E73">
      <w:pPr>
        <w:pStyle w:val="Normal1"/>
        <w:rPr>
          <w:u w:val="single"/>
        </w:rPr>
      </w:pPr>
      <w:r>
        <w:rPr>
          <w:u w:val="single"/>
        </w:rPr>
        <w:t xml:space="preserve">Failure to meet net-zero </w:t>
      </w:r>
    </w:p>
    <w:p w14:paraId="0000003C" w14:textId="77777777" w:rsidR="00F428E9" w:rsidRDefault="00803E73">
      <w:pPr>
        <w:pStyle w:val="Normal1"/>
      </w:pPr>
      <w:r>
        <w:t>It is not prudent to adopt a pathway that under current modelling will just about deliver net zero. We know that 2050 is almost certainly too late and we know that delivery is failing already to maintain the necessary trajectory. This plan does not allow for any slippage or margin of error in the modelling. If we fail in the endeavour to achieve net zero it is a terminal failure from which there is no possibility of recovery and no amount of future investment will make up for it. At this late and critical stage we need to err on the side of over achieving.</w:t>
      </w:r>
    </w:p>
    <w:p w14:paraId="0000003D" w14:textId="77777777" w:rsidR="00F428E9" w:rsidRDefault="00F428E9">
      <w:pPr>
        <w:pStyle w:val="Normal1"/>
      </w:pPr>
    </w:p>
    <w:p w14:paraId="0000003E" w14:textId="77777777" w:rsidR="00F428E9" w:rsidRDefault="00803E73">
      <w:pPr>
        <w:pStyle w:val="Normal1"/>
        <w:rPr>
          <w:i/>
        </w:rPr>
      </w:pPr>
      <w:r>
        <w:t xml:space="preserve">You say this will “ensure that consumers do not speculatively fund work that </w:t>
      </w:r>
      <w:r>
        <w:rPr>
          <w:b/>
        </w:rPr>
        <w:t>may not</w:t>
      </w:r>
      <w:r>
        <w:t xml:space="preserve"> be required.” You assert that “it will not constrain the networks from ensuring timely and efficient investment to support for higher levels of demand growth” SSEN disagrees, saying this cut puts them on a </w:t>
      </w:r>
      <w:r>
        <w:rPr>
          <w:i/>
        </w:rPr>
        <w:t xml:space="preserve">“non-net zero compliant pathway”. </w:t>
      </w:r>
    </w:p>
    <w:p w14:paraId="0000003F" w14:textId="77777777" w:rsidR="00F428E9" w:rsidRDefault="00F428E9">
      <w:pPr>
        <w:pStyle w:val="Normal1"/>
      </w:pPr>
    </w:p>
    <w:p w14:paraId="00000040" w14:textId="77777777" w:rsidR="00F428E9" w:rsidRDefault="00803E73">
      <w:pPr>
        <w:pStyle w:val="Normal1"/>
      </w:pPr>
      <w:r>
        <w:t>We understand that during ED1 profits returned to shareholders were too high. We support the role of the regulator in ensuring that distribution charges are reasonable and well spent. But it is vital that the system can adapt ahead of, and lead and facilitate consumer change. Several DNOs report unexpectedly high demand for LCTs including EVs as well as reinforcements for data centres. The most up to date Future Energy Scenarios support this experience.</w:t>
      </w:r>
    </w:p>
    <w:p w14:paraId="00000041" w14:textId="77777777" w:rsidR="00F428E9" w:rsidRDefault="00F428E9">
      <w:pPr>
        <w:pStyle w:val="Normal1"/>
      </w:pPr>
    </w:p>
    <w:p w14:paraId="00000042" w14:textId="77777777" w:rsidR="00F428E9" w:rsidRDefault="00803E73">
      <w:pPr>
        <w:pStyle w:val="Normal1"/>
      </w:pPr>
      <w:r>
        <w:t>Several DNOs tell us that the reductions and efficiency drive across all the DNOs will create delays in providing local capacity, delaying connection requests and support for low carbon technologies and building resilience and reliability into the system. There is also a concern that this will create a failure to build the network that will be needed to reach net zero and risks a disorderly, unjust transition to net zero. For example, the proposed removal of strategic investment funding from baseline spending within the SSEN determinations will mean they will be able to support 30% less low carbon technology (including ev charge points and heat pumps) compared to their original plan. ENWL have also had their application for any net zero development funding to enable net zero related development work, small value net zero facilitation projects and local area energy plan support rejected. They estimate that this means ‘significant risk of constraint to the region’s ambitious decarbonisation plans’ and that there is a ‘risk that the 20% reduction in power cuts and the average time without power will not be achieved’ and a ‘risk that some of the additional support to electricity users in vulnerable circumstances and fuel poverty will not be delivered.’.</w:t>
      </w:r>
    </w:p>
    <w:p w14:paraId="00000043" w14:textId="77777777" w:rsidR="00F428E9" w:rsidRDefault="00F428E9">
      <w:pPr>
        <w:pStyle w:val="Normal1"/>
      </w:pPr>
    </w:p>
    <w:p w14:paraId="00000044" w14:textId="77777777" w:rsidR="00F428E9" w:rsidRDefault="00803E73">
      <w:pPr>
        <w:pStyle w:val="Normal1"/>
      </w:pPr>
      <w:r>
        <w:t xml:space="preserve">Some DNOs support more expenditure being under Uncertainty Mechanism but others fear that this penalises those who are open and up-front about how much the transition will cost. They object to baseline expenditure being shifted to Uncertainty Mechanisms in order to reduce headline costs. One DNO said it prevents them adopting the lowest-cost net zero pathways and unfairly pushes the costs of decarbonisation on to future consumers. They also said it does not allow them to build and support their supply chains to be sure of delivering the measures they identify. SSEN told us </w:t>
      </w:r>
      <w:r>
        <w:rPr>
          <w:i/>
        </w:rPr>
        <w:t xml:space="preserve">“We know from engagement with our supply chain that they are seeing significant challenges in terms of sourcing materials and retaining staff. Wherever possible, they require clarity and certainty to be able to deliver the best and most efficient outcomes.” </w:t>
      </w:r>
    </w:p>
    <w:p w14:paraId="00000045" w14:textId="77777777" w:rsidR="00F428E9" w:rsidRDefault="00F428E9">
      <w:pPr>
        <w:pStyle w:val="Normal1"/>
      </w:pPr>
    </w:p>
    <w:p w14:paraId="00000046" w14:textId="77777777" w:rsidR="00F428E9" w:rsidRDefault="00803E73">
      <w:pPr>
        <w:pStyle w:val="Normal1"/>
      </w:pPr>
      <w:r>
        <w:t>Particularly short-sighted in the current climate is Ofgem’s proposal to remove from baseline funded allowances the repair and replacement of gas boilers and the installation of energy efficiency measures.</w:t>
      </w:r>
    </w:p>
    <w:p w14:paraId="00000047" w14:textId="77777777" w:rsidR="00F428E9" w:rsidRDefault="00F428E9">
      <w:pPr>
        <w:pStyle w:val="Normal1"/>
      </w:pPr>
    </w:p>
    <w:p w14:paraId="00000048" w14:textId="77777777" w:rsidR="00F428E9" w:rsidRDefault="00803E73">
      <w:pPr>
        <w:pStyle w:val="Normal1"/>
      </w:pPr>
      <w:r>
        <w:t>We understand that, particularly at the moment Ofgem, is under pressure from media and government alike to keep bills as low as possible. But it is also Ofgem’s duty (or will be soon, once decarbonisation is added to the official remit) to defend robustly the true cost of investment required to achieve a net zero energy system for the benefit of all consumers. So imposing cuts in order to be seen to be a strong regulator is in fact a sign of weakness and should be resisted. ENWL tell us that despite managing to reduce costs since ED1 and show the lowest bills of any DNO, offering a 5% reduction, they have had a cut imposed upon them. Ofgem has done this by inflating their business plan costs by £220m of expenditure they didn’t ask for, in order to be seen to be reducing the total. In the process the proposed expansion by £1.95m of the community energy fund - one of the lowest of all the DNOs - has been rejected.</w:t>
      </w:r>
    </w:p>
    <w:p w14:paraId="00000049" w14:textId="77777777" w:rsidR="00F428E9" w:rsidRDefault="00F428E9">
      <w:pPr>
        <w:pStyle w:val="Normal1"/>
      </w:pPr>
    </w:p>
    <w:p w14:paraId="0000004A" w14:textId="77777777" w:rsidR="00F428E9" w:rsidRDefault="00803E73">
      <w:pPr>
        <w:pStyle w:val="Normal1"/>
        <w:rPr>
          <w:u w:val="single"/>
        </w:rPr>
      </w:pPr>
      <w:r>
        <w:rPr>
          <w:u w:val="single"/>
        </w:rPr>
        <w:t>Other issues</w:t>
      </w:r>
    </w:p>
    <w:p w14:paraId="0000004B" w14:textId="77777777" w:rsidR="00F428E9" w:rsidRDefault="00F428E9">
      <w:pPr>
        <w:pStyle w:val="Normal1"/>
      </w:pPr>
    </w:p>
    <w:p w14:paraId="0000004C" w14:textId="77777777" w:rsidR="00F428E9" w:rsidRDefault="00803E73">
      <w:pPr>
        <w:pStyle w:val="Normal1"/>
      </w:pPr>
      <w:r>
        <w:t>ENWL tell us that Ofgem’s decision to set financing cost at the average fails to recognise specific differences and builds in unfairness. Some DNOs who happened to borrow at a time of low interest rates will be perpetual gainers while others like ENWL, paying higher interest rates, will be perpetual losers. Surely if we are to localise the system we must recognise difference. To do this at a DNO level is the least Ofgem can do.</w:t>
      </w:r>
    </w:p>
    <w:p w14:paraId="0000004D" w14:textId="77777777" w:rsidR="00F428E9" w:rsidRDefault="00F428E9">
      <w:pPr>
        <w:pStyle w:val="Normal1"/>
      </w:pPr>
    </w:p>
    <w:p w14:paraId="0000004E" w14:textId="77777777" w:rsidR="00F428E9" w:rsidRDefault="00803E73">
      <w:pPr>
        <w:pStyle w:val="Normal1"/>
      </w:pPr>
      <w:r>
        <w:rPr>
          <w:u w:val="single"/>
        </w:rPr>
        <w:t xml:space="preserve">Conclusion: </w:t>
      </w:r>
    </w:p>
    <w:p w14:paraId="0000004F" w14:textId="77777777" w:rsidR="00F428E9" w:rsidRDefault="00F428E9">
      <w:pPr>
        <w:pStyle w:val="Normal1"/>
      </w:pPr>
    </w:p>
    <w:p w14:paraId="00000050" w14:textId="77777777" w:rsidR="00F428E9" w:rsidRDefault="00803E73">
      <w:pPr>
        <w:pStyle w:val="Normal1"/>
      </w:pPr>
      <w:r>
        <w:t xml:space="preserve">We believe that the draft determinations demonstrate a failure to appreciate the importance of local action and communities in reaching net zero. We urge Ofgem to reconsider its rejection of community energy supporting proposals particularly the refusal to approve the DNO proposed community energy funds. </w:t>
      </w:r>
    </w:p>
    <w:p w14:paraId="00000051" w14:textId="77777777" w:rsidR="00F428E9" w:rsidRDefault="00F428E9">
      <w:pPr>
        <w:pStyle w:val="Normal1"/>
      </w:pPr>
    </w:p>
    <w:p w14:paraId="00000052" w14:textId="77777777" w:rsidR="00F428E9" w:rsidRDefault="00803E73">
      <w:pPr>
        <w:pStyle w:val="Normal1"/>
      </w:pPr>
      <w:r>
        <w:t>We urge Ofgem to reconsider its adoption of the System Transformation scenario and understand that if we have an ambition to have a viable future we must aim as high as is physically possible. Ofgem must support DNOs to do this especially where they are not increasing the cost of distribution to their customers. More widely we would like to see Ofgem include social benefit and net zero in the remit for all DNOs to allow them to prioritise these projects.</w:t>
      </w:r>
    </w:p>
    <w:p w14:paraId="00000053" w14:textId="77777777" w:rsidR="00F428E9" w:rsidRDefault="00F428E9">
      <w:pPr>
        <w:pStyle w:val="Normal1"/>
        <w:widowControl/>
      </w:pPr>
    </w:p>
    <w:p w14:paraId="00000054" w14:textId="77777777" w:rsidR="00F428E9" w:rsidRDefault="00F428E9">
      <w:pPr>
        <w:pStyle w:val="Normal1"/>
        <w:widowControl/>
      </w:pPr>
    </w:p>
    <w:p w14:paraId="00000055" w14:textId="77777777" w:rsidR="00F428E9" w:rsidRDefault="00F428E9">
      <w:pPr>
        <w:pStyle w:val="Normal1"/>
        <w:widowControl/>
      </w:pPr>
    </w:p>
    <w:p w14:paraId="00000056" w14:textId="77777777" w:rsidR="00F428E9" w:rsidRDefault="00803E73">
      <w:pPr>
        <w:pStyle w:val="Normal1"/>
        <w:widowControl/>
        <w:rPr>
          <w:rFonts w:ascii="Times New Roman" w:eastAsia="Times New Roman" w:hAnsi="Times New Roman" w:cs="Times New Roman"/>
        </w:rPr>
      </w:pPr>
      <w:r>
        <w:rPr>
          <w:b/>
          <w:sz w:val="28"/>
          <w:szCs w:val="28"/>
        </w:rPr>
        <w:t>Contacts:</w:t>
      </w:r>
    </w:p>
    <w:p w14:paraId="00000057" w14:textId="77777777" w:rsidR="00F428E9" w:rsidRDefault="00803E73">
      <w:pPr>
        <w:pStyle w:val="Normal1"/>
        <w:widowControl/>
      </w:pPr>
      <w:r>
        <w:t>Flora Robertson, Policy &amp; Advocacy Officer, </w:t>
      </w:r>
    </w:p>
    <w:p w14:paraId="00000058" w14:textId="77777777" w:rsidR="00F428E9" w:rsidRDefault="00803E73">
      <w:pPr>
        <w:pStyle w:val="Normal1"/>
        <w:widowControl/>
      </w:pPr>
      <w:r>
        <w:t>Community Energy England Email: f.robertson@communityenergyengland.org </w:t>
      </w:r>
    </w:p>
    <w:p w14:paraId="00000059" w14:textId="77777777" w:rsidR="00F428E9" w:rsidRDefault="00F428E9">
      <w:pPr>
        <w:pStyle w:val="Normal1"/>
        <w:widowControl/>
      </w:pPr>
    </w:p>
    <w:p w14:paraId="0000005A" w14:textId="77777777" w:rsidR="00F428E9" w:rsidRDefault="00803E73">
      <w:pPr>
        <w:pStyle w:val="Normal1"/>
        <w:widowControl/>
      </w:pPr>
      <w:r>
        <w:t>Duncan Law, Policy &amp; Advocacy Manager, </w:t>
      </w:r>
    </w:p>
    <w:p w14:paraId="0000005B" w14:textId="77777777" w:rsidR="00F428E9" w:rsidRDefault="00803E73">
      <w:pPr>
        <w:pStyle w:val="Normal1"/>
        <w:widowControl/>
      </w:pPr>
      <w:r>
        <w:t>Community Energy England Email: d.law@communityenergyengland.org</w:t>
      </w:r>
    </w:p>
    <w:p w14:paraId="0000005C" w14:textId="77777777" w:rsidR="00F428E9" w:rsidRDefault="00F428E9">
      <w:pPr>
        <w:pStyle w:val="Normal1"/>
        <w:widowControl/>
      </w:pPr>
    </w:p>
    <w:p w14:paraId="0000005D" w14:textId="77777777" w:rsidR="00F428E9" w:rsidRDefault="00803E73">
      <w:pPr>
        <w:pStyle w:val="Normal1"/>
        <w:widowControl/>
        <w:rPr>
          <w:rFonts w:ascii="Times New Roman" w:eastAsia="Times New Roman" w:hAnsi="Times New Roman" w:cs="Times New Roman"/>
        </w:rPr>
      </w:pPr>
      <w:r>
        <w:rPr>
          <w:b/>
          <w:sz w:val="28"/>
          <w:szCs w:val="28"/>
        </w:rPr>
        <w:t>Further Information:</w:t>
      </w:r>
    </w:p>
    <w:p w14:paraId="0000005E" w14:textId="77777777" w:rsidR="00F428E9" w:rsidRDefault="00803E73">
      <w:pPr>
        <w:pStyle w:val="Normal1"/>
        <w:widowControl/>
      </w:pPr>
      <w:r>
        <w:t>Community Energy England (CEE) was established in 2014 to provide a voice for the community energy sector, primarily in England. Membership totals over 270 organisations. Many of the member organisations are community energy groups, but membership extends across a wide range of organisations that work with and support the community energy sector. </w:t>
      </w:r>
    </w:p>
    <w:p w14:paraId="0000005F" w14:textId="77777777" w:rsidR="00F428E9" w:rsidRDefault="00840A7E">
      <w:pPr>
        <w:pStyle w:val="Normal1"/>
        <w:widowControl/>
        <w:rPr>
          <w:b/>
        </w:rPr>
      </w:pPr>
      <w:hyperlink r:id="rId13">
        <w:r w:rsidR="00803E73">
          <w:rPr>
            <w:color w:val="1155CC"/>
            <w:u w:val="single"/>
          </w:rPr>
          <w:t>www.communityenergyengland.org</w:t>
        </w:r>
      </w:hyperlink>
      <w:r w:rsidR="00803E73">
        <w:br w:type="page"/>
      </w:r>
    </w:p>
    <w:p w14:paraId="00000060" w14:textId="77777777" w:rsidR="00F428E9" w:rsidRDefault="00803E73">
      <w:pPr>
        <w:pStyle w:val="heading10"/>
        <w:widowControl/>
      </w:pPr>
      <w:bookmarkStart w:id="1" w:name="_heading=h.xsdxkngz7rw5" w:colFirst="0" w:colLast="0"/>
      <w:bookmarkEnd w:id="1"/>
      <w:r>
        <w:t xml:space="preserve">Appendix 1. </w:t>
      </w:r>
    </w:p>
    <w:p w14:paraId="00000061" w14:textId="77777777" w:rsidR="00F428E9" w:rsidRDefault="00F428E9">
      <w:pPr>
        <w:pStyle w:val="Normal1"/>
        <w:widowControl/>
        <w:pBdr>
          <w:top w:val="nil"/>
          <w:left w:val="nil"/>
          <w:bottom w:val="nil"/>
          <w:right w:val="nil"/>
          <w:between w:val="nil"/>
        </w:pBdr>
        <w:spacing w:line="240" w:lineRule="auto"/>
        <w:rPr>
          <w:b/>
        </w:rPr>
      </w:pPr>
    </w:p>
    <w:p w14:paraId="00000062" w14:textId="77777777" w:rsidR="00F428E9" w:rsidRDefault="00803E73">
      <w:pPr>
        <w:pStyle w:val="Normal1"/>
        <w:widowControl/>
        <w:pBdr>
          <w:top w:val="nil"/>
          <w:left w:val="nil"/>
          <w:bottom w:val="nil"/>
          <w:right w:val="nil"/>
          <w:between w:val="nil"/>
        </w:pBdr>
        <w:spacing w:line="240" w:lineRule="auto"/>
        <w:rPr>
          <w:rFonts w:ascii="Times New Roman" w:eastAsia="Times New Roman" w:hAnsi="Times New Roman" w:cs="Times New Roman"/>
          <w:b/>
          <w:color w:val="000000"/>
          <w:sz w:val="28"/>
          <w:szCs w:val="28"/>
        </w:rPr>
      </w:pPr>
      <w:r>
        <w:rPr>
          <w:b/>
          <w:color w:val="000000"/>
        </w:rPr>
        <w:t>February 2022</w:t>
      </w:r>
    </w:p>
    <w:p w14:paraId="00000063" w14:textId="77777777" w:rsidR="00F428E9" w:rsidRDefault="00F428E9">
      <w:pPr>
        <w:pStyle w:val="Normal1"/>
      </w:pPr>
    </w:p>
    <w:p w14:paraId="00000064" w14:textId="77777777" w:rsidR="00F428E9" w:rsidRDefault="00803E73">
      <w:pPr>
        <w:pStyle w:val="heading41"/>
        <w:spacing w:before="280" w:after="280"/>
        <w:rPr>
          <w:rFonts w:ascii="Calibri" w:eastAsia="Calibri" w:hAnsi="Calibri" w:cs="Calibri"/>
          <w:b w:val="0"/>
          <w:color w:val="595959"/>
          <w:sz w:val="32"/>
          <w:szCs w:val="32"/>
        </w:rPr>
      </w:pPr>
      <w:r>
        <w:rPr>
          <w:rFonts w:ascii="Calibri" w:eastAsia="Calibri" w:hAnsi="Calibri" w:cs="Calibri"/>
          <w:b w:val="0"/>
          <w:color w:val="595959"/>
          <w:sz w:val="32"/>
          <w:szCs w:val="32"/>
        </w:rPr>
        <w:t>Community Energy England response to the Ofgem Call for Evidence on the Electricity Distribution Business Plans for RIIO-2. </w:t>
      </w:r>
    </w:p>
    <w:p w14:paraId="00000065" w14:textId="77777777" w:rsidR="00F428E9" w:rsidRDefault="00803E73">
      <w:pPr>
        <w:pStyle w:val="heading31"/>
        <w:spacing w:before="320" w:after="80"/>
        <w:rPr>
          <w:color w:val="000000"/>
          <w:u w:val="single"/>
        </w:rPr>
      </w:pPr>
      <w:r>
        <w:rPr>
          <w:rFonts w:ascii="Calibri" w:eastAsia="Calibri" w:hAnsi="Calibri" w:cs="Calibri"/>
          <w:b/>
          <w:color w:val="000000"/>
          <w:sz w:val="28"/>
          <w:szCs w:val="28"/>
          <w:u w:val="single"/>
        </w:rPr>
        <w:t>Introduction to Community Energy England</w:t>
      </w:r>
    </w:p>
    <w:p w14:paraId="00000066" w14:textId="77777777" w:rsidR="00F428E9" w:rsidRDefault="00803E73">
      <w:pPr>
        <w:pStyle w:val="Normal1"/>
        <w:widowControl/>
        <w:numPr>
          <w:ilvl w:val="0"/>
          <w:numId w:val="2"/>
        </w:numPr>
        <w:pBdr>
          <w:top w:val="nil"/>
          <w:left w:val="nil"/>
          <w:bottom w:val="nil"/>
          <w:right w:val="nil"/>
          <w:between w:val="nil"/>
        </w:pBdr>
        <w:ind w:right="763"/>
        <w:rPr>
          <w:color w:val="000000"/>
        </w:rPr>
      </w:pPr>
      <w:r>
        <w:rPr>
          <w:color w:val="000000"/>
        </w:rPr>
        <w:t>This is a response by Community Energy England, which represents 270+ community energy groups and associated organisations across England involved in the delivery of community-based energy projects that range from the generation of renewable electricity and heat, to the energy efficiency retrofit of buildings, to helping households combat fuel poverty.</w:t>
      </w:r>
    </w:p>
    <w:p w14:paraId="00000067" w14:textId="77777777" w:rsidR="00F428E9" w:rsidRDefault="00803E73">
      <w:pPr>
        <w:pStyle w:val="Normal1"/>
        <w:widowControl/>
        <w:numPr>
          <w:ilvl w:val="0"/>
          <w:numId w:val="2"/>
        </w:numPr>
        <w:pBdr>
          <w:top w:val="nil"/>
          <w:left w:val="nil"/>
          <w:bottom w:val="nil"/>
          <w:right w:val="nil"/>
          <w:between w:val="nil"/>
        </w:pBdr>
        <w:ind w:right="763"/>
        <w:rPr>
          <w:color w:val="000000"/>
        </w:rPr>
      </w:pPr>
      <w:r>
        <w:rPr>
          <w:color w:val="000000"/>
        </w:rPr>
        <w:t>Our vision is of strong, well informed and capable communities, able to take advantage of their renewable energy resources and address their energy issues in a way that builds a more localised, democratic and sustainable energy system.</w:t>
      </w:r>
    </w:p>
    <w:p w14:paraId="00000068" w14:textId="77777777" w:rsidR="00F428E9" w:rsidRDefault="00803E73">
      <w:pPr>
        <w:pStyle w:val="Normal1"/>
        <w:widowControl/>
        <w:numPr>
          <w:ilvl w:val="0"/>
          <w:numId w:val="2"/>
        </w:numPr>
        <w:pBdr>
          <w:top w:val="nil"/>
          <w:left w:val="nil"/>
          <w:bottom w:val="nil"/>
          <w:right w:val="nil"/>
          <w:between w:val="nil"/>
        </w:pBdr>
        <w:ind w:right="763"/>
        <w:rPr>
          <w:color w:val="000000"/>
        </w:rPr>
      </w:pPr>
      <w:r>
        <w:rPr>
          <w:color w:val="000000"/>
        </w:rPr>
        <w:t>Community energy refers to the delivery of community-led renewable energy, energy demand reduction and energy supply projects, whether wholly owned and/or controlled by communities or through partnerships with commercial or public sector partners.</w:t>
      </w:r>
    </w:p>
    <w:p w14:paraId="00000069" w14:textId="77777777" w:rsidR="00F428E9" w:rsidRDefault="00803E73">
      <w:pPr>
        <w:pStyle w:val="Normal1"/>
        <w:widowControl/>
        <w:numPr>
          <w:ilvl w:val="0"/>
          <w:numId w:val="2"/>
        </w:numPr>
        <w:pBdr>
          <w:top w:val="nil"/>
          <w:left w:val="nil"/>
          <w:bottom w:val="nil"/>
          <w:right w:val="nil"/>
          <w:between w:val="nil"/>
        </w:pBdr>
        <w:ind w:right="763"/>
        <w:rPr>
          <w:color w:val="000000"/>
        </w:rPr>
      </w:pPr>
      <w:r>
        <w:rPr>
          <w:color w:val="000000"/>
        </w:rPr>
        <w:t>The overwhelming motivation of people and groups involved in community energy is to make a contribution to averting climate catastrophe, followed by a desire to bring community benefit.</w:t>
      </w:r>
    </w:p>
    <w:p w14:paraId="0000006A" w14:textId="77777777" w:rsidR="00F428E9" w:rsidRDefault="00803E73">
      <w:pPr>
        <w:pStyle w:val="Normal1"/>
        <w:widowControl/>
        <w:numPr>
          <w:ilvl w:val="0"/>
          <w:numId w:val="2"/>
        </w:numPr>
        <w:pBdr>
          <w:top w:val="nil"/>
          <w:left w:val="nil"/>
          <w:bottom w:val="nil"/>
          <w:right w:val="nil"/>
          <w:between w:val="nil"/>
        </w:pBdr>
        <w:ind w:right="763"/>
        <w:rPr>
          <w:color w:val="000000"/>
        </w:rPr>
      </w:pPr>
      <w:r>
        <w:rPr>
          <w:color w:val="000000"/>
        </w:rPr>
        <w:t>Community Energy England supports the increased emphasis each of the DNOs had on supporting community energy projects and we believe that some of the steps set out in each of the DNO Business Plans will go some way to positively affect the community energy sector and the development of community low carbon energy projects. However, we would like to see a unified approach to community low carbon development across all of the DNOs and would like Ofgem to issue special guidance on community energy and recognise this as a core area of work.</w:t>
      </w:r>
    </w:p>
    <w:p w14:paraId="0000006B" w14:textId="77777777" w:rsidR="00F428E9" w:rsidRDefault="00803E73">
      <w:pPr>
        <w:pStyle w:val="heading31"/>
        <w:spacing w:before="320" w:after="80"/>
        <w:rPr>
          <w:color w:val="000000"/>
          <w:u w:val="single"/>
        </w:rPr>
      </w:pPr>
      <w:r>
        <w:rPr>
          <w:rFonts w:ascii="Calibri" w:eastAsia="Calibri" w:hAnsi="Calibri" w:cs="Calibri"/>
          <w:b/>
          <w:color w:val="000000"/>
          <w:sz w:val="28"/>
          <w:szCs w:val="28"/>
          <w:u w:val="single"/>
        </w:rPr>
        <w:t>Summary of Response </w:t>
      </w:r>
    </w:p>
    <w:p w14:paraId="0000006C"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We have chosen to divide our response into 6 sections that will impact the community energy sector and that we feel are represented in each of the DNO plans to a varying degree of success, namely: connection, financial support, officer support &amp; advice, Local Area Energy Plan, data, and community energy strategy. We have also included a table ranking each of the DNO business plans against these criteria. </w:t>
      </w:r>
    </w:p>
    <w:p w14:paraId="0000006D" w14:textId="77777777" w:rsidR="00F428E9" w:rsidRDefault="00F428E9">
      <w:pPr>
        <w:pStyle w:val="Normal1"/>
      </w:pPr>
    </w:p>
    <w:p w14:paraId="0000006E"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rPr>
      </w:pPr>
      <w:r>
        <w:rPr>
          <w:b/>
          <w:color w:val="000000"/>
          <w:sz w:val="28"/>
          <w:szCs w:val="28"/>
        </w:rPr>
        <w:t>Connection</w:t>
      </w:r>
    </w:p>
    <w:p w14:paraId="0000006F"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We appreciate the reference made within each business plan to address the challenges communities currently face with connections. We are particularly pleased to see Electricity North West stating they will remove the constraints for renewable generation connection and that this has been backed up with money set aside as a delayed payment scheme for connections of community-owned low carbon technology. We also appreciate Western Powergrid’s pledge to connect a set number of community energy groups to the network each year. We would like to see these approaches taken across all of the regions.  </w:t>
      </w:r>
    </w:p>
    <w:p w14:paraId="00000070" w14:textId="77777777" w:rsidR="00F428E9" w:rsidRDefault="00F428E9">
      <w:pPr>
        <w:pStyle w:val="Normal1"/>
      </w:pPr>
    </w:p>
    <w:p w14:paraId="00000071"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Across the DNO business plans, we would like to see more clarity as to what the terminology regarding connections means in reality for the relevant communities on the ground e.g flat connection price (Northern Powergrid), flexibility first approach (Scottish and Southern Electricity Networks) and the development of innovative and lower-cost solutions to technical issues (UK Power Networks). </w:t>
      </w:r>
    </w:p>
    <w:p w14:paraId="00000072" w14:textId="77777777" w:rsidR="00F428E9" w:rsidRDefault="00F428E9">
      <w:pPr>
        <w:pStyle w:val="Normal1"/>
      </w:pPr>
    </w:p>
    <w:p w14:paraId="00000073"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rPr>
      </w:pPr>
      <w:r>
        <w:rPr>
          <w:b/>
          <w:color w:val="000000"/>
          <w:sz w:val="28"/>
          <w:szCs w:val="28"/>
        </w:rPr>
        <w:t>Financial Support</w:t>
      </w:r>
    </w:p>
    <w:p w14:paraId="00000074"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We appreciate that each of the business plans has included allocations of financial support, available to low carbon community projects. The financial support for community energy pledged in these business plans range in value from £1.95m total to £7.5m. The proposed funding opportunities also vary in their relevance to the community energy sector with some set up as social funds for a variety of community projects and some designated specifically to community low carbon projects. There is a need for a clearer approach to the financial support for community energy across the DNOs so that community energy groups can plan. We would like to see Ofgem recognise the importance of strategically funding community energy activities. </w:t>
      </w:r>
    </w:p>
    <w:p w14:paraId="00000075" w14:textId="77777777" w:rsidR="00F428E9" w:rsidRDefault="00F428E9">
      <w:pPr>
        <w:pStyle w:val="Normal1"/>
      </w:pPr>
    </w:p>
    <w:p w14:paraId="00000076"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Strategically funding these activities will also aid the provision of more real-world data on the essential role of community energy and local energy economies on the networks to better inform the provision of further funding in future business plans.</w:t>
      </w:r>
    </w:p>
    <w:p w14:paraId="00000077" w14:textId="77777777" w:rsidR="00F428E9" w:rsidRDefault="00F428E9">
      <w:pPr>
        <w:pStyle w:val="Normal1"/>
      </w:pPr>
    </w:p>
    <w:p w14:paraId="00000078"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We would like to see all DNOs providing proportionally the same level of support that SP Energy Networks has pledged; a ring-fenced 25% of a larger Net Zero fund surmounting to £7.5 million set aside specifically for low carbon community projects. </w:t>
      </w:r>
    </w:p>
    <w:p w14:paraId="00000079" w14:textId="77777777" w:rsidR="00F428E9" w:rsidRDefault="00F428E9">
      <w:pPr>
        <w:pStyle w:val="Normal1"/>
      </w:pPr>
    </w:p>
    <w:p w14:paraId="0000007A"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 xml:space="preserve">We welcome the approach taken by Electricity North West, increasing funding for community energy by increments each year of the business plan as we believe this will </w:t>
      </w:r>
      <w:r>
        <w:rPr>
          <w:color w:val="3C4043"/>
          <w:highlight w:val="white"/>
        </w:rPr>
        <w:t>facilitate the growth of the sector. We note, however, that their fund is the lowest in total which we feel significantly underestimates the potential for growth in their area.</w:t>
      </w:r>
      <w:r>
        <w:rPr>
          <w:color w:val="000000"/>
        </w:rPr>
        <w:t xml:space="preserve"> We also appreciate UK Power Networks dedication to tackling fuel poverty and Western Power Distribution's specific reference to CE solar schools both showing their support with a small specifically allocated fund. However, we would like to see these proposals and approaches replicated across all of the DNOs. </w:t>
      </w:r>
    </w:p>
    <w:p w14:paraId="0000007B" w14:textId="77777777" w:rsidR="00F428E9" w:rsidRDefault="00F428E9">
      <w:pPr>
        <w:pStyle w:val="Normal1"/>
      </w:pPr>
    </w:p>
    <w:p w14:paraId="0000007C"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rPr>
      </w:pPr>
      <w:r>
        <w:rPr>
          <w:b/>
          <w:color w:val="000000"/>
          <w:sz w:val="28"/>
          <w:szCs w:val="28"/>
        </w:rPr>
        <w:t>Officer Support &amp; Advice</w:t>
      </w:r>
    </w:p>
    <w:p w14:paraId="0000007D"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We appreciate the commitment all DNOs made to providing advisory services and increasing access to information and guidance. Again the level of support varies across the DNO regions with the greatest increase in support by Northern Powergrid &amp; Western Power Distribution who are both increasing their community energy team by 4. We particularly acknowledge those DNOs that have specified that they will assist communities with funding applications (Western Power Distribution &amp; Electricity North West), connections (Electricity North West) and fuel poverty (Scottish and Southern Electricity Networks).  </w:t>
      </w:r>
    </w:p>
    <w:p w14:paraId="0000007E" w14:textId="77777777" w:rsidR="00F428E9" w:rsidRDefault="00F428E9">
      <w:pPr>
        <w:pStyle w:val="Normal1"/>
      </w:pPr>
    </w:p>
    <w:p w14:paraId="0000007F"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However, we have concerns about how quickly the teams will grow whilst ensuring the recruitment of people with the correct skillset and what the positive impact will be within the sector in comparison to utilising the money for increased funding opportunities. Although we appreciate the increase in support for the sector, we have noted that none of the DNOs has specified when these expanded teams would be up to capacity. </w:t>
      </w:r>
    </w:p>
    <w:p w14:paraId="00000080" w14:textId="77777777" w:rsidR="00F428E9" w:rsidRDefault="00F428E9">
      <w:pPr>
        <w:pStyle w:val="Normal1"/>
      </w:pPr>
    </w:p>
    <w:p w14:paraId="00000081" w14:textId="77777777" w:rsidR="00F428E9" w:rsidRDefault="00803E73">
      <w:pPr>
        <w:pStyle w:val="Normal1"/>
        <w:widowControl/>
        <w:pBdr>
          <w:top w:val="nil"/>
          <w:left w:val="nil"/>
          <w:bottom w:val="nil"/>
          <w:right w:val="nil"/>
          <w:between w:val="nil"/>
        </w:pBdr>
        <w:rPr>
          <w:color w:val="000000"/>
        </w:rPr>
      </w:pPr>
      <w:r>
        <w:rPr>
          <w:color w:val="000000"/>
        </w:rPr>
        <w:t xml:space="preserve">Alternative forms of advice and support are also being offered which we expect to be valued by the community energy sector. These include the provision of an increased number of forums per year </w:t>
      </w:r>
    </w:p>
    <w:p w14:paraId="00000082"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(Northern Powergrid) and an increased number of open surgeries and themed guides (Western Power Distribution).</w:t>
      </w:r>
    </w:p>
    <w:p w14:paraId="00000083" w14:textId="77777777" w:rsidR="00F428E9" w:rsidRDefault="00F428E9">
      <w:pPr>
        <w:pStyle w:val="Normal1"/>
      </w:pPr>
    </w:p>
    <w:p w14:paraId="00000084"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rPr>
      </w:pPr>
      <w:r>
        <w:rPr>
          <w:b/>
          <w:color w:val="000000"/>
          <w:sz w:val="28"/>
          <w:szCs w:val="28"/>
        </w:rPr>
        <w:t>Local Area Energy Planning (LAEP)</w:t>
      </w:r>
    </w:p>
    <w:p w14:paraId="00000085"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We support the Energy Systems Catapult and several DNOs in thinking that Local Area Energy Planning (LAEP), with community energy involved from the outset, is key to strategically planning the energy transition.</w:t>
      </w:r>
    </w:p>
    <w:p w14:paraId="00000086" w14:textId="77777777" w:rsidR="00F428E9" w:rsidRDefault="00F428E9">
      <w:pPr>
        <w:pStyle w:val="Normal1"/>
      </w:pPr>
    </w:p>
    <w:p w14:paraId="00000087"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We appreciate those DNOs that have chosen to allocate new staff assigned specifically, or with a focus, on Local Area Energy Plans (Electricity North West, Northern Powergrid &amp; UK Power Networks). The greatest contribution to this is by UK Power Networks with 20 new staff members being added, stating that they will work specifically with community energy groups, amongst other stakeholders, to develop actionable decarbonisation plans. This connection between LAEP and community energy seems to be implied in the remit of the SP Energy Networks community energy team but should be made more explicit in DNO business plans. Northern Powergrid is also bringing in 6 new LAEP staff members, adding to their 6 support staff.  Although Electricity North West is only recruiting 3 new energy planning engineers, fewer than some of the other DNOs, we appreciate their proposed process to ensure a whole system approach is embedded into the LAEPs. </w:t>
      </w:r>
    </w:p>
    <w:p w14:paraId="00000088" w14:textId="77777777" w:rsidR="00F428E9" w:rsidRDefault="00F428E9">
      <w:pPr>
        <w:pStyle w:val="Normal1"/>
      </w:pPr>
    </w:p>
    <w:p w14:paraId="00000089"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We would like to see all of the DNOs contributing to and resourcing Local Area Energy Planning in a way that embeds a whole system approach with community energy at the core. </w:t>
      </w:r>
    </w:p>
    <w:p w14:paraId="0000008A" w14:textId="77777777" w:rsidR="00F428E9" w:rsidRDefault="00F428E9">
      <w:pPr>
        <w:pStyle w:val="Normal1"/>
      </w:pPr>
    </w:p>
    <w:p w14:paraId="0000008B"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rPr>
      </w:pPr>
      <w:r>
        <w:rPr>
          <w:b/>
          <w:color w:val="000000"/>
          <w:sz w:val="28"/>
          <w:szCs w:val="28"/>
        </w:rPr>
        <w:t>Data</w:t>
      </w:r>
    </w:p>
    <w:p w14:paraId="0000008C"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r>
        <w:rPr>
          <w:color w:val="000000"/>
        </w:rPr>
        <w:t>We welcome the intentions set by a majority of the DNOs to be more open about sharing their data and note that several of the DNOs say that this will be available to be utilised by CE groups to enable a whole system approach (Electricity North West, Northern Powergrid, Scottish and Southern Electricity Networks). We particularly welcome the proposal to create an online data portal by both Northern Powergrid and Scottish and Southern Electricity Networks and the detail provided by Electricity North West that they will openly publish information on all network constraints.  </w:t>
      </w:r>
    </w:p>
    <w:p w14:paraId="0000008D" w14:textId="77777777" w:rsidR="00F428E9" w:rsidRDefault="00F428E9">
      <w:pPr>
        <w:pStyle w:val="Normal1"/>
      </w:pPr>
    </w:p>
    <w:p w14:paraId="0000008E"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rPr>
      </w:pPr>
      <w:r>
        <w:rPr>
          <w:b/>
          <w:color w:val="000000"/>
          <w:sz w:val="28"/>
          <w:szCs w:val="28"/>
        </w:rPr>
        <w:t>Dedicated CE Strategy</w:t>
      </w:r>
    </w:p>
    <w:p w14:paraId="0000008F" w14:textId="77777777" w:rsidR="00F428E9" w:rsidRDefault="00803E73">
      <w:pPr>
        <w:pStyle w:val="Normal1"/>
        <w:widowControl/>
        <w:pBdr>
          <w:top w:val="nil"/>
          <w:left w:val="nil"/>
          <w:bottom w:val="nil"/>
          <w:right w:val="nil"/>
          <w:between w:val="nil"/>
        </w:pBdr>
        <w:rPr>
          <w:color w:val="000000"/>
        </w:rPr>
      </w:pPr>
      <w:r>
        <w:rPr>
          <w:color w:val="000000"/>
        </w:rPr>
        <w:t>Finally, we appreciate those DNOs that have created a dedicated CE strategy within their business plans (Electricity North West &amp; SP Energy Networks). However, we would urge Ofgem to make the provision of a Community Energy Strategy a DNO requirement within all business plans to ensure that the community energy sector is evenly represented and supported across the nation. </w:t>
      </w:r>
    </w:p>
    <w:p w14:paraId="00000090" w14:textId="77777777" w:rsidR="00F428E9" w:rsidRDefault="00F428E9">
      <w:pPr>
        <w:pStyle w:val="Normal1"/>
        <w:widowControl/>
        <w:pBdr>
          <w:top w:val="nil"/>
          <w:left w:val="nil"/>
          <w:bottom w:val="nil"/>
          <w:right w:val="nil"/>
          <w:between w:val="nil"/>
        </w:pBdr>
        <w:rPr>
          <w:rFonts w:ascii="Times New Roman" w:eastAsia="Times New Roman" w:hAnsi="Times New Roman" w:cs="Times New Roman"/>
          <w:color w:val="000000"/>
          <w:sz w:val="28"/>
          <w:szCs w:val="28"/>
        </w:rPr>
      </w:pPr>
    </w:p>
    <w:p w14:paraId="00000091"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rPr>
      </w:pPr>
      <w:r>
        <w:rPr>
          <w:b/>
          <w:color w:val="000000"/>
          <w:sz w:val="28"/>
          <w:szCs w:val="28"/>
        </w:rPr>
        <w:t>Questions for the DNOs</w:t>
      </w:r>
    </w:p>
    <w:p w14:paraId="00000092" w14:textId="77777777" w:rsidR="00F428E9" w:rsidRDefault="00803E73">
      <w:pPr>
        <w:pStyle w:val="Normal1"/>
        <w:widowControl/>
        <w:numPr>
          <w:ilvl w:val="0"/>
          <w:numId w:val="3"/>
        </w:numPr>
        <w:pBdr>
          <w:top w:val="nil"/>
          <w:left w:val="nil"/>
          <w:bottom w:val="nil"/>
          <w:right w:val="nil"/>
          <w:between w:val="nil"/>
        </w:pBdr>
        <w:rPr>
          <w:color w:val="000000"/>
        </w:rPr>
      </w:pPr>
      <w:r>
        <w:rPr>
          <w:color w:val="000000"/>
        </w:rPr>
        <w:t>Looking at the traffic light system in the analysis table below how could you (each DNO)  improve upon those sections marked red/orange and how can you be more specific in your commitments to community energy? </w:t>
      </w:r>
    </w:p>
    <w:p w14:paraId="00000093" w14:textId="77777777" w:rsidR="00F428E9" w:rsidRDefault="00803E73">
      <w:pPr>
        <w:pStyle w:val="Normal1"/>
        <w:widowControl/>
        <w:numPr>
          <w:ilvl w:val="0"/>
          <w:numId w:val="3"/>
        </w:numPr>
        <w:pBdr>
          <w:top w:val="nil"/>
          <w:left w:val="nil"/>
          <w:bottom w:val="nil"/>
          <w:right w:val="nil"/>
          <w:between w:val="nil"/>
        </w:pBdr>
        <w:rPr>
          <w:color w:val="000000"/>
        </w:rPr>
      </w:pPr>
      <w:r>
        <w:rPr>
          <w:color w:val="000000"/>
        </w:rPr>
        <w:t>Will the DNOs that don’t have a CE strategy consider drafting one? (Northern Powergrid, Scottish and Southern Electricity Networks, UK Power Networks &amp; Western Power Distribution)</w:t>
      </w:r>
    </w:p>
    <w:p w14:paraId="00000094" w14:textId="77777777" w:rsidR="00F428E9" w:rsidRDefault="00803E73">
      <w:pPr>
        <w:pStyle w:val="Normal1"/>
        <w:widowControl/>
        <w:numPr>
          <w:ilvl w:val="0"/>
          <w:numId w:val="3"/>
        </w:numPr>
        <w:pBdr>
          <w:top w:val="nil"/>
          <w:left w:val="nil"/>
          <w:bottom w:val="nil"/>
          <w:right w:val="nil"/>
          <w:between w:val="nil"/>
        </w:pBdr>
        <w:rPr>
          <w:color w:val="000000"/>
        </w:rPr>
      </w:pPr>
      <w:r>
        <w:rPr>
          <w:color w:val="000000"/>
        </w:rPr>
        <w:t>What can those DNOs that have engaged less with community energy do to engage better with Community Energy England and community energy groups? </w:t>
      </w:r>
    </w:p>
    <w:p w14:paraId="00000095" w14:textId="77777777" w:rsidR="00F428E9" w:rsidRDefault="00803E73">
      <w:pPr>
        <w:pStyle w:val="Normal1"/>
        <w:spacing w:after="240"/>
        <w:sectPr w:rsidR="00F428E9">
          <w:headerReference w:type="even" r:id="rId14"/>
          <w:headerReference w:type="default" r:id="rId15"/>
          <w:footerReference w:type="even" r:id="rId16"/>
          <w:footerReference w:type="default" r:id="rId17"/>
          <w:headerReference w:type="first" r:id="rId18"/>
          <w:footerReference w:type="first" r:id="rId19"/>
          <w:pgSz w:w="11906" w:h="16838"/>
          <w:pgMar w:top="1276" w:right="991" w:bottom="851" w:left="1080" w:header="720" w:footer="720" w:gutter="0"/>
          <w:pgNumType w:start="1"/>
          <w:cols w:space="720"/>
          <w:titlePg/>
        </w:sectPr>
      </w:pPr>
      <w:r>
        <w:br/>
      </w:r>
      <w:r>
        <w:rPr>
          <w:b/>
          <w:color w:val="000000"/>
          <w:sz w:val="28"/>
          <w:szCs w:val="28"/>
        </w:rPr>
        <w:t>Analysis Table</w:t>
      </w:r>
      <w:r>
        <w:rPr>
          <w:color w:val="000000"/>
        </w:rPr>
        <w:t> </w:t>
      </w:r>
      <w:r>
        <w:br/>
      </w:r>
      <w:r>
        <w:rPr>
          <w:color w:val="000000"/>
        </w:rPr>
        <w:t xml:space="preserve">Community Energy England has created a table (see below) that directly compares the business plans of each of the DNOs in regards to how they impact the community energy sector. The table contains information pulled directly from each of the business plans under the same headings used above. A traffic light system has been used to differentiate those proposals we deem to be </w:t>
      </w:r>
      <w:r>
        <w:rPr>
          <w:color w:val="000000"/>
          <w:shd w:val="clear" w:color="auto" w:fill="B6D7A8"/>
        </w:rPr>
        <w:t>good for the sector (green)</w:t>
      </w:r>
      <w:r>
        <w:rPr>
          <w:color w:val="000000"/>
        </w:rPr>
        <w:t xml:space="preserve">, </w:t>
      </w:r>
      <w:r>
        <w:rPr>
          <w:color w:val="000000"/>
          <w:shd w:val="clear" w:color="auto" w:fill="F9CB9C"/>
        </w:rPr>
        <w:t>maybe good (orange)</w:t>
      </w:r>
      <w:r>
        <w:rPr>
          <w:color w:val="000000"/>
        </w:rPr>
        <w:t xml:space="preserve"> and </w:t>
      </w:r>
      <w:r>
        <w:rPr>
          <w:color w:val="000000"/>
          <w:shd w:val="clear" w:color="auto" w:fill="F4CCCC"/>
        </w:rPr>
        <w:t>could be improved (red)</w:t>
      </w:r>
      <w:r>
        <w:rPr>
          <w:color w:val="000000"/>
        </w:rPr>
        <w:t>. An overall ranking and comments have also been included. We have created this with the intention that it would be passed directly to the DNOs so they are made aware of how they compare to other DNOs.</w:t>
      </w:r>
    </w:p>
    <w:p w14:paraId="00000096" w14:textId="77777777" w:rsidR="00F428E9" w:rsidRDefault="00F428E9">
      <w:pPr>
        <w:pStyle w:val="Normal1"/>
        <w:pBdr>
          <w:top w:val="nil"/>
          <w:left w:val="nil"/>
          <w:bottom w:val="nil"/>
          <w:right w:val="nil"/>
          <w:between w:val="nil"/>
        </w:pBdr>
        <w:spacing w:line="276" w:lineRule="auto"/>
      </w:pPr>
    </w:p>
    <w:tbl>
      <w:tblPr>
        <w:tblStyle w:val="a0"/>
        <w:tblW w:w="14220" w:type="dxa"/>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15"/>
        <w:gridCol w:w="150"/>
        <w:gridCol w:w="1335"/>
        <w:gridCol w:w="2100"/>
        <w:gridCol w:w="1965"/>
        <w:gridCol w:w="1305"/>
        <w:gridCol w:w="1515"/>
        <w:gridCol w:w="1395"/>
        <w:gridCol w:w="525"/>
        <w:gridCol w:w="1815"/>
      </w:tblGrid>
      <w:tr w:rsidR="00F428E9" w14:paraId="24BEE014" w14:textId="77777777">
        <w:trPr>
          <w:trHeight w:val="573"/>
        </w:trPr>
        <w:tc>
          <w:tcPr>
            <w:tcW w:w="2265" w:type="dxa"/>
            <w:gridSpan w:val="2"/>
          </w:tcPr>
          <w:p w14:paraId="00000097"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335" w:type="dxa"/>
          </w:tcPr>
          <w:p w14:paraId="00000099" w14:textId="77777777" w:rsidR="00F428E9" w:rsidRDefault="00F428E9">
            <w:pPr>
              <w:pStyle w:val="Normal1"/>
              <w:pBdr>
                <w:top w:val="nil"/>
                <w:left w:val="nil"/>
                <w:bottom w:val="nil"/>
                <w:right w:val="nil"/>
                <w:between w:val="nil"/>
              </w:pBdr>
              <w:spacing w:before="3" w:line="240" w:lineRule="auto"/>
              <w:rPr>
                <w:color w:val="000000"/>
                <w:sz w:val="16"/>
                <w:szCs w:val="16"/>
              </w:rPr>
            </w:pPr>
          </w:p>
          <w:p w14:paraId="0000009A" w14:textId="77777777" w:rsidR="00F428E9" w:rsidRDefault="00803E73">
            <w:pPr>
              <w:pStyle w:val="Normal1"/>
              <w:pBdr>
                <w:top w:val="nil"/>
                <w:left w:val="nil"/>
                <w:bottom w:val="nil"/>
                <w:right w:val="nil"/>
                <w:between w:val="nil"/>
              </w:pBdr>
              <w:spacing w:line="240" w:lineRule="auto"/>
              <w:ind w:left="471"/>
              <w:rPr>
                <w:b/>
                <w:color w:val="000000"/>
                <w:sz w:val="15"/>
                <w:szCs w:val="15"/>
              </w:rPr>
            </w:pPr>
            <w:r>
              <w:rPr>
                <w:b/>
                <w:color w:val="000000"/>
                <w:sz w:val="15"/>
                <w:szCs w:val="15"/>
              </w:rPr>
              <w:t>Connection</w:t>
            </w:r>
          </w:p>
        </w:tc>
        <w:tc>
          <w:tcPr>
            <w:tcW w:w="2100" w:type="dxa"/>
          </w:tcPr>
          <w:p w14:paraId="0000009B" w14:textId="77777777" w:rsidR="00F428E9" w:rsidRDefault="00F428E9">
            <w:pPr>
              <w:pStyle w:val="Normal1"/>
              <w:pBdr>
                <w:top w:val="nil"/>
                <w:left w:val="nil"/>
                <w:bottom w:val="nil"/>
                <w:right w:val="nil"/>
                <w:between w:val="nil"/>
              </w:pBdr>
              <w:spacing w:before="3" w:line="240" w:lineRule="auto"/>
              <w:rPr>
                <w:color w:val="000000"/>
                <w:sz w:val="16"/>
                <w:szCs w:val="16"/>
              </w:rPr>
            </w:pPr>
          </w:p>
          <w:p w14:paraId="0000009C" w14:textId="77777777" w:rsidR="00F428E9" w:rsidRDefault="00803E73">
            <w:pPr>
              <w:pStyle w:val="Normal1"/>
              <w:pBdr>
                <w:top w:val="nil"/>
                <w:left w:val="nil"/>
                <w:bottom w:val="nil"/>
                <w:right w:val="nil"/>
                <w:between w:val="nil"/>
              </w:pBdr>
              <w:spacing w:line="240" w:lineRule="auto"/>
              <w:ind w:left="791"/>
              <w:rPr>
                <w:b/>
                <w:color w:val="000000"/>
                <w:sz w:val="15"/>
                <w:szCs w:val="15"/>
              </w:rPr>
            </w:pPr>
            <w:r>
              <w:rPr>
                <w:b/>
                <w:color w:val="000000"/>
                <w:sz w:val="15"/>
                <w:szCs w:val="15"/>
              </w:rPr>
              <w:t>Financial Support</w:t>
            </w:r>
          </w:p>
        </w:tc>
        <w:tc>
          <w:tcPr>
            <w:tcW w:w="1965" w:type="dxa"/>
          </w:tcPr>
          <w:p w14:paraId="0000009D" w14:textId="77777777" w:rsidR="00F428E9" w:rsidRDefault="00F428E9">
            <w:pPr>
              <w:pStyle w:val="Normal1"/>
              <w:pBdr>
                <w:top w:val="nil"/>
                <w:left w:val="nil"/>
                <w:bottom w:val="nil"/>
                <w:right w:val="nil"/>
                <w:between w:val="nil"/>
              </w:pBdr>
              <w:spacing w:before="3" w:line="240" w:lineRule="auto"/>
              <w:rPr>
                <w:color w:val="000000"/>
                <w:sz w:val="16"/>
                <w:szCs w:val="16"/>
              </w:rPr>
            </w:pPr>
          </w:p>
          <w:p w14:paraId="0000009E" w14:textId="77777777" w:rsidR="00F428E9" w:rsidRDefault="00803E73">
            <w:pPr>
              <w:pStyle w:val="Normal1"/>
              <w:pBdr>
                <w:top w:val="nil"/>
                <w:left w:val="nil"/>
                <w:bottom w:val="nil"/>
                <w:right w:val="nil"/>
                <w:between w:val="nil"/>
              </w:pBdr>
              <w:spacing w:line="240" w:lineRule="auto"/>
              <w:ind w:left="437"/>
              <w:rPr>
                <w:b/>
                <w:color w:val="000000"/>
                <w:sz w:val="15"/>
                <w:szCs w:val="15"/>
              </w:rPr>
            </w:pPr>
            <w:r>
              <w:rPr>
                <w:b/>
                <w:color w:val="000000"/>
                <w:sz w:val="15"/>
                <w:szCs w:val="15"/>
              </w:rPr>
              <w:t>Officer Support &amp; Advice</w:t>
            </w:r>
          </w:p>
        </w:tc>
        <w:tc>
          <w:tcPr>
            <w:tcW w:w="1305" w:type="dxa"/>
          </w:tcPr>
          <w:p w14:paraId="0000009F" w14:textId="77777777" w:rsidR="00F428E9" w:rsidRDefault="00F428E9">
            <w:pPr>
              <w:pStyle w:val="Normal1"/>
              <w:pBdr>
                <w:top w:val="nil"/>
                <w:left w:val="nil"/>
                <w:bottom w:val="nil"/>
                <w:right w:val="nil"/>
                <w:between w:val="nil"/>
              </w:pBdr>
              <w:spacing w:before="3" w:line="240" w:lineRule="auto"/>
              <w:rPr>
                <w:color w:val="000000"/>
                <w:sz w:val="16"/>
                <w:szCs w:val="16"/>
              </w:rPr>
            </w:pPr>
          </w:p>
          <w:p w14:paraId="000000A0" w14:textId="77777777" w:rsidR="00F428E9" w:rsidRDefault="00803E73">
            <w:pPr>
              <w:pStyle w:val="Normal1"/>
              <w:pBdr>
                <w:top w:val="nil"/>
                <w:left w:val="nil"/>
                <w:bottom w:val="nil"/>
                <w:right w:val="nil"/>
                <w:between w:val="nil"/>
              </w:pBdr>
              <w:spacing w:line="240" w:lineRule="auto"/>
              <w:ind w:left="667" w:right="677"/>
              <w:jc w:val="center"/>
              <w:rPr>
                <w:b/>
                <w:color w:val="000000"/>
                <w:sz w:val="15"/>
                <w:szCs w:val="15"/>
              </w:rPr>
            </w:pPr>
            <w:r>
              <w:rPr>
                <w:b/>
                <w:color w:val="000000"/>
                <w:sz w:val="15"/>
                <w:szCs w:val="15"/>
              </w:rPr>
              <w:t>LAEP</w:t>
            </w:r>
          </w:p>
        </w:tc>
        <w:tc>
          <w:tcPr>
            <w:tcW w:w="1515" w:type="dxa"/>
          </w:tcPr>
          <w:p w14:paraId="000000A1" w14:textId="77777777" w:rsidR="00F428E9" w:rsidRDefault="00F428E9">
            <w:pPr>
              <w:pStyle w:val="Normal1"/>
              <w:pBdr>
                <w:top w:val="nil"/>
                <w:left w:val="nil"/>
                <w:bottom w:val="nil"/>
                <w:right w:val="nil"/>
                <w:between w:val="nil"/>
              </w:pBdr>
              <w:spacing w:before="3" w:line="240" w:lineRule="auto"/>
              <w:rPr>
                <w:color w:val="000000"/>
                <w:sz w:val="16"/>
                <w:szCs w:val="16"/>
              </w:rPr>
            </w:pPr>
          </w:p>
          <w:p w14:paraId="000000A2" w14:textId="77777777" w:rsidR="00F428E9" w:rsidRDefault="00803E73">
            <w:pPr>
              <w:pStyle w:val="Normal1"/>
              <w:pBdr>
                <w:top w:val="nil"/>
                <w:left w:val="nil"/>
                <w:bottom w:val="nil"/>
                <w:right w:val="nil"/>
                <w:between w:val="nil"/>
              </w:pBdr>
              <w:spacing w:line="240" w:lineRule="auto"/>
              <w:ind w:left="818" w:right="871"/>
              <w:jc w:val="center"/>
              <w:rPr>
                <w:b/>
                <w:color w:val="000000"/>
                <w:sz w:val="15"/>
                <w:szCs w:val="15"/>
              </w:rPr>
            </w:pPr>
            <w:r>
              <w:rPr>
                <w:b/>
                <w:color w:val="000000"/>
                <w:sz w:val="15"/>
                <w:szCs w:val="15"/>
              </w:rPr>
              <w:t>Data</w:t>
            </w:r>
          </w:p>
        </w:tc>
        <w:tc>
          <w:tcPr>
            <w:tcW w:w="1395" w:type="dxa"/>
          </w:tcPr>
          <w:p w14:paraId="000000A3" w14:textId="77777777" w:rsidR="00F428E9" w:rsidRDefault="00F428E9">
            <w:pPr>
              <w:pStyle w:val="Normal1"/>
              <w:pBdr>
                <w:top w:val="nil"/>
                <w:left w:val="nil"/>
                <w:bottom w:val="nil"/>
                <w:right w:val="nil"/>
                <w:between w:val="nil"/>
              </w:pBdr>
              <w:spacing w:before="3" w:line="240" w:lineRule="auto"/>
              <w:rPr>
                <w:color w:val="000000"/>
                <w:sz w:val="16"/>
                <w:szCs w:val="16"/>
              </w:rPr>
            </w:pPr>
          </w:p>
          <w:p w14:paraId="000000A4" w14:textId="77777777" w:rsidR="00F428E9" w:rsidRDefault="00803E73">
            <w:pPr>
              <w:pStyle w:val="Normal1"/>
              <w:pBdr>
                <w:top w:val="nil"/>
                <w:left w:val="nil"/>
                <w:bottom w:val="nil"/>
                <w:right w:val="nil"/>
                <w:between w:val="nil"/>
              </w:pBdr>
              <w:spacing w:line="240" w:lineRule="auto"/>
              <w:ind w:left="125"/>
              <w:rPr>
                <w:b/>
                <w:color w:val="000000"/>
                <w:sz w:val="15"/>
                <w:szCs w:val="15"/>
              </w:rPr>
            </w:pPr>
            <w:r>
              <w:rPr>
                <w:b/>
                <w:color w:val="000000"/>
                <w:sz w:val="15"/>
                <w:szCs w:val="15"/>
              </w:rPr>
              <w:t>Dedicated CE Strategy</w:t>
            </w:r>
          </w:p>
        </w:tc>
        <w:tc>
          <w:tcPr>
            <w:tcW w:w="525" w:type="dxa"/>
          </w:tcPr>
          <w:p w14:paraId="000000A5" w14:textId="77777777" w:rsidR="00F428E9" w:rsidRDefault="00803E73">
            <w:pPr>
              <w:pStyle w:val="Normal1"/>
              <w:pBdr>
                <w:top w:val="nil"/>
                <w:left w:val="nil"/>
                <w:bottom w:val="nil"/>
                <w:right w:val="nil"/>
                <w:between w:val="nil"/>
              </w:pBdr>
              <w:spacing w:before="95" w:line="240" w:lineRule="auto"/>
              <w:ind w:left="9" w:right="54"/>
              <w:jc w:val="center"/>
              <w:rPr>
                <w:b/>
                <w:color w:val="000000"/>
                <w:sz w:val="15"/>
                <w:szCs w:val="15"/>
              </w:rPr>
            </w:pPr>
            <w:r>
              <w:rPr>
                <w:b/>
                <w:color w:val="000000"/>
                <w:sz w:val="15"/>
                <w:szCs w:val="15"/>
              </w:rPr>
              <w:t>CEE</w:t>
            </w:r>
          </w:p>
          <w:p w14:paraId="000000A6" w14:textId="77777777" w:rsidR="00F428E9" w:rsidRDefault="00803E73">
            <w:pPr>
              <w:pStyle w:val="Normal1"/>
              <w:pBdr>
                <w:top w:val="nil"/>
                <w:left w:val="nil"/>
                <w:bottom w:val="nil"/>
                <w:right w:val="nil"/>
                <w:between w:val="nil"/>
              </w:pBdr>
              <w:spacing w:before="3" w:line="240" w:lineRule="auto"/>
              <w:ind w:left="46" w:right="54"/>
              <w:jc w:val="center"/>
              <w:rPr>
                <w:b/>
                <w:color w:val="000000"/>
                <w:sz w:val="15"/>
                <w:szCs w:val="15"/>
              </w:rPr>
            </w:pPr>
            <w:r>
              <w:rPr>
                <w:b/>
                <w:color w:val="000000"/>
                <w:sz w:val="15"/>
                <w:szCs w:val="15"/>
              </w:rPr>
              <w:t>Ranking</w:t>
            </w:r>
          </w:p>
        </w:tc>
        <w:tc>
          <w:tcPr>
            <w:tcW w:w="1815" w:type="dxa"/>
          </w:tcPr>
          <w:p w14:paraId="000000A7" w14:textId="77777777" w:rsidR="00F428E9" w:rsidRDefault="00F428E9">
            <w:pPr>
              <w:pStyle w:val="Normal1"/>
              <w:pBdr>
                <w:top w:val="nil"/>
                <w:left w:val="nil"/>
                <w:bottom w:val="nil"/>
                <w:right w:val="nil"/>
                <w:between w:val="nil"/>
              </w:pBdr>
              <w:spacing w:before="3" w:line="240" w:lineRule="auto"/>
              <w:rPr>
                <w:color w:val="000000"/>
                <w:sz w:val="16"/>
                <w:szCs w:val="16"/>
              </w:rPr>
            </w:pPr>
          </w:p>
          <w:p w14:paraId="000000A8" w14:textId="77777777" w:rsidR="00F428E9" w:rsidRDefault="00803E73">
            <w:pPr>
              <w:pStyle w:val="Normal1"/>
              <w:pBdr>
                <w:top w:val="nil"/>
                <w:left w:val="nil"/>
                <w:bottom w:val="nil"/>
                <w:right w:val="nil"/>
                <w:between w:val="nil"/>
              </w:pBdr>
              <w:spacing w:line="240" w:lineRule="auto"/>
              <w:ind w:left="664"/>
              <w:rPr>
                <w:b/>
                <w:color w:val="000000"/>
                <w:sz w:val="15"/>
                <w:szCs w:val="15"/>
              </w:rPr>
            </w:pPr>
            <w:r>
              <w:rPr>
                <w:b/>
                <w:color w:val="000000"/>
                <w:sz w:val="15"/>
                <w:szCs w:val="15"/>
              </w:rPr>
              <w:t>CEE Comments</w:t>
            </w:r>
          </w:p>
        </w:tc>
      </w:tr>
      <w:tr w:rsidR="00F428E9" w14:paraId="30785E0B" w14:textId="77777777">
        <w:trPr>
          <w:trHeight w:val="1008"/>
        </w:trPr>
        <w:tc>
          <w:tcPr>
            <w:tcW w:w="2265" w:type="dxa"/>
            <w:gridSpan w:val="2"/>
            <w:tcBorders>
              <w:bottom w:val="nil"/>
            </w:tcBorders>
          </w:tcPr>
          <w:p w14:paraId="000000A9" w14:textId="77777777" w:rsidR="00F428E9" w:rsidRDefault="00F428E9">
            <w:pPr>
              <w:pStyle w:val="Normal1"/>
              <w:pBdr>
                <w:top w:val="nil"/>
                <w:left w:val="nil"/>
                <w:bottom w:val="nil"/>
                <w:right w:val="nil"/>
                <w:between w:val="nil"/>
              </w:pBdr>
              <w:spacing w:line="240" w:lineRule="auto"/>
              <w:rPr>
                <w:color w:val="000000"/>
                <w:sz w:val="18"/>
                <w:szCs w:val="18"/>
              </w:rPr>
            </w:pPr>
          </w:p>
          <w:p w14:paraId="000000AA" w14:textId="77777777" w:rsidR="00F428E9" w:rsidRDefault="00F428E9">
            <w:pPr>
              <w:pStyle w:val="Normal1"/>
              <w:pBdr>
                <w:top w:val="nil"/>
                <w:left w:val="nil"/>
                <w:bottom w:val="nil"/>
                <w:right w:val="nil"/>
                <w:between w:val="nil"/>
              </w:pBdr>
              <w:spacing w:line="240" w:lineRule="auto"/>
              <w:rPr>
                <w:color w:val="000000"/>
                <w:sz w:val="18"/>
                <w:szCs w:val="18"/>
              </w:rPr>
            </w:pPr>
          </w:p>
          <w:p w14:paraId="000000AB" w14:textId="77777777" w:rsidR="00F428E9" w:rsidRDefault="00F428E9">
            <w:pPr>
              <w:pStyle w:val="Normal1"/>
              <w:pBdr>
                <w:top w:val="nil"/>
                <w:left w:val="nil"/>
                <w:bottom w:val="nil"/>
                <w:right w:val="nil"/>
                <w:between w:val="nil"/>
              </w:pBdr>
              <w:spacing w:line="240" w:lineRule="auto"/>
              <w:rPr>
                <w:color w:val="000000"/>
                <w:sz w:val="18"/>
                <w:szCs w:val="18"/>
              </w:rPr>
            </w:pPr>
          </w:p>
          <w:p w14:paraId="000000AC" w14:textId="77777777" w:rsidR="00F428E9" w:rsidRDefault="00F428E9">
            <w:pPr>
              <w:pStyle w:val="Normal1"/>
              <w:pBdr>
                <w:top w:val="nil"/>
                <w:left w:val="nil"/>
                <w:bottom w:val="nil"/>
                <w:right w:val="nil"/>
                <w:between w:val="nil"/>
              </w:pBdr>
              <w:spacing w:before="8" w:line="240" w:lineRule="auto"/>
              <w:rPr>
                <w:color w:val="000000"/>
                <w:sz w:val="18"/>
                <w:szCs w:val="18"/>
              </w:rPr>
            </w:pPr>
          </w:p>
          <w:p w14:paraId="000000AD" w14:textId="77777777" w:rsidR="00F428E9" w:rsidRDefault="00840A7E">
            <w:pPr>
              <w:pStyle w:val="Normal1"/>
              <w:pBdr>
                <w:top w:val="nil"/>
                <w:left w:val="nil"/>
                <w:bottom w:val="nil"/>
                <w:right w:val="nil"/>
                <w:between w:val="nil"/>
              </w:pBdr>
              <w:spacing w:line="142" w:lineRule="auto"/>
              <w:ind w:left="24"/>
              <w:rPr>
                <w:color w:val="000000"/>
                <w:sz w:val="15"/>
                <w:szCs w:val="15"/>
              </w:rPr>
            </w:pPr>
            <w:hyperlink r:id="rId20">
              <w:r w:rsidR="00803E73">
                <w:rPr>
                  <w:color w:val="000000"/>
                  <w:sz w:val="15"/>
                  <w:szCs w:val="15"/>
                </w:rPr>
                <w:t>Electricity North West</w:t>
              </w:r>
            </w:hyperlink>
          </w:p>
        </w:tc>
        <w:tc>
          <w:tcPr>
            <w:tcW w:w="1335" w:type="dxa"/>
            <w:vMerge w:val="restart"/>
            <w:shd w:val="clear" w:color="auto" w:fill="B6D7A8"/>
          </w:tcPr>
          <w:p w14:paraId="000000AF" w14:textId="77777777" w:rsidR="00F428E9" w:rsidRDefault="00F428E9">
            <w:pPr>
              <w:pStyle w:val="Normal1"/>
              <w:pBdr>
                <w:top w:val="nil"/>
                <w:left w:val="nil"/>
                <w:bottom w:val="nil"/>
                <w:right w:val="nil"/>
                <w:between w:val="nil"/>
              </w:pBdr>
              <w:spacing w:line="240" w:lineRule="auto"/>
              <w:rPr>
                <w:color w:val="000000"/>
                <w:sz w:val="12"/>
                <w:szCs w:val="12"/>
              </w:rPr>
            </w:pPr>
          </w:p>
          <w:p w14:paraId="000000B0" w14:textId="77777777" w:rsidR="00F428E9" w:rsidRDefault="00F428E9">
            <w:pPr>
              <w:pStyle w:val="Normal1"/>
              <w:pBdr>
                <w:top w:val="nil"/>
                <w:left w:val="nil"/>
                <w:bottom w:val="nil"/>
                <w:right w:val="nil"/>
                <w:between w:val="nil"/>
              </w:pBdr>
              <w:spacing w:line="240" w:lineRule="auto"/>
              <w:rPr>
                <w:color w:val="000000"/>
                <w:sz w:val="12"/>
                <w:szCs w:val="12"/>
              </w:rPr>
            </w:pPr>
          </w:p>
          <w:p w14:paraId="000000B1" w14:textId="77777777" w:rsidR="00F428E9" w:rsidRDefault="00F428E9">
            <w:pPr>
              <w:pStyle w:val="Normal1"/>
              <w:pBdr>
                <w:top w:val="nil"/>
                <w:left w:val="nil"/>
                <w:bottom w:val="nil"/>
                <w:right w:val="nil"/>
                <w:between w:val="nil"/>
              </w:pBdr>
              <w:spacing w:line="240" w:lineRule="auto"/>
              <w:rPr>
                <w:color w:val="000000"/>
                <w:sz w:val="12"/>
                <w:szCs w:val="12"/>
              </w:rPr>
            </w:pPr>
          </w:p>
          <w:p w14:paraId="000000B2" w14:textId="77777777" w:rsidR="00F428E9" w:rsidRDefault="00803E73">
            <w:pPr>
              <w:pStyle w:val="Normal1"/>
              <w:pBdr>
                <w:top w:val="nil"/>
                <w:left w:val="nil"/>
                <w:bottom w:val="nil"/>
                <w:right w:val="nil"/>
                <w:between w:val="nil"/>
              </w:pBdr>
              <w:spacing w:before="74" w:line="240" w:lineRule="auto"/>
              <w:ind w:left="24" w:right="162"/>
              <w:rPr>
                <w:color w:val="000000"/>
                <w:sz w:val="12"/>
                <w:szCs w:val="12"/>
              </w:rPr>
            </w:pPr>
            <w:r>
              <w:rPr>
                <w:color w:val="000000"/>
                <w:sz w:val="12"/>
                <w:szCs w:val="12"/>
              </w:rPr>
              <w:t>Removal of the constraints for renewable generation connection.</w:t>
            </w:r>
          </w:p>
        </w:tc>
        <w:tc>
          <w:tcPr>
            <w:tcW w:w="2100" w:type="dxa"/>
            <w:vMerge w:val="restart"/>
            <w:shd w:val="clear" w:color="auto" w:fill="F9CB9B"/>
          </w:tcPr>
          <w:p w14:paraId="000000B3" w14:textId="77777777" w:rsidR="00F428E9" w:rsidRDefault="00803E73">
            <w:pPr>
              <w:pStyle w:val="Normal1"/>
              <w:pBdr>
                <w:top w:val="nil"/>
                <w:left w:val="nil"/>
                <w:bottom w:val="nil"/>
                <w:right w:val="nil"/>
                <w:between w:val="nil"/>
              </w:pBdr>
              <w:spacing w:line="138" w:lineRule="auto"/>
              <w:ind w:left="24"/>
              <w:rPr>
                <w:color w:val="000000"/>
                <w:sz w:val="12"/>
                <w:szCs w:val="12"/>
              </w:rPr>
            </w:pPr>
            <w:r>
              <w:rPr>
                <w:color w:val="000000"/>
                <w:sz w:val="12"/>
                <w:szCs w:val="12"/>
              </w:rPr>
              <w:t>Powering our Communities fund’ to the value of</w:t>
            </w:r>
          </w:p>
          <w:p w14:paraId="000000B4" w14:textId="77777777" w:rsidR="00F428E9" w:rsidRDefault="00803E73">
            <w:pPr>
              <w:pStyle w:val="Normal1"/>
              <w:pBdr>
                <w:top w:val="nil"/>
                <w:left w:val="nil"/>
                <w:bottom w:val="nil"/>
                <w:right w:val="nil"/>
                <w:between w:val="nil"/>
              </w:pBdr>
              <w:spacing w:line="240" w:lineRule="auto"/>
              <w:ind w:left="24" w:right="208"/>
              <w:rPr>
                <w:color w:val="000000"/>
                <w:sz w:val="12"/>
                <w:szCs w:val="12"/>
              </w:rPr>
            </w:pPr>
            <w:r>
              <w:rPr>
                <w:color w:val="000000"/>
                <w:sz w:val="12"/>
                <w:szCs w:val="12"/>
              </w:rPr>
              <w:t xml:space="preserve">£1.95m across the ED2 timeframe. The </w:t>
            </w:r>
            <w:r>
              <w:rPr>
                <w:color w:val="37761C"/>
                <w:sz w:val="12"/>
                <w:szCs w:val="12"/>
              </w:rPr>
              <w:t xml:space="preserve">proposed increments to increase </w:t>
            </w:r>
            <w:r>
              <w:rPr>
                <w:color w:val="000000"/>
                <w:sz w:val="12"/>
                <w:szCs w:val="12"/>
              </w:rPr>
              <w:t>the value of the fund per annum are as follows: to increase the fund from</w:t>
            </w:r>
          </w:p>
          <w:p w14:paraId="000000B5" w14:textId="77777777" w:rsidR="00F428E9" w:rsidRDefault="00803E73">
            <w:pPr>
              <w:pStyle w:val="Normal1"/>
              <w:pBdr>
                <w:top w:val="nil"/>
                <w:left w:val="nil"/>
                <w:bottom w:val="nil"/>
                <w:right w:val="nil"/>
                <w:between w:val="nil"/>
              </w:pBdr>
              <w:spacing w:before="2" w:line="240" w:lineRule="auto"/>
              <w:ind w:left="24" w:right="100"/>
              <w:rPr>
                <w:color w:val="000000"/>
                <w:sz w:val="12"/>
                <w:szCs w:val="12"/>
              </w:rPr>
            </w:pPr>
            <w:r>
              <w:rPr>
                <w:color w:val="000000"/>
                <w:sz w:val="12"/>
                <w:szCs w:val="12"/>
              </w:rPr>
              <w:t>£75,000 to £150k in 2023, double to £300k in 2024, double again to £600k in 2026. They state specifically that this fund will only continue to increase in value provided there continues to be an oversubscription to meet the growing demand.</w:t>
            </w:r>
          </w:p>
        </w:tc>
        <w:tc>
          <w:tcPr>
            <w:tcW w:w="1965" w:type="dxa"/>
            <w:vMerge w:val="restart"/>
            <w:shd w:val="clear" w:color="auto" w:fill="B6D7A8"/>
          </w:tcPr>
          <w:p w14:paraId="000000B6" w14:textId="77777777" w:rsidR="00F428E9" w:rsidRDefault="00F428E9">
            <w:pPr>
              <w:pStyle w:val="Normal1"/>
              <w:pBdr>
                <w:top w:val="nil"/>
                <w:left w:val="nil"/>
                <w:bottom w:val="nil"/>
                <w:right w:val="nil"/>
                <w:between w:val="nil"/>
              </w:pBdr>
              <w:spacing w:line="240" w:lineRule="auto"/>
              <w:rPr>
                <w:color w:val="000000"/>
                <w:sz w:val="12"/>
                <w:szCs w:val="12"/>
              </w:rPr>
            </w:pPr>
          </w:p>
          <w:p w14:paraId="000000B7" w14:textId="77777777" w:rsidR="00F428E9" w:rsidRDefault="00F428E9">
            <w:pPr>
              <w:pStyle w:val="Normal1"/>
              <w:pBdr>
                <w:top w:val="nil"/>
                <w:left w:val="nil"/>
                <w:bottom w:val="nil"/>
                <w:right w:val="nil"/>
                <w:between w:val="nil"/>
              </w:pBdr>
              <w:spacing w:line="240" w:lineRule="auto"/>
              <w:rPr>
                <w:color w:val="000000"/>
                <w:sz w:val="12"/>
                <w:szCs w:val="12"/>
              </w:rPr>
            </w:pPr>
          </w:p>
          <w:p w14:paraId="000000B8" w14:textId="77777777" w:rsidR="00F428E9" w:rsidRDefault="00F428E9">
            <w:pPr>
              <w:pStyle w:val="Normal1"/>
              <w:pBdr>
                <w:top w:val="nil"/>
                <w:left w:val="nil"/>
                <w:bottom w:val="nil"/>
                <w:right w:val="nil"/>
                <w:between w:val="nil"/>
              </w:pBdr>
              <w:spacing w:before="7" w:line="240" w:lineRule="auto"/>
              <w:rPr>
                <w:color w:val="000000"/>
                <w:sz w:val="12"/>
                <w:szCs w:val="12"/>
              </w:rPr>
            </w:pPr>
          </w:p>
          <w:p w14:paraId="000000B9" w14:textId="77777777" w:rsidR="00F428E9" w:rsidRDefault="00803E73">
            <w:pPr>
              <w:pStyle w:val="Normal1"/>
              <w:pBdr>
                <w:top w:val="nil"/>
                <w:left w:val="nil"/>
                <w:bottom w:val="nil"/>
                <w:right w:val="nil"/>
                <w:between w:val="nil"/>
              </w:pBdr>
              <w:spacing w:line="240" w:lineRule="auto"/>
              <w:ind w:left="24" w:right="36"/>
              <w:rPr>
                <w:color w:val="000000"/>
                <w:sz w:val="12"/>
                <w:szCs w:val="12"/>
              </w:rPr>
            </w:pPr>
            <w:r>
              <w:rPr>
                <w:color w:val="000000"/>
                <w:sz w:val="12"/>
                <w:szCs w:val="12"/>
              </w:rPr>
              <w:t xml:space="preserve">Provision of free, dedicated support service to help guide community groups in the development of their projects, </w:t>
            </w:r>
            <w:r>
              <w:rPr>
                <w:color w:val="6AA84F"/>
                <w:sz w:val="12"/>
                <w:szCs w:val="12"/>
              </w:rPr>
              <w:t xml:space="preserve">applications for funding </w:t>
            </w:r>
            <w:r>
              <w:rPr>
                <w:color w:val="000000"/>
                <w:sz w:val="12"/>
                <w:szCs w:val="12"/>
              </w:rPr>
              <w:t>and the connection of their projects to the network</w:t>
            </w:r>
          </w:p>
        </w:tc>
        <w:tc>
          <w:tcPr>
            <w:tcW w:w="1305" w:type="dxa"/>
            <w:vMerge w:val="restart"/>
          </w:tcPr>
          <w:p w14:paraId="000000BA"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515" w:type="dxa"/>
            <w:vMerge w:val="restart"/>
            <w:shd w:val="clear" w:color="auto" w:fill="B6D7A8"/>
          </w:tcPr>
          <w:p w14:paraId="000000BB" w14:textId="77777777" w:rsidR="00F428E9" w:rsidRDefault="00F428E9">
            <w:pPr>
              <w:pStyle w:val="Normal1"/>
              <w:pBdr>
                <w:top w:val="nil"/>
                <w:left w:val="nil"/>
                <w:bottom w:val="nil"/>
                <w:right w:val="nil"/>
                <w:between w:val="nil"/>
              </w:pBdr>
              <w:spacing w:line="240" w:lineRule="auto"/>
              <w:rPr>
                <w:color w:val="000000"/>
                <w:sz w:val="12"/>
                <w:szCs w:val="12"/>
              </w:rPr>
            </w:pPr>
          </w:p>
          <w:p w14:paraId="000000BC" w14:textId="77777777" w:rsidR="00F428E9" w:rsidRDefault="00F428E9">
            <w:pPr>
              <w:pStyle w:val="Normal1"/>
              <w:pBdr>
                <w:top w:val="nil"/>
                <w:left w:val="nil"/>
                <w:bottom w:val="nil"/>
                <w:right w:val="nil"/>
                <w:between w:val="nil"/>
              </w:pBdr>
              <w:spacing w:line="240" w:lineRule="auto"/>
              <w:rPr>
                <w:color w:val="000000"/>
                <w:sz w:val="12"/>
                <w:szCs w:val="12"/>
              </w:rPr>
            </w:pPr>
          </w:p>
          <w:p w14:paraId="000000BD" w14:textId="77777777" w:rsidR="00F428E9" w:rsidRDefault="00F428E9">
            <w:pPr>
              <w:pStyle w:val="Normal1"/>
              <w:pBdr>
                <w:top w:val="nil"/>
                <w:left w:val="nil"/>
                <w:bottom w:val="nil"/>
                <w:right w:val="nil"/>
                <w:between w:val="nil"/>
              </w:pBdr>
              <w:spacing w:before="7" w:line="240" w:lineRule="auto"/>
              <w:rPr>
                <w:color w:val="000000"/>
                <w:sz w:val="12"/>
                <w:szCs w:val="12"/>
              </w:rPr>
            </w:pPr>
          </w:p>
          <w:p w14:paraId="000000BE" w14:textId="77777777" w:rsidR="00F428E9" w:rsidRDefault="00803E73">
            <w:pPr>
              <w:pStyle w:val="Normal1"/>
              <w:pBdr>
                <w:top w:val="nil"/>
                <w:left w:val="nil"/>
                <w:bottom w:val="nil"/>
                <w:right w:val="nil"/>
                <w:between w:val="nil"/>
              </w:pBdr>
              <w:spacing w:line="240" w:lineRule="auto"/>
              <w:ind w:left="24" w:right="96"/>
              <w:rPr>
                <w:color w:val="000000"/>
                <w:sz w:val="12"/>
                <w:szCs w:val="12"/>
              </w:rPr>
            </w:pPr>
            <w:r>
              <w:rPr>
                <w:color w:val="000000"/>
                <w:sz w:val="12"/>
                <w:szCs w:val="12"/>
              </w:rPr>
              <w:t>Publishing of information on all network constraints to encourage potential solutions from all parties including community energy groups.</w:t>
            </w:r>
          </w:p>
        </w:tc>
        <w:tc>
          <w:tcPr>
            <w:tcW w:w="1395" w:type="dxa"/>
            <w:vMerge w:val="restart"/>
            <w:shd w:val="clear" w:color="auto" w:fill="B6D7A8"/>
          </w:tcPr>
          <w:p w14:paraId="000000BF" w14:textId="77777777" w:rsidR="00F428E9" w:rsidRDefault="00F428E9">
            <w:pPr>
              <w:pStyle w:val="Normal1"/>
              <w:pBdr>
                <w:top w:val="nil"/>
                <w:left w:val="nil"/>
                <w:bottom w:val="nil"/>
                <w:right w:val="nil"/>
                <w:between w:val="nil"/>
              </w:pBdr>
              <w:spacing w:line="240" w:lineRule="auto"/>
              <w:rPr>
                <w:color w:val="000000"/>
                <w:sz w:val="12"/>
                <w:szCs w:val="12"/>
              </w:rPr>
            </w:pPr>
          </w:p>
          <w:p w14:paraId="000000C0" w14:textId="77777777" w:rsidR="00F428E9" w:rsidRDefault="00F428E9">
            <w:pPr>
              <w:pStyle w:val="Normal1"/>
              <w:pBdr>
                <w:top w:val="nil"/>
                <w:left w:val="nil"/>
                <w:bottom w:val="nil"/>
                <w:right w:val="nil"/>
                <w:between w:val="nil"/>
              </w:pBdr>
              <w:spacing w:line="240" w:lineRule="auto"/>
              <w:rPr>
                <w:color w:val="000000"/>
                <w:sz w:val="12"/>
                <w:szCs w:val="12"/>
              </w:rPr>
            </w:pPr>
          </w:p>
          <w:p w14:paraId="000000C1" w14:textId="77777777" w:rsidR="00F428E9" w:rsidRDefault="00F428E9">
            <w:pPr>
              <w:pStyle w:val="Normal1"/>
              <w:pBdr>
                <w:top w:val="nil"/>
                <w:left w:val="nil"/>
                <w:bottom w:val="nil"/>
                <w:right w:val="nil"/>
                <w:between w:val="nil"/>
              </w:pBdr>
              <w:spacing w:line="240" w:lineRule="auto"/>
              <w:rPr>
                <w:color w:val="000000"/>
                <w:sz w:val="12"/>
                <w:szCs w:val="12"/>
              </w:rPr>
            </w:pPr>
          </w:p>
          <w:p w14:paraId="000000C2" w14:textId="77777777" w:rsidR="00F428E9" w:rsidRDefault="00803E73">
            <w:pPr>
              <w:pStyle w:val="Normal1"/>
              <w:pBdr>
                <w:top w:val="nil"/>
                <w:left w:val="nil"/>
                <w:bottom w:val="nil"/>
                <w:right w:val="nil"/>
                <w:between w:val="nil"/>
              </w:pBdr>
              <w:spacing w:before="74" w:line="240" w:lineRule="auto"/>
              <w:ind w:left="24" w:right="93"/>
              <w:rPr>
                <w:color w:val="000000"/>
                <w:sz w:val="12"/>
                <w:szCs w:val="12"/>
              </w:rPr>
            </w:pPr>
            <w:r>
              <w:rPr>
                <w:color w:val="000000"/>
                <w:sz w:val="12"/>
                <w:szCs w:val="12"/>
              </w:rPr>
              <w:t>Expanded upon their ‘Community and local energy strategy 2020- 2023’</w:t>
            </w:r>
          </w:p>
        </w:tc>
        <w:tc>
          <w:tcPr>
            <w:tcW w:w="525" w:type="dxa"/>
            <w:vMerge w:val="restart"/>
          </w:tcPr>
          <w:p w14:paraId="000000C3" w14:textId="77777777" w:rsidR="00F428E9" w:rsidRDefault="00F428E9">
            <w:pPr>
              <w:pStyle w:val="Normal1"/>
              <w:pBdr>
                <w:top w:val="nil"/>
                <w:left w:val="nil"/>
                <w:bottom w:val="nil"/>
                <w:right w:val="nil"/>
                <w:between w:val="nil"/>
              </w:pBdr>
              <w:spacing w:line="240" w:lineRule="auto"/>
              <w:rPr>
                <w:color w:val="000000"/>
              </w:rPr>
            </w:pPr>
          </w:p>
          <w:p w14:paraId="000000C4" w14:textId="77777777" w:rsidR="00F428E9" w:rsidRDefault="00F428E9">
            <w:pPr>
              <w:pStyle w:val="Normal1"/>
              <w:pBdr>
                <w:top w:val="nil"/>
                <w:left w:val="nil"/>
                <w:bottom w:val="nil"/>
                <w:right w:val="nil"/>
                <w:between w:val="nil"/>
              </w:pBdr>
              <w:spacing w:line="240" w:lineRule="auto"/>
              <w:rPr>
                <w:color w:val="000000"/>
              </w:rPr>
            </w:pPr>
          </w:p>
          <w:p w14:paraId="000000C5" w14:textId="77777777" w:rsidR="00F428E9" w:rsidRDefault="00F428E9">
            <w:pPr>
              <w:pStyle w:val="Normal1"/>
              <w:pBdr>
                <w:top w:val="nil"/>
                <w:left w:val="nil"/>
                <w:bottom w:val="nil"/>
                <w:right w:val="nil"/>
                <w:between w:val="nil"/>
              </w:pBdr>
              <w:spacing w:before="5" w:line="240" w:lineRule="auto"/>
              <w:rPr>
                <w:color w:val="000000"/>
                <w:sz w:val="21"/>
                <w:szCs w:val="21"/>
              </w:rPr>
            </w:pPr>
          </w:p>
          <w:p w14:paraId="000000C6" w14:textId="77777777" w:rsidR="00F428E9" w:rsidRDefault="00803E73">
            <w:pPr>
              <w:pStyle w:val="Normal1"/>
              <w:pBdr>
                <w:top w:val="nil"/>
                <w:left w:val="nil"/>
                <w:bottom w:val="nil"/>
                <w:right w:val="nil"/>
                <w:between w:val="nil"/>
              </w:pBdr>
              <w:spacing w:line="240" w:lineRule="auto"/>
              <w:ind w:left="150"/>
              <w:rPr>
                <w:b/>
                <w:color w:val="000000"/>
                <w:sz w:val="22"/>
                <w:szCs w:val="22"/>
              </w:rPr>
            </w:pPr>
            <w:r>
              <w:rPr>
                <w:b/>
                <w:color w:val="000000"/>
                <w:sz w:val="22"/>
                <w:szCs w:val="22"/>
              </w:rPr>
              <w:t>6/10</w:t>
            </w:r>
          </w:p>
        </w:tc>
        <w:tc>
          <w:tcPr>
            <w:tcW w:w="1815" w:type="dxa"/>
            <w:vMerge w:val="restart"/>
          </w:tcPr>
          <w:p w14:paraId="000000C7" w14:textId="77777777" w:rsidR="00F428E9" w:rsidRDefault="00F428E9">
            <w:pPr>
              <w:pStyle w:val="Normal1"/>
              <w:pBdr>
                <w:top w:val="nil"/>
                <w:left w:val="nil"/>
                <w:bottom w:val="nil"/>
                <w:right w:val="nil"/>
                <w:between w:val="nil"/>
              </w:pBdr>
              <w:spacing w:line="240" w:lineRule="auto"/>
              <w:rPr>
                <w:color w:val="000000"/>
                <w:sz w:val="12"/>
                <w:szCs w:val="12"/>
              </w:rPr>
            </w:pPr>
          </w:p>
          <w:p w14:paraId="000000C8" w14:textId="77777777" w:rsidR="00F428E9" w:rsidRDefault="00F428E9">
            <w:pPr>
              <w:pStyle w:val="Normal1"/>
              <w:pBdr>
                <w:top w:val="nil"/>
                <w:left w:val="nil"/>
                <w:bottom w:val="nil"/>
                <w:right w:val="nil"/>
                <w:between w:val="nil"/>
              </w:pBdr>
              <w:spacing w:before="4" w:line="240" w:lineRule="auto"/>
              <w:rPr>
                <w:color w:val="000000"/>
                <w:sz w:val="14"/>
                <w:szCs w:val="14"/>
              </w:rPr>
            </w:pPr>
          </w:p>
          <w:p w14:paraId="000000C9" w14:textId="77777777" w:rsidR="00F428E9" w:rsidRDefault="00803E73">
            <w:pPr>
              <w:pStyle w:val="Normal1"/>
              <w:pBdr>
                <w:top w:val="nil"/>
                <w:left w:val="nil"/>
                <w:bottom w:val="nil"/>
                <w:right w:val="nil"/>
                <w:between w:val="nil"/>
              </w:pBdr>
              <w:spacing w:line="240" w:lineRule="auto"/>
              <w:ind w:left="24" w:right="78"/>
              <w:rPr>
                <w:color w:val="000000"/>
                <w:sz w:val="12"/>
                <w:szCs w:val="12"/>
              </w:rPr>
            </w:pPr>
            <w:r>
              <w:rPr>
                <w:color w:val="000000"/>
                <w:sz w:val="12"/>
                <w:szCs w:val="12"/>
              </w:rPr>
              <w:t>We believe ENW recognise the value of CE and have consulted well with the sector with good CE engagement. The value of the fund and the financial contribution to CE is lower than other DNOs which we would like to see increased to match the potential for CE development in the region but we appreciate the structure of the funds and the clarity of the business plan offers to CE groups.</w:t>
            </w:r>
          </w:p>
        </w:tc>
      </w:tr>
      <w:tr w:rsidR="00F428E9" w14:paraId="672A6659" w14:textId="77777777">
        <w:trPr>
          <w:trHeight w:val="415"/>
        </w:trPr>
        <w:tc>
          <w:tcPr>
            <w:tcW w:w="2115" w:type="dxa"/>
            <w:vMerge w:val="restart"/>
            <w:tcBorders>
              <w:right w:val="nil"/>
            </w:tcBorders>
          </w:tcPr>
          <w:p w14:paraId="000000CA"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50" w:type="dxa"/>
            <w:vMerge w:val="restart"/>
            <w:tcBorders>
              <w:top w:val="nil"/>
              <w:left w:val="nil"/>
            </w:tcBorders>
          </w:tcPr>
          <w:p w14:paraId="000000CB"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335" w:type="dxa"/>
            <w:vMerge/>
            <w:shd w:val="clear" w:color="auto" w:fill="B6D7A8"/>
          </w:tcPr>
          <w:p w14:paraId="000000CC"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2100" w:type="dxa"/>
            <w:vMerge/>
            <w:shd w:val="clear" w:color="auto" w:fill="F9CB9B"/>
          </w:tcPr>
          <w:p w14:paraId="000000CD"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965" w:type="dxa"/>
            <w:vMerge/>
            <w:shd w:val="clear" w:color="auto" w:fill="B6D7A8"/>
          </w:tcPr>
          <w:p w14:paraId="000000CE"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305" w:type="dxa"/>
            <w:vMerge/>
          </w:tcPr>
          <w:p w14:paraId="000000CF"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515" w:type="dxa"/>
            <w:vMerge/>
            <w:shd w:val="clear" w:color="auto" w:fill="B6D7A8"/>
          </w:tcPr>
          <w:p w14:paraId="000000D0"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395" w:type="dxa"/>
            <w:vMerge/>
            <w:shd w:val="clear" w:color="auto" w:fill="B6D7A8"/>
          </w:tcPr>
          <w:p w14:paraId="000000D1"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525" w:type="dxa"/>
            <w:vMerge/>
          </w:tcPr>
          <w:p w14:paraId="000000D2"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815" w:type="dxa"/>
            <w:vMerge/>
          </w:tcPr>
          <w:p w14:paraId="000000D3" w14:textId="77777777" w:rsidR="00F428E9" w:rsidRDefault="00F428E9">
            <w:pPr>
              <w:pStyle w:val="Normal1"/>
              <w:pBdr>
                <w:top w:val="nil"/>
                <w:left w:val="nil"/>
                <w:bottom w:val="nil"/>
                <w:right w:val="nil"/>
                <w:between w:val="nil"/>
              </w:pBdr>
              <w:spacing w:line="276" w:lineRule="auto"/>
              <w:rPr>
                <w:color w:val="000000"/>
                <w:sz w:val="12"/>
                <w:szCs w:val="12"/>
              </w:rPr>
            </w:pPr>
          </w:p>
        </w:tc>
      </w:tr>
      <w:tr w:rsidR="00F428E9" w14:paraId="44224857" w14:textId="77777777">
        <w:trPr>
          <w:trHeight w:val="455"/>
        </w:trPr>
        <w:tc>
          <w:tcPr>
            <w:tcW w:w="2115" w:type="dxa"/>
            <w:vMerge/>
            <w:tcBorders>
              <w:right w:val="nil"/>
            </w:tcBorders>
          </w:tcPr>
          <w:p w14:paraId="000000D4"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50" w:type="dxa"/>
            <w:vMerge/>
            <w:tcBorders>
              <w:top w:val="nil"/>
              <w:left w:val="nil"/>
            </w:tcBorders>
          </w:tcPr>
          <w:p w14:paraId="000000D5"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3435" w:type="dxa"/>
            <w:gridSpan w:val="2"/>
            <w:shd w:val="clear" w:color="auto" w:fill="B6D7A8"/>
          </w:tcPr>
          <w:p w14:paraId="000000D6" w14:textId="77777777" w:rsidR="00F428E9" w:rsidRDefault="00803E73">
            <w:pPr>
              <w:pStyle w:val="Normal1"/>
              <w:pBdr>
                <w:top w:val="nil"/>
                <w:left w:val="nil"/>
                <w:bottom w:val="nil"/>
                <w:right w:val="nil"/>
                <w:between w:val="nil"/>
              </w:pBdr>
              <w:spacing w:before="75" w:line="240" w:lineRule="auto"/>
              <w:ind w:left="24" w:right="51"/>
              <w:rPr>
                <w:color w:val="000000"/>
                <w:sz w:val="12"/>
                <w:szCs w:val="12"/>
              </w:rPr>
            </w:pPr>
            <w:r>
              <w:rPr>
                <w:color w:val="000000"/>
                <w:sz w:val="12"/>
                <w:szCs w:val="12"/>
              </w:rPr>
              <w:t>Creation of a new £1m delayed payment scheme for connections of community-owned low carbon technology.</w:t>
            </w:r>
          </w:p>
        </w:tc>
        <w:tc>
          <w:tcPr>
            <w:tcW w:w="3270" w:type="dxa"/>
            <w:gridSpan w:val="2"/>
            <w:shd w:val="clear" w:color="auto" w:fill="F9CB9B"/>
          </w:tcPr>
          <w:p w14:paraId="000000D8" w14:textId="77777777" w:rsidR="00F428E9" w:rsidRDefault="00803E73">
            <w:pPr>
              <w:pStyle w:val="Normal1"/>
              <w:pBdr>
                <w:top w:val="nil"/>
                <w:left w:val="nil"/>
                <w:bottom w:val="nil"/>
                <w:right w:val="nil"/>
                <w:between w:val="nil"/>
              </w:pBdr>
              <w:spacing w:line="240" w:lineRule="auto"/>
              <w:ind w:left="24" w:right="136"/>
              <w:rPr>
                <w:color w:val="000000"/>
                <w:sz w:val="12"/>
                <w:szCs w:val="12"/>
              </w:rPr>
            </w:pPr>
            <w:r>
              <w:rPr>
                <w:color w:val="000000"/>
                <w:sz w:val="12"/>
                <w:szCs w:val="12"/>
              </w:rPr>
              <w:t xml:space="preserve">Recruitment of 3 new energy planning engineers to share knowledge, experience and data in network planning for the benefit of local communities, particularly </w:t>
            </w:r>
            <w:r>
              <w:rPr>
                <w:color w:val="37761C"/>
                <w:sz w:val="12"/>
                <w:szCs w:val="12"/>
              </w:rPr>
              <w:t>ensuring a whole system approach is embedded into the LAEPs.</w:t>
            </w:r>
          </w:p>
        </w:tc>
        <w:tc>
          <w:tcPr>
            <w:tcW w:w="1515" w:type="dxa"/>
          </w:tcPr>
          <w:p w14:paraId="000000DA"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395" w:type="dxa"/>
          </w:tcPr>
          <w:p w14:paraId="000000DB"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525" w:type="dxa"/>
            <w:vMerge/>
          </w:tcPr>
          <w:p w14:paraId="000000DC"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815" w:type="dxa"/>
            <w:vMerge/>
          </w:tcPr>
          <w:p w14:paraId="000000DD" w14:textId="77777777" w:rsidR="00F428E9" w:rsidRDefault="00F428E9">
            <w:pPr>
              <w:pStyle w:val="Normal1"/>
              <w:pBdr>
                <w:top w:val="nil"/>
                <w:left w:val="nil"/>
                <w:bottom w:val="nil"/>
                <w:right w:val="nil"/>
                <w:between w:val="nil"/>
              </w:pBdr>
              <w:spacing w:line="276" w:lineRule="auto"/>
              <w:rPr>
                <w:color w:val="000000"/>
                <w:sz w:val="12"/>
                <w:szCs w:val="12"/>
              </w:rPr>
            </w:pPr>
          </w:p>
        </w:tc>
      </w:tr>
      <w:tr w:rsidR="00F428E9" w14:paraId="60F9A2C0" w14:textId="77777777">
        <w:trPr>
          <w:trHeight w:val="1701"/>
        </w:trPr>
        <w:tc>
          <w:tcPr>
            <w:tcW w:w="2265" w:type="dxa"/>
            <w:gridSpan w:val="2"/>
            <w:vMerge w:val="restart"/>
          </w:tcPr>
          <w:p w14:paraId="000000DE" w14:textId="77777777" w:rsidR="00F428E9" w:rsidRDefault="00F428E9">
            <w:pPr>
              <w:pStyle w:val="Normal1"/>
              <w:pBdr>
                <w:top w:val="nil"/>
                <w:left w:val="nil"/>
                <w:bottom w:val="nil"/>
                <w:right w:val="nil"/>
                <w:between w:val="nil"/>
              </w:pBdr>
              <w:spacing w:line="240" w:lineRule="auto"/>
              <w:rPr>
                <w:color w:val="000000"/>
                <w:sz w:val="18"/>
                <w:szCs w:val="18"/>
              </w:rPr>
            </w:pPr>
          </w:p>
          <w:p w14:paraId="000000DF" w14:textId="77777777" w:rsidR="00F428E9" w:rsidRDefault="00F428E9">
            <w:pPr>
              <w:pStyle w:val="Normal1"/>
              <w:pBdr>
                <w:top w:val="nil"/>
                <w:left w:val="nil"/>
                <w:bottom w:val="nil"/>
                <w:right w:val="nil"/>
                <w:between w:val="nil"/>
              </w:pBdr>
              <w:spacing w:line="240" w:lineRule="auto"/>
              <w:rPr>
                <w:color w:val="000000"/>
                <w:sz w:val="18"/>
                <w:szCs w:val="18"/>
              </w:rPr>
            </w:pPr>
          </w:p>
          <w:p w14:paraId="000000E0" w14:textId="77777777" w:rsidR="00F428E9" w:rsidRDefault="00F428E9">
            <w:pPr>
              <w:pStyle w:val="Normal1"/>
              <w:pBdr>
                <w:top w:val="nil"/>
                <w:left w:val="nil"/>
                <w:bottom w:val="nil"/>
                <w:right w:val="nil"/>
                <w:between w:val="nil"/>
              </w:pBdr>
              <w:spacing w:line="240" w:lineRule="auto"/>
              <w:rPr>
                <w:color w:val="000000"/>
                <w:sz w:val="18"/>
                <w:szCs w:val="18"/>
              </w:rPr>
            </w:pPr>
          </w:p>
          <w:p w14:paraId="000000E1" w14:textId="77777777" w:rsidR="00F428E9" w:rsidRDefault="00F428E9">
            <w:pPr>
              <w:pStyle w:val="Normal1"/>
              <w:pBdr>
                <w:top w:val="nil"/>
                <w:left w:val="nil"/>
                <w:bottom w:val="nil"/>
                <w:right w:val="nil"/>
                <w:between w:val="nil"/>
              </w:pBdr>
              <w:spacing w:line="240" w:lineRule="auto"/>
              <w:rPr>
                <w:color w:val="000000"/>
                <w:sz w:val="18"/>
                <w:szCs w:val="18"/>
              </w:rPr>
            </w:pPr>
          </w:p>
          <w:p w14:paraId="000000E2" w14:textId="77777777" w:rsidR="00F428E9" w:rsidRDefault="00F428E9">
            <w:pPr>
              <w:pStyle w:val="Normal1"/>
              <w:pBdr>
                <w:top w:val="nil"/>
                <w:left w:val="nil"/>
                <w:bottom w:val="nil"/>
                <w:right w:val="nil"/>
                <w:between w:val="nil"/>
              </w:pBdr>
              <w:spacing w:before="4" w:line="240" w:lineRule="auto"/>
              <w:rPr>
                <w:color w:val="000000"/>
                <w:sz w:val="26"/>
                <w:szCs w:val="26"/>
              </w:rPr>
            </w:pPr>
          </w:p>
          <w:p w14:paraId="000000E3" w14:textId="77777777" w:rsidR="00F428E9" w:rsidRDefault="00840A7E">
            <w:pPr>
              <w:pStyle w:val="Normal1"/>
              <w:pBdr>
                <w:top w:val="nil"/>
                <w:left w:val="nil"/>
                <w:bottom w:val="nil"/>
                <w:right w:val="nil"/>
                <w:between w:val="nil"/>
              </w:pBdr>
              <w:spacing w:line="240" w:lineRule="auto"/>
              <w:ind w:left="24"/>
              <w:rPr>
                <w:color w:val="000000"/>
                <w:sz w:val="15"/>
                <w:szCs w:val="15"/>
              </w:rPr>
            </w:pPr>
            <w:hyperlink r:id="rId21">
              <w:r w:rsidR="00803E73">
                <w:rPr>
                  <w:color w:val="000000"/>
                  <w:sz w:val="15"/>
                  <w:szCs w:val="15"/>
                  <w:u w:val="single"/>
                </w:rPr>
                <w:t>Northern Powergrid</w:t>
              </w:r>
            </w:hyperlink>
          </w:p>
        </w:tc>
        <w:tc>
          <w:tcPr>
            <w:tcW w:w="1335" w:type="dxa"/>
            <w:shd w:val="clear" w:color="auto" w:fill="F9CB9B"/>
          </w:tcPr>
          <w:p w14:paraId="000000E5" w14:textId="77777777" w:rsidR="00F428E9" w:rsidRDefault="00F428E9">
            <w:pPr>
              <w:pStyle w:val="Normal1"/>
              <w:pBdr>
                <w:top w:val="nil"/>
                <w:left w:val="nil"/>
                <w:bottom w:val="nil"/>
                <w:right w:val="nil"/>
                <w:between w:val="nil"/>
              </w:pBdr>
              <w:spacing w:line="240" w:lineRule="auto"/>
              <w:rPr>
                <w:color w:val="000000"/>
                <w:sz w:val="12"/>
                <w:szCs w:val="12"/>
              </w:rPr>
            </w:pPr>
          </w:p>
          <w:p w14:paraId="000000E6" w14:textId="77777777" w:rsidR="00F428E9" w:rsidRDefault="00F428E9">
            <w:pPr>
              <w:pStyle w:val="Normal1"/>
              <w:pBdr>
                <w:top w:val="nil"/>
                <w:left w:val="nil"/>
                <w:bottom w:val="nil"/>
                <w:right w:val="nil"/>
                <w:between w:val="nil"/>
              </w:pBdr>
              <w:spacing w:line="240" w:lineRule="auto"/>
              <w:rPr>
                <w:color w:val="000000"/>
                <w:sz w:val="12"/>
                <w:szCs w:val="12"/>
              </w:rPr>
            </w:pPr>
          </w:p>
          <w:p w14:paraId="000000E7" w14:textId="77777777" w:rsidR="00F428E9" w:rsidRDefault="00F428E9">
            <w:pPr>
              <w:pStyle w:val="Normal1"/>
              <w:pBdr>
                <w:top w:val="nil"/>
                <w:left w:val="nil"/>
                <w:bottom w:val="nil"/>
                <w:right w:val="nil"/>
                <w:between w:val="nil"/>
              </w:pBdr>
              <w:spacing w:line="240" w:lineRule="auto"/>
              <w:rPr>
                <w:color w:val="000000"/>
                <w:sz w:val="12"/>
                <w:szCs w:val="12"/>
              </w:rPr>
            </w:pPr>
          </w:p>
          <w:p w14:paraId="000000E8" w14:textId="77777777" w:rsidR="00F428E9" w:rsidRDefault="00F428E9">
            <w:pPr>
              <w:pStyle w:val="Normal1"/>
              <w:pBdr>
                <w:top w:val="nil"/>
                <w:left w:val="nil"/>
                <w:bottom w:val="nil"/>
                <w:right w:val="nil"/>
                <w:between w:val="nil"/>
              </w:pBdr>
              <w:spacing w:before="3" w:line="240" w:lineRule="auto"/>
              <w:rPr>
                <w:color w:val="000000"/>
                <w:sz w:val="12"/>
                <w:szCs w:val="12"/>
              </w:rPr>
            </w:pPr>
          </w:p>
          <w:p w14:paraId="000000E9" w14:textId="77777777" w:rsidR="00F428E9" w:rsidRDefault="00803E73">
            <w:pPr>
              <w:pStyle w:val="Normal1"/>
              <w:pBdr>
                <w:top w:val="nil"/>
                <w:left w:val="nil"/>
                <w:bottom w:val="nil"/>
                <w:right w:val="nil"/>
                <w:between w:val="nil"/>
              </w:pBdr>
              <w:spacing w:before="1" w:line="240" w:lineRule="auto"/>
              <w:ind w:left="24" w:right="114"/>
              <w:rPr>
                <w:color w:val="000000"/>
                <w:sz w:val="12"/>
                <w:szCs w:val="12"/>
              </w:rPr>
            </w:pPr>
            <w:r>
              <w:rPr>
                <w:color w:val="000000"/>
                <w:sz w:val="12"/>
                <w:szCs w:val="12"/>
              </w:rPr>
              <w:t>To deliver an efficient and cost-effective connections service that aims to keep the price of a connection flat.</w:t>
            </w:r>
          </w:p>
        </w:tc>
        <w:tc>
          <w:tcPr>
            <w:tcW w:w="2100" w:type="dxa"/>
            <w:shd w:val="clear" w:color="auto" w:fill="F9CB9B"/>
          </w:tcPr>
          <w:p w14:paraId="000000EA" w14:textId="77777777" w:rsidR="00F428E9" w:rsidRDefault="00F428E9">
            <w:pPr>
              <w:pStyle w:val="Normal1"/>
              <w:pBdr>
                <w:top w:val="nil"/>
                <w:left w:val="nil"/>
                <w:bottom w:val="nil"/>
                <w:right w:val="nil"/>
                <w:between w:val="nil"/>
              </w:pBdr>
              <w:spacing w:line="240" w:lineRule="auto"/>
              <w:rPr>
                <w:color w:val="000000"/>
                <w:sz w:val="12"/>
                <w:szCs w:val="12"/>
              </w:rPr>
            </w:pPr>
          </w:p>
          <w:p w14:paraId="000000EB" w14:textId="77777777" w:rsidR="00F428E9" w:rsidRDefault="00803E73">
            <w:pPr>
              <w:pStyle w:val="Normal1"/>
              <w:pBdr>
                <w:top w:val="nil"/>
                <w:left w:val="nil"/>
                <w:bottom w:val="nil"/>
                <w:right w:val="nil"/>
                <w:between w:val="nil"/>
              </w:pBdr>
              <w:spacing w:before="72" w:line="240" w:lineRule="auto"/>
              <w:ind w:left="24" w:right="50"/>
              <w:rPr>
                <w:color w:val="000000"/>
                <w:sz w:val="12"/>
                <w:szCs w:val="12"/>
              </w:rPr>
            </w:pPr>
            <w:r>
              <w:rPr>
                <w:color w:val="000000"/>
                <w:sz w:val="12"/>
                <w:szCs w:val="12"/>
              </w:rPr>
              <w:t>The value of the communities propositions within their business plan will be £1.6m per year, which is a</w:t>
            </w:r>
          </w:p>
          <w:p w14:paraId="000000EC" w14:textId="77777777" w:rsidR="00F428E9" w:rsidRDefault="00803E73">
            <w:pPr>
              <w:pStyle w:val="Normal1"/>
              <w:pBdr>
                <w:top w:val="nil"/>
                <w:left w:val="nil"/>
                <w:bottom w:val="nil"/>
                <w:right w:val="nil"/>
                <w:between w:val="nil"/>
              </w:pBdr>
              <w:spacing w:before="1" w:line="240" w:lineRule="auto"/>
              <w:ind w:left="24" w:right="100"/>
              <w:rPr>
                <w:color w:val="000000"/>
                <w:sz w:val="12"/>
                <w:szCs w:val="12"/>
              </w:rPr>
            </w:pPr>
            <w:r>
              <w:rPr>
                <w:color w:val="000000"/>
                <w:sz w:val="12"/>
                <w:szCs w:val="12"/>
              </w:rPr>
              <w:t>£1.0m increase in spending during the current price control period. This will include the delivery of tailored social impact programmes for 50% of all major investment schemes which can support bespoke communities needs, enabling them to gain from benefits above and beyond the investment programmes.</w:t>
            </w:r>
          </w:p>
        </w:tc>
        <w:tc>
          <w:tcPr>
            <w:tcW w:w="1965" w:type="dxa"/>
            <w:shd w:val="clear" w:color="auto" w:fill="B6D7A8"/>
          </w:tcPr>
          <w:p w14:paraId="000000ED" w14:textId="77777777" w:rsidR="00F428E9" w:rsidRDefault="00F428E9">
            <w:pPr>
              <w:pStyle w:val="Normal1"/>
              <w:pBdr>
                <w:top w:val="nil"/>
                <w:left w:val="nil"/>
                <w:bottom w:val="nil"/>
                <w:right w:val="nil"/>
                <w:between w:val="nil"/>
              </w:pBdr>
              <w:spacing w:line="240" w:lineRule="auto"/>
              <w:rPr>
                <w:color w:val="000000"/>
                <w:sz w:val="12"/>
                <w:szCs w:val="12"/>
              </w:rPr>
            </w:pPr>
          </w:p>
          <w:p w14:paraId="000000EE" w14:textId="77777777" w:rsidR="00F428E9" w:rsidRDefault="00803E73">
            <w:pPr>
              <w:pStyle w:val="Normal1"/>
              <w:pBdr>
                <w:top w:val="nil"/>
                <w:left w:val="nil"/>
                <w:bottom w:val="nil"/>
                <w:right w:val="nil"/>
                <w:between w:val="nil"/>
              </w:pBdr>
              <w:spacing w:before="72" w:line="240" w:lineRule="auto"/>
              <w:ind w:left="24" w:right="36"/>
              <w:rPr>
                <w:color w:val="000000"/>
                <w:sz w:val="12"/>
                <w:szCs w:val="12"/>
              </w:rPr>
            </w:pPr>
            <w:r>
              <w:rPr>
                <w:color w:val="000000"/>
                <w:sz w:val="12"/>
                <w:szCs w:val="12"/>
              </w:rPr>
              <w:t xml:space="preserve">Community-based energy advisors will </w:t>
            </w:r>
            <w:r>
              <w:rPr>
                <w:color w:val="6AA84F"/>
                <w:sz w:val="12"/>
                <w:szCs w:val="12"/>
              </w:rPr>
              <w:t>grow from 2 to 6 employees</w:t>
            </w:r>
            <w:r>
              <w:rPr>
                <w:color w:val="000000"/>
                <w:sz w:val="12"/>
                <w:szCs w:val="12"/>
              </w:rPr>
              <w:t>, who, amongst other things, will help to bring forward more community energy schemes. They will have the technical expertise to support groups looking to develop and deliver community energy schemes and the advisors will also be able to deliver important public safety messaging related to new low carbon technologies.</w:t>
            </w:r>
          </w:p>
        </w:tc>
        <w:tc>
          <w:tcPr>
            <w:tcW w:w="1305" w:type="dxa"/>
            <w:shd w:val="clear" w:color="auto" w:fill="B6D7A8"/>
          </w:tcPr>
          <w:p w14:paraId="000000EF" w14:textId="77777777" w:rsidR="00F428E9" w:rsidRDefault="00803E73">
            <w:pPr>
              <w:pStyle w:val="Normal1"/>
              <w:pBdr>
                <w:top w:val="nil"/>
                <w:left w:val="nil"/>
                <w:bottom w:val="nil"/>
                <w:right w:val="nil"/>
                <w:between w:val="nil"/>
              </w:pBdr>
              <w:spacing w:line="240" w:lineRule="auto"/>
              <w:ind w:left="24" w:right="53"/>
              <w:rPr>
                <w:color w:val="000000"/>
                <w:sz w:val="12"/>
                <w:szCs w:val="12"/>
              </w:rPr>
            </w:pPr>
            <w:r>
              <w:rPr>
                <w:color w:val="000000"/>
                <w:sz w:val="12"/>
                <w:szCs w:val="12"/>
              </w:rPr>
              <w:t>Investment of £2.4m to recruit 6 local area energy plan advisors who will work in collaboration with local authorities and the wider energy sector to provide useful input and feedback to local authorities on their plans, including investing in upskilling external partners and collaborate with community groups to deliver a decarbonised future.</w:t>
            </w:r>
          </w:p>
        </w:tc>
        <w:tc>
          <w:tcPr>
            <w:tcW w:w="1515" w:type="dxa"/>
            <w:shd w:val="clear" w:color="auto" w:fill="B6D7A8"/>
          </w:tcPr>
          <w:p w14:paraId="000000F0" w14:textId="77777777" w:rsidR="00F428E9" w:rsidRDefault="00F428E9">
            <w:pPr>
              <w:pStyle w:val="Normal1"/>
              <w:pBdr>
                <w:top w:val="nil"/>
                <w:left w:val="nil"/>
                <w:bottom w:val="nil"/>
                <w:right w:val="nil"/>
                <w:between w:val="nil"/>
              </w:pBdr>
              <w:spacing w:line="240" w:lineRule="auto"/>
              <w:rPr>
                <w:color w:val="000000"/>
                <w:sz w:val="12"/>
                <w:szCs w:val="12"/>
              </w:rPr>
            </w:pPr>
          </w:p>
          <w:p w14:paraId="000000F1" w14:textId="77777777" w:rsidR="00F428E9" w:rsidRDefault="00803E73">
            <w:pPr>
              <w:pStyle w:val="Normal1"/>
              <w:pBdr>
                <w:top w:val="nil"/>
                <w:left w:val="nil"/>
                <w:bottom w:val="nil"/>
                <w:right w:val="nil"/>
                <w:between w:val="nil"/>
              </w:pBdr>
              <w:spacing w:before="72" w:line="240" w:lineRule="auto"/>
              <w:ind w:left="24" w:right="34"/>
              <w:rPr>
                <w:color w:val="000000"/>
                <w:sz w:val="12"/>
                <w:szCs w:val="12"/>
              </w:rPr>
            </w:pPr>
            <w:r>
              <w:rPr>
                <w:color w:val="000000"/>
                <w:sz w:val="12"/>
                <w:szCs w:val="12"/>
              </w:rPr>
              <w:t>Creation of Open Insights, a self-service analytics toolkit which, amongst other things, will allow local authorities to use network data to plan for decarbonisation and identify the most cost-effective routes to deliver their plans, which may include localised community energy schemes.</w:t>
            </w:r>
          </w:p>
        </w:tc>
        <w:tc>
          <w:tcPr>
            <w:tcW w:w="1395" w:type="dxa"/>
            <w:shd w:val="clear" w:color="auto" w:fill="F9CB9B"/>
          </w:tcPr>
          <w:p w14:paraId="000000F2" w14:textId="77777777" w:rsidR="00F428E9" w:rsidRDefault="00F428E9">
            <w:pPr>
              <w:pStyle w:val="Normal1"/>
              <w:pBdr>
                <w:top w:val="nil"/>
                <w:left w:val="nil"/>
                <w:bottom w:val="nil"/>
                <w:right w:val="nil"/>
                <w:between w:val="nil"/>
              </w:pBdr>
              <w:spacing w:line="240" w:lineRule="auto"/>
              <w:rPr>
                <w:color w:val="000000"/>
                <w:sz w:val="12"/>
                <w:szCs w:val="12"/>
              </w:rPr>
            </w:pPr>
          </w:p>
          <w:p w14:paraId="000000F3" w14:textId="77777777" w:rsidR="00F428E9" w:rsidRDefault="00F428E9">
            <w:pPr>
              <w:pStyle w:val="Normal1"/>
              <w:pBdr>
                <w:top w:val="nil"/>
                <w:left w:val="nil"/>
                <w:bottom w:val="nil"/>
                <w:right w:val="nil"/>
                <w:between w:val="nil"/>
              </w:pBdr>
              <w:spacing w:line="240" w:lineRule="auto"/>
              <w:rPr>
                <w:color w:val="000000"/>
                <w:sz w:val="12"/>
                <w:szCs w:val="12"/>
              </w:rPr>
            </w:pPr>
          </w:p>
          <w:p w14:paraId="000000F4" w14:textId="77777777" w:rsidR="00F428E9" w:rsidRDefault="00F428E9">
            <w:pPr>
              <w:pStyle w:val="Normal1"/>
              <w:pBdr>
                <w:top w:val="nil"/>
                <w:left w:val="nil"/>
                <w:bottom w:val="nil"/>
                <w:right w:val="nil"/>
                <w:between w:val="nil"/>
              </w:pBdr>
              <w:spacing w:line="240" w:lineRule="auto"/>
              <w:rPr>
                <w:color w:val="000000"/>
                <w:sz w:val="12"/>
                <w:szCs w:val="12"/>
              </w:rPr>
            </w:pPr>
          </w:p>
          <w:p w14:paraId="000000F5" w14:textId="77777777" w:rsidR="00F428E9" w:rsidRDefault="00F428E9">
            <w:pPr>
              <w:pStyle w:val="Normal1"/>
              <w:pBdr>
                <w:top w:val="nil"/>
                <w:left w:val="nil"/>
                <w:bottom w:val="nil"/>
                <w:right w:val="nil"/>
                <w:between w:val="nil"/>
              </w:pBdr>
              <w:spacing w:line="240" w:lineRule="auto"/>
              <w:rPr>
                <w:color w:val="000000"/>
                <w:sz w:val="12"/>
                <w:szCs w:val="12"/>
              </w:rPr>
            </w:pPr>
          </w:p>
          <w:p w14:paraId="000000F6" w14:textId="77777777" w:rsidR="00F428E9" w:rsidRDefault="00803E73">
            <w:pPr>
              <w:pStyle w:val="Normal1"/>
              <w:pBdr>
                <w:top w:val="nil"/>
                <w:left w:val="nil"/>
                <w:bottom w:val="nil"/>
                <w:right w:val="nil"/>
                <w:between w:val="nil"/>
              </w:pBdr>
              <w:spacing w:before="71" w:line="240" w:lineRule="auto"/>
              <w:ind w:left="24" w:right="81"/>
              <w:rPr>
                <w:color w:val="000000"/>
                <w:sz w:val="12"/>
                <w:szCs w:val="12"/>
              </w:rPr>
            </w:pPr>
            <w:r>
              <w:rPr>
                <w:color w:val="000000"/>
                <w:sz w:val="12"/>
                <w:szCs w:val="12"/>
              </w:rPr>
              <w:t>A chapter called 'Our Communities' which sets out support for communities in general</w:t>
            </w:r>
          </w:p>
        </w:tc>
        <w:tc>
          <w:tcPr>
            <w:tcW w:w="525" w:type="dxa"/>
            <w:vMerge w:val="restart"/>
          </w:tcPr>
          <w:p w14:paraId="000000F7" w14:textId="77777777" w:rsidR="00F428E9" w:rsidRDefault="00F428E9">
            <w:pPr>
              <w:pStyle w:val="Normal1"/>
              <w:pBdr>
                <w:top w:val="nil"/>
                <w:left w:val="nil"/>
                <w:bottom w:val="nil"/>
                <w:right w:val="nil"/>
                <w:between w:val="nil"/>
              </w:pBdr>
              <w:spacing w:line="240" w:lineRule="auto"/>
              <w:rPr>
                <w:color w:val="000000"/>
              </w:rPr>
            </w:pPr>
          </w:p>
          <w:p w14:paraId="000000F8" w14:textId="77777777" w:rsidR="00F428E9" w:rsidRDefault="00F428E9">
            <w:pPr>
              <w:pStyle w:val="Normal1"/>
              <w:pBdr>
                <w:top w:val="nil"/>
                <w:left w:val="nil"/>
                <w:bottom w:val="nil"/>
                <w:right w:val="nil"/>
                <w:between w:val="nil"/>
              </w:pBdr>
              <w:spacing w:line="240" w:lineRule="auto"/>
              <w:rPr>
                <w:color w:val="000000"/>
              </w:rPr>
            </w:pPr>
          </w:p>
          <w:p w14:paraId="000000F9" w14:textId="77777777" w:rsidR="00F428E9" w:rsidRDefault="00F428E9">
            <w:pPr>
              <w:pStyle w:val="Normal1"/>
              <w:pBdr>
                <w:top w:val="nil"/>
                <w:left w:val="nil"/>
                <w:bottom w:val="nil"/>
                <w:right w:val="nil"/>
                <w:between w:val="nil"/>
              </w:pBdr>
              <w:spacing w:line="240" w:lineRule="auto"/>
              <w:rPr>
                <w:color w:val="000000"/>
              </w:rPr>
            </w:pPr>
          </w:p>
          <w:p w14:paraId="000000FA" w14:textId="77777777" w:rsidR="00F428E9" w:rsidRDefault="00F428E9">
            <w:pPr>
              <w:pStyle w:val="Normal1"/>
              <w:pBdr>
                <w:top w:val="nil"/>
                <w:left w:val="nil"/>
                <w:bottom w:val="nil"/>
                <w:right w:val="nil"/>
                <w:between w:val="nil"/>
              </w:pBdr>
              <w:spacing w:before="1" w:line="240" w:lineRule="auto"/>
              <w:rPr>
                <w:color w:val="000000"/>
                <w:sz w:val="23"/>
                <w:szCs w:val="23"/>
              </w:rPr>
            </w:pPr>
          </w:p>
          <w:p w14:paraId="000000FB" w14:textId="77777777" w:rsidR="00F428E9" w:rsidRDefault="00803E73">
            <w:pPr>
              <w:pStyle w:val="Normal1"/>
              <w:pBdr>
                <w:top w:val="nil"/>
                <w:left w:val="nil"/>
                <w:bottom w:val="nil"/>
                <w:right w:val="nil"/>
                <w:between w:val="nil"/>
              </w:pBdr>
              <w:spacing w:line="240" w:lineRule="auto"/>
              <w:ind w:left="150"/>
              <w:rPr>
                <w:b/>
                <w:color w:val="000000"/>
                <w:sz w:val="22"/>
                <w:szCs w:val="22"/>
              </w:rPr>
            </w:pPr>
            <w:r>
              <w:rPr>
                <w:b/>
                <w:color w:val="000000"/>
                <w:sz w:val="22"/>
                <w:szCs w:val="22"/>
              </w:rPr>
              <w:t>6/10</w:t>
            </w:r>
          </w:p>
        </w:tc>
        <w:tc>
          <w:tcPr>
            <w:tcW w:w="1815" w:type="dxa"/>
            <w:vMerge w:val="restart"/>
          </w:tcPr>
          <w:p w14:paraId="000000FC" w14:textId="77777777" w:rsidR="00F428E9" w:rsidRDefault="00F428E9">
            <w:pPr>
              <w:pStyle w:val="Normal1"/>
              <w:pBdr>
                <w:top w:val="nil"/>
                <w:left w:val="nil"/>
                <w:bottom w:val="nil"/>
                <w:right w:val="nil"/>
                <w:between w:val="nil"/>
              </w:pBdr>
              <w:spacing w:before="5" w:line="240" w:lineRule="auto"/>
              <w:rPr>
                <w:color w:val="000000"/>
                <w:sz w:val="9"/>
                <w:szCs w:val="9"/>
              </w:rPr>
            </w:pPr>
          </w:p>
          <w:p w14:paraId="000000FD" w14:textId="77777777" w:rsidR="00F428E9" w:rsidRDefault="00803E73">
            <w:pPr>
              <w:pStyle w:val="Normal1"/>
              <w:pBdr>
                <w:top w:val="nil"/>
                <w:left w:val="nil"/>
                <w:bottom w:val="nil"/>
                <w:right w:val="nil"/>
                <w:between w:val="nil"/>
              </w:pBdr>
              <w:spacing w:line="240" w:lineRule="auto"/>
              <w:ind w:left="24" w:right="36"/>
              <w:rPr>
                <w:color w:val="000000"/>
                <w:sz w:val="12"/>
                <w:szCs w:val="12"/>
              </w:rPr>
            </w:pPr>
            <w:r>
              <w:rPr>
                <w:color w:val="000000"/>
                <w:sz w:val="12"/>
                <w:szCs w:val="12"/>
              </w:rPr>
              <w:t>We believe NPG is generally supportive of CE in principle. The funds allocated appear among the more generous. However, we are unclear if or how the social impact programme will impact community energy. Overall there is a general need for more clarity for the CE sector throughout the business plan. For example, explaining what the 'value of communities propositions' means to community organisations; more detail about how the alteration to connection services will impact community organisations. We would recommend the creation of a specific CE strategy in addition to the 'our communities' chapter to add clarity and an opportunity to specify funding for CE.</w:t>
            </w:r>
          </w:p>
        </w:tc>
      </w:tr>
      <w:tr w:rsidR="00F428E9" w14:paraId="6935EB5A" w14:textId="77777777">
        <w:trPr>
          <w:trHeight w:val="455"/>
        </w:trPr>
        <w:tc>
          <w:tcPr>
            <w:tcW w:w="2265" w:type="dxa"/>
            <w:gridSpan w:val="2"/>
            <w:vMerge/>
          </w:tcPr>
          <w:p w14:paraId="000000FE"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335" w:type="dxa"/>
          </w:tcPr>
          <w:p w14:paraId="00000100"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2100" w:type="dxa"/>
          </w:tcPr>
          <w:p w14:paraId="00000101"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965" w:type="dxa"/>
            <w:shd w:val="clear" w:color="auto" w:fill="F9CB9B"/>
          </w:tcPr>
          <w:p w14:paraId="00000102" w14:textId="77777777" w:rsidR="00F428E9" w:rsidRDefault="00803E73">
            <w:pPr>
              <w:pStyle w:val="Normal1"/>
              <w:pBdr>
                <w:top w:val="nil"/>
                <w:left w:val="nil"/>
                <w:bottom w:val="nil"/>
                <w:right w:val="nil"/>
                <w:between w:val="nil"/>
              </w:pBdr>
              <w:spacing w:line="240" w:lineRule="auto"/>
              <w:ind w:left="24" w:right="16"/>
              <w:rPr>
                <w:color w:val="000000"/>
                <w:sz w:val="12"/>
                <w:szCs w:val="12"/>
              </w:rPr>
            </w:pPr>
            <w:r>
              <w:rPr>
                <w:color w:val="000000"/>
                <w:sz w:val="12"/>
                <w:szCs w:val="12"/>
              </w:rPr>
              <w:t>Expansion of the ‘community energy engagement offering’ including tailored support for community groups.</w:t>
            </w:r>
          </w:p>
        </w:tc>
        <w:tc>
          <w:tcPr>
            <w:tcW w:w="1305" w:type="dxa"/>
          </w:tcPr>
          <w:p w14:paraId="00000103"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515" w:type="dxa"/>
          </w:tcPr>
          <w:p w14:paraId="00000104"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395" w:type="dxa"/>
          </w:tcPr>
          <w:p w14:paraId="00000105"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525" w:type="dxa"/>
            <w:vMerge/>
          </w:tcPr>
          <w:p w14:paraId="00000106"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815" w:type="dxa"/>
            <w:vMerge/>
          </w:tcPr>
          <w:p w14:paraId="00000107" w14:textId="77777777" w:rsidR="00F428E9" w:rsidRDefault="00F428E9">
            <w:pPr>
              <w:pStyle w:val="Normal1"/>
              <w:pBdr>
                <w:top w:val="nil"/>
                <w:left w:val="nil"/>
                <w:bottom w:val="nil"/>
                <w:right w:val="nil"/>
                <w:between w:val="nil"/>
              </w:pBdr>
              <w:spacing w:line="276" w:lineRule="auto"/>
              <w:rPr>
                <w:color w:val="000000"/>
                <w:sz w:val="12"/>
                <w:szCs w:val="12"/>
              </w:rPr>
            </w:pPr>
          </w:p>
        </w:tc>
      </w:tr>
      <w:tr w:rsidR="00F428E9" w14:paraId="6FF7C79B" w14:textId="77777777">
        <w:trPr>
          <w:trHeight w:val="319"/>
        </w:trPr>
        <w:tc>
          <w:tcPr>
            <w:tcW w:w="2265" w:type="dxa"/>
            <w:gridSpan w:val="2"/>
            <w:vMerge/>
          </w:tcPr>
          <w:p w14:paraId="00000108"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335" w:type="dxa"/>
          </w:tcPr>
          <w:p w14:paraId="0000010A"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2100" w:type="dxa"/>
          </w:tcPr>
          <w:p w14:paraId="0000010B"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965" w:type="dxa"/>
            <w:shd w:val="clear" w:color="auto" w:fill="F9CB9B"/>
          </w:tcPr>
          <w:p w14:paraId="0000010C" w14:textId="77777777" w:rsidR="00F428E9" w:rsidRDefault="00803E73">
            <w:pPr>
              <w:pStyle w:val="Normal1"/>
              <w:pBdr>
                <w:top w:val="nil"/>
                <w:left w:val="nil"/>
                <w:bottom w:val="nil"/>
                <w:right w:val="nil"/>
                <w:between w:val="nil"/>
              </w:pBdr>
              <w:spacing w:before="7" w:line="240" w:lineRule="auto"/>
              <w:ind w:left="24" w:right="96"/>
              <w:rPr>
                <w:color w:val="000000"/>
                <w:sz w:val="12"/>
                <w:szCs w:val="12"/>
              </w:rPr>
            </w:pPr>
            <w:r>
              <w:rPr>
                <w:color w:val="000000"/>
                <w:sz w:val="12"/>
                <w:szCs w:val="12"/>
              </w:rPr>
              <w:t xml:space="preserve">Hosting of </w:t>
            </w:r>
            <w:r>
              <w:rPr>
                <w:color w:val="6AA84F"/>
                <w:sz w:val="12"/>
                <w:szCs w:val="12"/>
              </w:rPr>
              <w:t xml:space="preserve">four local energy planning forums </w:t>
            </w:r>
            <w:r>
              <w:rPr>
                <w:color w:val="000000"/>
                <w:sz w:val="12"/>
                <w:szCs w:val="12"/>
              </w:rPr>
              <w:t>per year.</w:t>
            </w:r>
          </w:p>
        </w:tc>
        <w:tc>
          <w:tcPr>
            <w:tcW w:w="1305" w:type="dxa"/>
          </w:tcPr>
          <w:p w14:paraId="0000010D"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515" w:type="dxa"/>
          </w:tcPr>
          <w:p w14:paraId="0000010E"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395" w:type="dxa"/>
          </w:tcPr>
          <w:p w14:paraId="0000010F"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525" w:type="dxa"/>
            <w:vMerge/>
          </w:tcPr>
          <w:p w14:paraId="00000110"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815" w:type="dxa"/>
            <w:vMerge/>
          </w:tcPr>
          <w:p w14:paraId="00000111" w14:textId="77777777" w:rsidR="00F428E9" w:rsidRDefault="00F428E9">
            <w:pPr>
              <w:pStyle w:val="Normal1"/>
              <w:pBdr>
                <w:top w:val="nil"/>
                <w:left w:val="nil"/>
                <w:bottom w:val="nil"/>
                <w:right w:val="nil"/>
                <w:between w:val="nil"/>
              </w:pBdr>
              <w:spacing w:line="276" w:lineRule="auto"/>
              <w:rPr>
                <w:color w:val="000000"/>
                <w:sz w:val="12"/>
                <w:szCs w:val="12"/>
              </w:rPr>
            </w:pPr>
          </w:p>
        </w:tc>
      </w:tr>
      <w:tr w:rsidR="00F428E9" w14:paraId="33FA7260" w14:textId="77777777">
        <w:trPr>
          <w:trHeight w:val="1980"/>
        </w:trPr>
        <w:tc>
          <w:tcPr>
            <w:tcW w:w="2265" w:type="dxa"/>
            <w:gridSpan w:val="2"/>
            <w:vMerge w:val="restart"/>
          </w:tcPr>
          <w:p w14:paraId="00000112" w14:textId="77777777" w:rsidR="00F428E9" w:rsidRDefault="00F428E9">
            <w:pPr>
              <w:pStyle w:val="Normal1"/>
              <w:pBdr>
                <w:top w:val="nil"/>
                <w:left w:val="nil"/>
                <w:bottom w:val="nil"/>
                <w:right w:val="nil"/>
                <w:between w:val="nil"/>
              </w:pBdr>
              <w:spacing w:line="240" w:lineRule="auto"/>
              <w:rPr>
                <w:color w:val="000000"/>
                <w:sz w:val="18"/>
                <w:szCs w:val="18"/>
              </w:rPr>
            </w:pPr>
          </w:p>
          <w:p w14:paraId="00000113" w14:textId="77777777" w:rsidR="00F428E9" w:rsidRDefault="00F428E9">
            <w:pPr>
              <w:pStyle w:val="Normal1"/>
              <w:pBdr>
                <w:top w:val="nil"/>
                <w:left w:val="nil"/>
                <w:bottom w:val="nil"/>
                <w:right w:val="nil"/>
                <w:between w:val="nil"/>
              </w:pBdr>
              <w:spacing w:line="240" w:lineRule="auto"/>
              <w:rPr>
                <w:color w:val="000000"/>
                <w:sz w:val="18"/>
                <w:szCs w:val="18"/>
              </w:rPr>
            </w:pPr>
          </w:p>
          <w:p w14:paraId="00000114" w14:textId="77777777" w:rsidR="00F428E9" w:rsidRDefault="00F428E9">
            <w:pPr>
              <w:pStyle w:val="Normal1"/>
              <w:pBdr>
                <w:top w:val="nil"/>
                <w:left w:val="nil"/>
                <w:bottom w:val="nil"/>
                <w:right w:val="nil"/>
                <w:between w:val="nil"/>
              </w:pBdr>
              <w:spacing w:line="240" w:lineRule="auto"/>
              <w:rPr>
                <w:color w:val="000000"/>
                <w:sz w:val="18"/>
                <w:szCs w:val="18"/>
              </w:rPr>
            </w:pPr>
          </w:p>
          <w:p w14:paraId="00000115" w14:textId="77777777" w:rsidR="00F428E9" w:rsidRDefault="00F428E9">
            <w:pPr>
              <w:pStyle w:val="Normal1"/>
              <w:pBdr>
                <w:top w:val="nil"/>
                <w:left w:val="nil"/>
                <w:bottom w:val="nil"/>
                <w:right w:val="nil"/>
                <w:between w:val="nil"/>
              </w:pBdr>
              <w:spacing w:line="240" w:lineRule="auto"/>
              <w:rPr>
                <w:color w:val="000000"/>
                <w:sz w:val="18"/>
                <w:szCs w:val="18"/>
              </w:rPr>
            </w:pPr>
          </w:p>
          <w:p w14:paraId="00000116" w14:textId="77777777" w:rsidR="00F428E9" w:rsidRDefault="00F428E9">
            <w:pPr>
              <w:pStyle w:val="Normal1"/>
              <w:pBdr>
                <w:top w:val="nil"/>
                <w:left w:val="nil"/>
                <w:bottom w:val="nil"/>
                <w:right w:val="nil"/>
                <w:between w:val="nil"/>
              </w:pBdr>
              <w:spacing w:line="240" w:lineRule="auto"/>
              <w:rPr>
                <w:color w:val="000000"/>
                <w:sz w:val="18"/>
                <w:szCs w:val="18"/>
              </w:rPr>
            </w:pPr>
          </w:p>
          <w:p w14:paraId="00000117" w14:textId="77777777" w:rsidR="00F428E9" w:rsidRDefault="00840A7E">
            <w:pPr>
              <w:pStyle w:val="Normal1"/>
              <w:pBdr>
                <w:top w:val="nil"/>
                <w:left w:val="nil"/>
                <w:bottom w:val="nil"/>
                <w:right w:val="nil"/>
                <w:between w:val="nil"/>
              </w:pBdr>
              <w:spacing w:before="122" w:line="244" w:lineRule="auto"/>
              <w:ind w:left="24"/>
              <w:rPr>
                <w:color w:val="000000"/>
                <w:sz w:val="15"/>
                <w:szCs w:val="15"/>
              </w:rPr>
            </w:pPr>
            <w:hyperlink r:id="rId22">
              <w:r w:rsidR="00803E73">
                <w:rPr>
                  <w:color w:val="000000"/>
                  <w:sz w:val="15"/>
                  <w:szCs w:val="15"/>
                  <w:u w:val="single"/>
                </w:rPr>
                <w:t>Scottish and Southern</w:t>
              </w:r>
            </w:hyperlink>
            <w:r w:rsidR="00803E73">
              <w:rPr>
                <w:color w:val="000000"/>
                <w:sz w:val="15"/>
                <w:szCs w:val="15"/>
              </w:rPr>
              <w:t xml:space="preserve"> </w:t>
            </w:r>
            <w:hyperlink r:id="rId23">
              <w:r w:rsidR="00803E73">
                <w:rPr>
                  <w:color w:val="000000"/>
                  <w:sz w:val="15"/>
                  <w:szCs w:val="15"/>
                  <w:u w:val="single"/>
                </w:rPr>
                <w:t>Electricity Networks</w:t>
              </w:r>
            </w:hyperlink>
          </w:p>
        </w:tc>
        <w:tc>
          <w:tcPr>
            <w:tcW w:w="1335" w:type="dxa"/>
            <w:shd w:val="clear" w:color="auto" w:fill="F9CB9B"/>
          </w:tcPr>
          <w:p w14:paraId="00000119" w14:textId="77777777" w:rsidR="00F428E9" w:rsidRDefault="00F428E9">
            <w:pPr>
              <w:pStyle w:val="Normal1"/>
              <w:pBdr>
                <w:top w:val="nil"/>
                <w:left w:val="nil"/>
                <w:bottom w:val="nil"/>
                <w:right w:val="nil"/>
                <w:between w:val="nil"/>
              </w:pBdr>
              <w:spacing w:line="240" w:lineRule="auto"/>
              <w:rPr>
                <w:color w:val="000000"/>
                <w:sz w:val="12"/>
                <w:szCs w:val="12"/>
              </w:rPr>
            </w:pPr>
          </w:p>
          <w:p w14:paraId="0000011A" w14:textId="77777777" w:rsidR="00F428E9" w:rsidRDefault="00F428E9">
            <w:pPr>
              <w:pStyle w:val="Normal1"/>
              <w:pBdr>
                <w:top w:val="nil"/>
                <w:left w:val="nil"/>
                <w:bottom w:val="nil"/>
                <w:right w:val="nil"/>
                <w:between w:val="nil"/>
              </w:pBdr>
              <w:spacing w:line="240" w:lineRule="auto"/>
              <w:rPr>
                <w:color w:val="000000"/>
                <w:sz w:val="12"/>
                <w:szCs w:val="12"/>
              </w:rPr>
            </w:pPr>
          </w:p>
          <w:p w14:paraId="0000011B" w14:textId="77777777" w:rsidR="00F428E9" w:rsidRDefault="00F428E9">
            <w:pPr>
              <w:pStyle w:val="Normal1"/>
              <w:pBdr>
                <w:top w:val="nil"/>
                <w:left w:val="nil"/>
                <w:bottom w:val="nil"/>
                <w:right w:val="nil"/>
                <w:between w:val="nil"/>
              </w:pBdr>
              <w:spacing w:line="240" w:lineRule="auto"/>
              <w:rPr>
                <w:color w:val="000000"/>
                <w:sz w:val="12"/>
                <w:szCs w:val="12"/>
              </w:rPr>
            </w:pPr>
          </w:p>
          <w:p w14:paraId="0000011C" w14:textId="77777777" w:rsidR="00F428E9" w:rsidRDefault="00F428E9">
            <w:pPr>
              <w:pStyle w:val="Normal1"/>
              <w:pBdr>
                <w:top w:val="nil"/>
                <w:left w:val="nil"/>
                <w:bottom w:val="nil"/>
                <w:right w:val="nil"/>
                <w:between w:val="nil"/>
              </w:pBdr>
              <w:spacing w:line="240" w:lineRule="auto"/>
              <w:rPr>
                <w:color w:val="000000"/>
                <w:sz w:val="12"/>
                <w:szCs w:val="12"/>
              </w:rPr>
            </w:pPr>
          </w:p>
          <w:p w14:paraId="0000011D" w14:textId="77777777" w:rsidR="00F428E9" w:rsidRDefault="00F428E9">
            <w:pPr>
              <w:pStyle w:val="Normal1"/>
              <w:pBdr>
                <w:top w:val="nil"/>
                <w:left w:val="nil"/>
                <w:bottom w:val="nil"/>
                <w:right w:val="nil"/>
                <w:between w:val="nil"/>
              </w:pBdr>
              <w:spacing w:before="9" w:line="240" w:lineRule="auto"/>
              <w:rPr>
                <w:color w:val="000000"/>
                <w:sz w:val="12"/>
                <w:szCs w:val="12"/>
              </w:rPr>
            </w:pPr>
          </w:p>
          <w:p w14:paraId="0000011E" w14:textId="77777777" w:rsidR="00F428E9" w:rsidRDefault="00803E73">
            <w:pPr>
              <w:pStyle w:val="Normal1"/>
              <w:pBdr>
                <w:top w:val="nil"/>
                <w:left w:val="nil"/>
                <w:bottom w:val="nil"/>
                <w:right w:val="nil"/>
                <w:between w:val="nil"/>
              </w:pBdr>
              <w:spacing w:line="240" w:lineRule="auto"/>
              <w:ind w:left="24" w:right="16"/>
              <w:rPr>
                <w:color w:val="000000"/>
                <w:sz w:val="12"/>
                <w:szCs w:val="12"/>
              </w:rPr>
            </w:pPr>
            <w:r>
              <w:rPr>
                <w:color w:val="000000"/>
                <w:sz w:val="12"/>
                <w:szCs w:val="12"/>
              </w:rPr>
              <w:t>Proposals to take a flexibility first approach to connections and to offer a self-service process for minor connections.</w:t>
            </w:r>
          </w:p>
        </w:tc>
        <w:tc>
          <w:tcPr>
            <w:tcW w:w="2100" w:type="dxa"/>
            <w:shd w:val="clear" w:color="auto" w:fill="F9CB9B"/>
          </w:tcPr>
          <w:p w14:paraId="0000011F" w14:textId="77777777" w:rsidR="00F428E9" w:rsidRDefault="00F428E9">
            <w:pPr>
              <w:pStyle w:val="Normal1"/>
              <w:pBdr>
                <w:top w:val="nil"/>
                <w:left w:val="nil"/>
                <w:bottom w:val="nil"/>
                <w:right w:val="nil"/>
                <w:between w:val="nil"/>
              </w:pBdr>
              <w:spacing w:line="240" w:lineRule="auto"/>
              <w:rPr>
                <w:color w:val="000000"/>
                <w:sz w:val="12"/>
                <w:szCs w:val="12"/>
              </w:rPr>
            </w:pPr>
          </w:p>
          <w:p w14:paraId="00000120" w14:textId="77777777" w:rsidR="00F428E9" w:rsidRDefault="00F428E9">
            <w:pPr>
              <w:pStyle w:val="Normal1"/>
              <w:pBdr>
                <w:top w:val="nil"/>
                <w:left w:val="nil"/>
                <w:bottom w:val="nil"/>
                <w:right w:val="nil"/>
                <w:between w:val="nil"/>
              </w:pBdr>
              <w:spacing w:before="1" w:line="240" w:lineRule="auto"/>
              <w:rPr>
                <w:color w:val="000000"/>
                <w:sz w:val="12"/>
                <w:szCs w:val="12"/>
              </w:rPr>
            </w:pPr>
          </w:p>
          <w:p w14:paraId="00000121" w14:textId="77777777" w:rsidR="00F428E9" w:rsidRDefault="00803E73">
            <w:pPr>
              <w:pStyle w:val="Normal1"/>
              <w:pBdr>
                <w:top w:val="nil"/>
                <w:left w:val="nil"/>
                <w:bottom w:val="nil"/>
                <w:right w:val="nil"/>
                <w:between w:val="nil"/>
              </w:pBdr>
              <w:spacing w:line="240" w:lineRule="auto"/>
              <w:ind w:left="24" w:right="143"/>
              <w:rPr>
                <w:color w:val="000000"/>
                <w:sz w:val="12"/>
                <w:szCs w:val="12"/>
              </w:rPr>
            </w:pPr>
            <w:r>
              <w:rPr>
                <w:color w:val="000000"/>
                <w:sz w:val="12"/>
                <w:szCs w:val="12"/>
              </w:rPr>
              <w:t>Doubling of their ‘Powering Communities to Net Zero’ fund to £2.5m, £500,000 per year. This fund will support low-carbon technology-accessibility initiatives for those in vulnerable situations, and community-led environmental and resilience schemes. The scheme will work with charities and local community groups to ensure inclusivity, collaborate to ensure those who need it most are reached and will focus on community infrastructure rather than on individuals.</w:t>
            </w:r>
          </w:p>
        </w:tc>
        <w:tc>
          <w:tcPr>
            <w:tcW w:w="1965" w:type="dxa"/>
            <w:shd w:val="clear" w:color="auto" w:fill="B6D7A8"/>
          </w:tcPr>
          <w:p w14:paraId="00000122" w14:textId="77777777" w:rsidR="00F428E9" w:rsidRDefault="00F428E9">
            <w:pPr>
              <w:pStyle w:val="Normal1"/>
              <w:pBdr>
                <w:top w:val="nil"/>
                <w:left w:val="nil"/>
                <w:bottom w:val="nil"/>
                <w:right w:val="nil"/>
                <w:between w:val="nil"/>
              </w:pBdr>
              <w:spacing w:line="240" w:lineRule="auto"/>
              <w:rPr>
                <w:color w:val="000000"/>
                <w:sz w:val="12"/>
                <w:szCs w:val="12"/>
              </w:rPr>
            </w:pPr>
          </w:p>
          <w:p w14:paraId="00000123" w14:textId="77777777" w:rsidR="00F428E9" w:rsidRDefault="00F428E9">
            <w:pPr>
              <w:pStyle w:val="Normal1"/>
              <w:pBdr>
                <w:top w:val="nil"/>
                <w:left w:val="nil"/>
                <w:bottom w:val="nil"/>
                <w:right w:val="nil"/>
                <w:between w:val="nil"/>
              </w:pBdr>
              <w:spacing w:line="240" w:lineRule="auto"/>
              <w:rPr>
                <w:color w:val="000000"/>
                <w:sz w:val="12"/>
                <w:szCs w:val="12"/>
              </w:rPr>
            </w:pPr>
          </w:p>
          <w:p w14:paraId="00000124" w14:textId="77777777" w:rsidR="00F428E9" w:rsidRDefault="00F428E9">
            <w:pPr>
              <w:pStyle w:val="Normal1"/>
              <w:pBdr>
                <w:top w:val="nil"/>
                <w:left w:val="nil"/>
                <w:bottom w:val="nil"/>
                <w:right w:val="nil"/>
                <w:between w:val="nil"/>
              </w:pBdr>
              <w:spacing w:line="240" w:lineRule="auto"/>
              <w:rPr>
                <w:color w:val="000000"/>
                <w:sz w:val="12"/>
                <w:szCs w:val="12"/>
              </w:rPr>
            </w:pPr>
          </w:p>
          <w:p w14:paraId="00000125" w14:textId="77777777" w:rsidR="00F428E9" w:rsidRDefault="00F428E9">
            <w:pPr>
              <w:pStyle w:val="Normal1"/>
              <w:pBdr>
                <w:top w:val="nil"/>
                <w:left w:val="nil"/>
                <w:bottom w:val="nil"/>
                <w:right w:val="nil"/>
                <w:between w:val="nil"/>
              </w:pBdr>
              <w:spacing w:line="240" w:lineRule="auto"/>
              <w:rPr>
                <w:color w:val="000000"/>
                <w:sz w:val="12"/>
                <w:szCs w:val="12"/>
              </w:rPr>
            </w:pPr>
          </w:p>
          <w:p w14:paraId="00000126" w14:textId="77777777" w:rsidR="00F428E9" w:rsidRDefault="00F428E9">
            <w:pPr>
              <w:pStyle w:val="Normal1"/>
              <w:pBdr>
                <w:top w:val="nil"/>
                <w:left w:val="nil"/>
                <w:bottom w:val="nil"/>
                <w:right w:val="nil"/>
                <w:between w:val="nil"/>
              </w:pBdr>
              <w:spacing w:before="9" w:line="240" w:lineRule="auto"/>
              <w:rPr>
                <w:color w:val="000000"/>
                <w:sz w:val="12"/>
                <w:szCs w:val="12"/>
              </w:rPr>
            </w:pPr>
          </w:p>
          <w:p w14:paraId="00000127" w14:textId="77777777" w:rsidR="00F428E9" w:rsidRDefault="00803E73">
            <w:pPr>
              <w:pStyle w:val="Normal1"/>
              <w:pBdr>
                <w:top w:val="nil"/>
                <w:left w:val="nil"/>
                <w:bottom w:val="nil"/>
                <w:right w:val="nil"/>
                <w:between w:val="nil"/>
              </w:pBdr>
              <w:spacing w:line="240" w:lineRule="auto"/>
              <w:ind w:left="24" w:right="203"/>
              <w:rPr>
                <w:color w:val="000000"/>
                <w:sz w:val="12"/>
                <w:szCs w:val="12"/>
              </w:rPr>
            </w:pPr>
            <w:r>
              <w:rPr>
                <w:color w:val="000000"/>
                <w:sz w:val="12"/>
                <w:szCs w:val="12"/>
              </w:rPr>
              <w:t>Help to 50,000 households, equivalent to 114,000 customers, with fuel poverty including leveraging community partnerships to connect with hard-to-reach customers.</w:t>
            </w:r>
          </w:p>
        </w:tc>
        <w:tc>
          <w:tcPr>
            <w:tcW w:w="1305" w:type="dxa"/>
            <w:shd w:val="clear" w:color="auto" w:fill="F9CB9B"/>
          </w:tcPr>
          <w:p w14:paraId="00000128" w14:textId="77777777" w:rsidR="00F428E9" w:rsidRDefault="00F428E9">
            <w:pPr>
              <w:pStyle w:val="Normal1"/>
              <w:pBdr>
                <w:top w:val="nil"/>
                <w:left w:val="nil"/>
                <w:bottom w:val="nil"/>
                <w:right w:val="nil"/>
                <w:between w:val="nil"/>
              </w:pBdr>
              <w:spacing w:line="240" w:lineRule="auto"/>
              <w:rPr>
                <w:color w:val="000000"/>
                <w:sz w:val="12"/>
                <w:szCs w:val="12"/>
              </w:rPr>
            </w:pPr>
          </w:p>
          <w:p w14:paraId="00000129" w14:textId="77777777" w:rsidR="00F428E9" w:rsidRDefault="00803E73">
            <w:pPr>
              <w:pStyle w:val="Normal1"/>
              <w:pBdr>
                <w:top w:val="nil"/>
                <w:left w:val="nil"/>
                <w:bottom w:val="nil"/>
                <w:right w:val="nil"/>
                <w:between w:val="nil"/>
              </w:pBdr>
              <w:spacing w:before="72" w:line="240" w:lineRule="auto"/>
              <w:ind w:left="24" w:right="60"/>
              <w:rPr>
                <w:color w:val="000000"/>
                <w:sz w:val="12"/>
                <w:szCs w:val="12"/>
              </w:rPr>
            </w:pPr>
            <w:r>
              <w:rPr>
                <w:color w:val="000000"/>
                <w:sz w:val="12"/>
                <w:szCs w:val="12"/>
              </w:rPr>
              <w:t>Provision of dedicated support to develop Local Area Energy Plans for local authorities and key groups, and set up an Information, Advisory and Whole Systems Liaison Service to support local authorities</w:t>
            </w:r>
          </w:p>
          <w:p w14:paraId="0000012A" w14:textId="77777777" w:rsidR="00F428E9" w:rsidRDefault="00803E73">
            <w:pPr>
              <w:pStyle w:val="Normal1"/>
              <w:pBdr>
                <w:top w:val="nil"/>
                <w:left w:val="nil"/>
                <w:bottom w:val="nil"/>
                <w:right w:val="nil"/>
                <w:between w:val="nil"/>
              </w:pBdr>
              <w:spacing w:before="4" w:line="240" w:lineRule="auto"/>
              <w:ind w:left="24" w:right="13"/>
              <w:rPr>
                <w:color w:val="000000"/>
                <w:sz w:val="12"/>
                <w:szCs w:val="12"/>
              </w:rPr>
            </w:pPr>
            <w:r>
              <w:rPr>
                <w:color w:val="000000"/>
                <w:sz w:val="12"/>
                <w:szCs w:val="12"/>
              </w:rPr>
              <w:t>achieve their net zero ambitions. Provision of support to 200 community groups and 72 local authorities.</w:t>
            </w:r>
          </w:p>
        </w:tc>
        <w:tc>
          <w:tcPr>
            <w:tcW w:w="1515" w:type="dxa"/>
            <w:shd w:val="clear" w:color="auto" w:fill="B6D7A8"/>
          </w:tcPr>
          <w:p w14:paraId="0000012B" w14:textId="77777777" w:rsidR="00F428E9" w:rsidRDefault="00803E73">
            <w:pPr>
              <w:pStyle w:val="Normal1"/>
              <w:pBdr>
                <w:top w:val="nil"/>
                <w:left w:val="nil"/>
                <w:bottom w:val="nil"/>
                <w:right w:val="nil"/>
                <w:between w:val="nil"/>
              </w:pBdr>
              <w:spacing w:line="240" w:lineRule="auto"/>
              <w:ind w:left="24" w:right="96"/>
              <w:rPr>
                <w:color w:val="000000"/>
                <w:sz w:val="12"/>
                <w:szCs w:val="12"/>
              </w:rPr>
            </w:pPr>
            <w:r>
              <w:rPr>
                <w:color w:val="000000"/>
                <w:sz w:val="12"/>
                <w:szCs w:val="12"/>
              </w:rPr>
              <w:t>Creation of an open data portal that can be used by local authorities, community groups to enable whole systems collaboration. The system will include tailored local information packages and guidance and interpretation of the data, scenario and output modelling, advisory support to assist groups to identify, scope and improve the design of Whole Systems opportunities, support with applications for funding for projects, and ongoing technical support.</w:t>
            </w:r>
          </w:p>
        </w:tc>
        <w:tc>
          <w:tcPr>
            <w:tcW w:w="1395" w:type="dxa"/>
            <w:shd w:val="clear" w:color="auto" w:fill="E6B8AE"/>
          </w:tcPr>
          <w:p w14:paraId="0000012C" w14:textId="77777777" w:rsidR="00F428E9" w:rsidRDefault="00F428E9">
            <w:pPr>
              <w:pStyle w:val="Normal1"/>
              <w:pBdr>
                <w:top w:val="nil"/>
                <w:left w:val="nil"/>
                <w:bottom w:val="nil"/>
                <w:right w:val="nil"/>
                <w:between w:val="nil"/>
              </w:pBdr>
              <w:spacing w:line="240" w:lineRule="auto"/>
              <w:rPr>
                <w:color w:val="000000"/>
                <w:sz w:val="12"/>
                <w:szCs w:val="12"/>
              </w:rPr>
            </w:pPr>
          </w:p>
          <w:p w14:paraId="0000012D" w14:textId="77777777" w:rsidR="00F428E9" w:rsidRDefault="00F428E9">
            <w:pPr>
              <w:pStyle w:val="Normal1"/>
              <w:pBdr>
                <w:top w:val="nil"/>
                <w:left w:val="nil"/>
                <w:bottom w:val="nil"/>
                <w:right w:val="nil"/>
                <w:between w:val="nil"/>
              </w:pBdr>
              <w:spacing w:line="240" w:lineRule="auto"/>
              <w:rPr>
                <w:color w:val="000000"/>
                <w:sz w:val="12"/>
                <w:szCs w:val="12"/>
              </w:rPr>
            </w:pPr>
          </w:p>
          <w:p w14:paraId="0000012E" w14:textId="77777777" w:rsidR="00F428E9" w:rsidRDefault="00F428E9">
            <w:pPr>
              <w:pStyle w:val="Normal1"/>
              <w:pBdr>
                <w:top w:val="nil"/>
                <w:left w:val="nil"/>
                <w:bottom w:val="nil"/>
                <w:right w:val="nil"/>
                <w:between w:val="nil"/>
              </w:pBdr>
              <w:spacing w:line="240" w:lineRule="auto"/>
              <w:rPr>
                <w:color w:val="000000"/>
                <w:sz w:val="12"/>
                <w:szCs w:val="12"/>
              </w:rPr>
            </w:pPr>
          </w:p>
          <w:p w14:paraId="0000012F" w14:textId="77777777" w:rsidR="00F428E9" w:rsidRDefault="00F428E9">
            <w:pPr>
              <w:pStyle w:val="Normal1"/>
              <w:pBdr>
                <w:top w:val="nil"/>
                <w:left w:val="nil"/>
                <w:bottom w:val="nil"/>
                <w:right w:val="nil"/>
                <w:between w:val="nil"/>
              </w:pBdr>
              <w:spacing w:line="240" w:lineRule="auto"/>
              <w:rPr>
                <w:color w:val="000000"/>
                <w:sz w:val="12"/>
                <w:szCs w:val="12"/>
              </w:rPr>
            </w:pPr>
          </w:p>
          <w:p w14:paraId="00000130" w14:textId="77777777" w:rsidR="00F428E9" w:rsidRDefault="00F428E9">
            <w:pPr>
              <w:pStyle w:val="Normal1"/>
              <w:pBdr>
                <w:top w:val="nil"/>
                <w:left w:val="nil"/>
                <w:bottom w:val="nil"/>
                <w:right w:val="nil"/>
                <w:between w:val="nil"/>
              </w:pBdr>
              <w:spacing w:before="9" w:line="240" w:lineRule="auto"/>
              <w:rPr>
                <w:color w:val="000000"/>
                <w:sz w:val="12"/>
                <w:szCs w:val="12"/>
              </w:rPr>
            </w:pPr>
          </w:p>
          <w:p w14:paraId="00000131" w14:textId="77777777" w:rsidR="00F428E9" w:rsidRDefault="00803E73">
            <w:pPr>
              <w:pStyle w:val="Normal1"/>
              <w:pBdr>
                <w:top w:val="nil"/>
                <w:left w:val="nil"/>
                <w:bottom w:val="nil"/>
                <w:right w:val="nil"/>
                <w:between w:val="nil"/>
              </w:pBdr>
              <w:spacing w:line="240" w:lineRule="auto"/>
              <w:ind w:left="24" w:right="81"/>
              <w:rPr>
                <w:color w:val="000000"/>
                <w:sz w:val="12"/>
                <w:szCs w:val="12"/>
              </w:rPr>
            </w:pPr>
            <w:r>
              <w:rPr>
                <w:color w:val="000000"/>
                <w:sz w:val="12"/>
                <w:szCs w:val="12"/>
              </w:rPr>
              <w:t>A chapter called 'Our Communities' but this is just an introduction to the region not a set of relevant proposals</w:t>
            </w:r>
          </w:p>
        </w:tc>
        <w:tc>
          <w:tcPr>
            <w:tcW w:w="525" w:type="dxa"/>
            <w:vMerge w:val="restart"/>
          </w:tcPr>
          <w:p w14:paraId="00000132" w14:textId="77777777" w:rsidR="00F428E9" w:rsidRDefault="00F428E9">
            <w:pPr>
              <w:pStyle w:val="Normal1"/>
              <w:pBdr>
                <w:top w:val="nil"/>
                <w:left w:val="nil"/>
                <w:bottom w:val="nil"/>
                <w:right w:val="nil"/>
                <w:between w:val="nil"/>
              </w:pBdr>
              <w:spacing w:line="240" w:lineRule="auto"/>
              <w:rPr>
                <w:color w:val="000000"/>
              </w:rPr>
            </w:pPr>
          </w:p>
          <w:p w14:paraId="00000133" w14:textId="77777777" w:rsidR="00F428E9" w:rsidRDefault="00F428E9">
            <w:pPr>
              <w:pStyle w:val="Normal1"/>
              <w:pBdr>
                <w:top w:val="nil"/>
                <w:left w:val="nil"/>
                <w:bottom w:val="nil"/>
                <w:right w:val="nil"/>
                <w:between w:val="nil"/>
              </w:pBdr>
              <w:spacing w:line="240" w:lineRule="auto"/>
              <w:rPr>
                <w:color w:val="000000"/>
              </w:rPr>
            </w:pPr>
          </w:p>
          <w:p w14:paraId="00000134" w14:textId="77777777" w:rsidR="00F428E9" w:rsidRDefault="00F428E9">
            <w:pPr>
              <w:pStyle w:val="Normal1"/>
              <w:pBdr>
                <w:top w:val="nil"/>
                <w:left w:val="nil"/>
                <w:bottom w:val="nil"/>
                <w:right w:val="nil"/>
                <w:between w:val="nil"/>
              </w:pBdr>
              <w:spacing w:line="240" w:lineRule="auto"/>
              <w:rPr>
                <w:color w:val="000000"/>
              </w:rPr>
            </w:pPr>
          </w:p>
          <w:p w14:paraId="00000135" w14:textId="77777777" w:rsidR="00F428E9" w:rsidRDefault="00F428E9">
            <w:pPr>
              <w:pStyle w:val="Normal1"/>
              <w:pBdr>
                <w:top w:val="nil"/>
                <w:left w:val="nil"/>
                <w:bottom w:val="nil"/>
                <w:right w:val="nil"/>
                <w:between w:val="nil"/>
              </w:pBdr>
              <w:spacing w:before="4" w:line="240" w:lineRule="auto"/>
              <w:rPr>
                <w:color w:val="000000"/>
                <w:sz w:val="33"/>
                <w:szCs w:val="33"/>
              </w:rPr>
            </w:pPr>
          </w:p>
          <w:p w14:paraId="00000136" w14:textId="77777777" w:rsidR="00F428E9" w:rsidRDefault="00803E73">
            <w:pPr>
              <w:pStyle w:val="Normal1"/>
              <w:pBdr>
                <w:top w:val="nil"/>
                <w:left w:val="nil"/>
                <w:bottom w:val="nil"/>
                <w:right w:val="nil"/>
                <w:between w:val="nil"/>
              </w:pBdr>
              <w:spacing w:line="240" w:lineRule="auto"/>
              <w:ind w:left="150"/>
              <w:rPr>
                <w:b/>
                <w:color w:val="000000"/>
                <w:sz w:val="22"/>
                <w:szCs w:val="22"/>
              </w:rPr>
            </w:pPr>
            <w:r>
              <w:rPr>
                <w:b/>
                <w:color w:val="000000"/>
                <w:sz w:val="22"/>
                <w:szCs w:val="22"/>
              </w:rPr>
              <w:t>5/10</w:t>
            </w:r>
          </w:p>
        </w:tc>
        <w:tc>
          <w:tcPr>
            <w:tcW w:w="1815" w:type="dxa"/>
            <w:vMerge w:val="restart"/>
          </w:tcPr>
          <w:p w14:paraId="00000137" w14:textId="77777777" w:rsidR="00F428E9" w:rsidRDefault="00F428E9">
            <w:pPr>
              <w:pStyle w:val="Normal1"/>
              <w:pBdr>
                <w:top w:val="nil"/>
                <w:left w:val="nil"/>
                <w:bottom w:val="nil"/>
                <w:right w:val="nil"/>
                <w:between w:val="nil"/>
              </w:pBdr>
              <w:spacing w:line="240" w:lineRule="auto"/>
              <w:rPr>
                <w:color w:val="000000"/>
                <w:sz w:val="12"/>
                <w:szCs w:val="12"/>
              </w:rPr>
            </w:pPr>
          </w:p>
          <w:p w14:paraId="00000138" w14:textId="77777777" w:rsidR="00F428E9" w:rsidRDefault="00F428E9">
            <w:pPr>
              <w:pStyle w:val="Normal1"/>
              <w:pBdr>
                <w:top w:val="nil"/>
                <w:left w:val="nil"/>
                <w:bottom w:val="nil"/>
                <w:right w:val="nil"/>
                <w:between w:val="nil"/>
              </w:pBdr>
              <w:spacing w:before="4" w:line="240" w:lineRule="auto"/>
              <w:rPr>
                <w:color w:val="000000"/>
                <w:sz w:val="14"/>
                <w:szCs w:val="14"/>
              </w:rPr>
            </w:pPr>
          </w:p>
          <w:p w14:paraId="00000139" w14:textId="77777777" w:rsidR="00F428E9" w:rsidRDefault="00F428E9">
            <w:pPr>
              <w:pStyle w:val="Normal1"/>
              <w:pBdr>
                <w:top w:val="nil"/>
                <w:left w:val="nil"/>
                <w:bottom w:val="nil"/>
                <w:right w:val="nil"/>
                <w:between w:val="nil"/>
              </w:pBdr>
              <w:spacing w:line="240" w:lineRule="auto"/>
              <w:ind w:left="24" w:right="54"/>
              <w:rPr>
                <w:color w:val="000000"/>
                <w:sz w:val="12"/>
                <w:szCs w:val="12"/>
              </w:rPr>
            </w:pPr>
          </w:p>
          <w:p w14:paraId="0000013A" w14:textId="77777777" w:rsidR="00F428E9" w:rsidRDefault="00803E73">
            <w:pPr>
              <w:pStyle w:val="Normal1"/>
              <w:pBdr>
                <w:top w:val="nil"/>
                <w:left w:val="nil"/>
                <w:bottom w:val="nil"/>
                <w:right w:val="nil"/>
                <w:between w:val="nil"/>
              </w:pBdr>
              <w:spacing w:line="240" w:lineRule="auto"/>
              <w:ind w:left="24" w:right="54"/>
              <w:rPr>
                <w:color w:val="000000"/>
                <w:sz w:val="12"/>
                <w:szCs w:val="12"/>
              </w:rPr>
            </w:pPr>
            <w:r>
              <w:rPr>
                <w:color w:val="000000"/>
                <w:sz w:val="12"/>
                <w:szCs w:val="12"/>
              </w:rPr>
              <w:t>The remit of the community fund is clear but at the lower end compared with other DNOs. We would like to see more clarity in how the flexibility first approach to connections will work in practice for community organisations. Regarding support, there is no mention of additional staff so we would query how they intend to offer the additional dedicated support that is pledged. We would like to see SSEN value the importance of CE organisations in their region through the creation of a CE strategy.</w:t>
            </w:r>
          </w:p>
        </w:tc>
      </w:tr>
      <w:tr w:rsidR="00F428E9" w14:paraId="036B0A0C" w14:textId="77777777">
        <w:trPr>
          <w:trHeight w:val="733"/>
        </w:trPr>
        <w:tc>
          <w:tcPr>
            <w:tcW w:w="2265" w:type="dxa"/>
            <w:gridSpan w:val="2"/>
            <w:vMerge/>
          </w:tcPr>
          <w:p w14:paraId="0000013B"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335" w:type="dxa"/>
          </w:tcPr>
          <w:p w14:paraId="0000013D"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2100" w:type="dxa"/>
            <w:shd w:val="clear" w:color="auto" w:fill="F9CB9B"/>
          </w:tcPr>
          <w:p w14:paraId="0000013E" w14:textId="77777777" w:rsidR="00F428E9" w:rsidRDefault="00803E73">
            <w:pPr>
              <w:pStyle w:val="Normal1"/>
              <w:pBdr>
                <w:top w:val="nil"/>
                <w:left w:val="nil"/>
                <w:bottom w:val="nil"/>
                <w:right w:val="nil"/>
                <w:between w:val="nil"/>
              </w:pBdr>
              <w:spacing w:line="240" w:lineRule="auto"/>
              <w:ind w:left="24" w:right="81"/>
              <w:rPr>
                <w:color w:val="000000"/>
                <w:sz w:val="12"/>
                <w:szCs w:val="12"/>
              </w:rPr>
            </w:pPr>
            <w:r>
              <w:rPr>
                <w:color w:val="000000"/>
                <w:sz w:val="12"/>
                <w:szCs w:val="12"/>
              </w:rPr>
              <w:t>Provision of incentives and support, partnering with local partners, suppliers and consultancies to provide financial incentives for the installation of low carbon technologies that could participate in flexibility markets.</w:t>
            </w:r>
          </w:p>
        </w:tc>
        <w:tc>
          <w:tcPr>
            <w:tcW w:w="1965" w:type="dxa"/>
          </w:tcPr>
          <w:p w14:paraId="0000013F"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305" w:type="dxa"/>
          </w:tcPr>
          <w:p w14:paraId="00000140"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515" w:type="dxa"/>
          </w:tcPr>
          <w:p w14:paraId="00000141"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395" w:type="dxa"/>
          </w:tcPr>
          <w:p w14:paraId="00000142"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525" w:type="dxa"/>
            <w:vMerge/>
          </w:tcPr>
          <w:p w14:paraId="00000143"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815" w:type="dxa"/>
            <w:vMerge/>
          </w:tcPr>
          <w:p w14:paraId="00000144" w14:textId="77777777" w:rsidR="00F428E9" w:rsidRDefault="00F428E9">
            <w:pPr>
              <w:pStyle w:val="Normal1"/>
              <w:pBdr>
                <w:top w:val="nil"/>
                <w:left w:val="nil"/>
                <w:bottom w:val="nil"/>
                <w:right w:val="nil"/>
                <w:between w:val="nil"/>
              </w:pBdr>
              <w:spacing w:line="276" w:lineRule="auto"/>
              <w:rPr>
                <w:color w:val="000000"/>
                <w:sz w:val="12"/>
                <w:szCs w:val="12"/>
              </w:rPr>
            </w:pPr>
          </w:p>
        </w:tc>
      </w:tr>
      <w:tr w:rsidR="00F428E9" w14:paraId="561F594C" w14:textId="77777777">
        <w:trPr>
          <w:trHeight w:val="1289"/>
        </w:trPr>
        <w:tc>
          <w:tcPr>
            <w:tcW w:w="2265" w:type="dxa"/>
            <w:gridSpan w:val="2"/>
          </w:tcPr>
          <w:p w14:paraId="00000145" w14:textId="77777777" w:rsidR="00F428E9" w:rsidRDefault="00F428E9">
            <w:pPr>
              <w:pStyle w:val="Normal1"/>
              <w:pBdr>
                <w:top w:val="nil"/>
                <w:left w:val="nil"/>
                <w:bottom w:val="nil"/>
                <w:right w:val="nil"/>
                <w:between w:val="nil"/>
              </w:pBdr>
              <w:spacing w:line="240" w:lineRule="auto"/>
              <w:rPr>
                <w:color w:val="000000"/>
                <w:sz w:val="18"/>
                <w:szCs w:val="18"/>
              </w:rPr>
            </w:pPr>
          </w:p>
          <w:p w14:paraId="00000146" w14:textId="77777777" w:rsidR="00F428E9" w:rsidRDefault="00F428E9">
            <w:pPr>
              <w:pStyle w:val="Normal1"/>
              <w:pBdr>
                <w:top w:val="nil"/>
                <w:left w:val="nil"/>
                <w:bottom w:val="nil"/>
                <w:right w:val="nil"/>
                <w:between w:val="nil"/>
              </w:pBdr>
              <w:spacing w:line="240" w:lineRule="auto"/>
              <w:rPr>
                <w:color w:val="000000"/>
                <w:sz w:val="18"/>
                <w:szCs w:val="18"/>
              </w:rPr>
            </w:pPr>
          </w:p>
          <w:p w14:paraId="00000147" w14:textId="77777777" w:rsidR="00F428E9" w:rsidRDefault="00840A7E">
            <w:pPr>
              <w:pStyle w:val="Normal1"/>
              <w:pBdr>
                <w:top w:val="nil"/>
                <w:left w:val="nil"/>
                <w:bottom w:val="nil"/>
                <w:right w:val="nil"/>
                <w:between w:val="nil"/>
              </w:pBdr>
              <w:spacing w:before="128" w:line="240" w:lineRule="auto"/>
              <w:ind w:left="24"/>
              <w:rPr>
                <w:color w:val="000000"/>
                <w:sz w:val="15"/>
                <w:szCs w:val="15"/>
              </w:rPr>
            </w:pPr>
            <w:hyperlink r:id="rId24">
              <w:r w:rsidR="00803E73">
                <w:rPr>
                  <w:color w:val="000000"/>
                  <w:sz w:val="15"/>
                  <w:szCs w:val="15"/>
                  <w:u w:val="single"/>
                </w:rPr>
                <w:t>SP Energy Networks</w:t>
              </w:r>
            </w:hyperlink>
          </w:p>
        </w:tc>
        <w:tc>
          <w:tcPr>
            <w:tcW w:w="1335" w:type="dxa"/>
            <w:shd w:val="clear" w:color="auto" w:fill="B6D7A8"/>
          </w:tcPr>
          <w:p w14:paraId="00000149" w14:textId="77777777" w:rsidR="00F428E9" w:rsidRDefault="00F428E9">
            <w:pPr>
              <w:pStyle w:val="Normal1"/>
              <w:pBdr>
                <w:top w:val="nil"/>
                <w:left w:val="nil"/>
                <w:bottom w:val="nil"/>
                <w:right w:val="nil"/>
                <w:between w:val="nil"/>
              </w:pBdr>
              <w:spacing w:line="240" w:lineRule="auto"/>
              <w:rPr>
                <w:color w:val="000000"/>
                <w:sz w:val="12"/>
                <w:szCs w:val="12"/>
              </w:rPr>
            </w:pPr>
          </w:p>
          <w:p w14:paraId="0000014A" w14:textId="77777777" w:rsidR="00F428E9" w:rsidRDefault="00F428E9">
            <w:pPr>
              <w:pStyle w:val="Normal1"/>
              <w:pBdr>
                <w:top w:val="nil"/>
                <w:left w:val="nil"/>
                <w:bottom w:val="nil"/>
                <w:right w:val="nil"/>
                <w:between w:val="nil"/>
              </w:pBdr>
              <w:spacing w:before="1" w:line="240" w:lineRule="auto"/>
              <w:rPr>
                <w:color w:val="000000"/>
                <w:sz w:val="12"/>
                <w:szCs w:val="12"/>
              </w:rPr>
            </w:pPr>
          </w:p>
          <w:p w14:paraId="0000014B" w14:textId="77777777" w:rsidR="00F428E9" w:rsidRDefault="00803E73">
            <w:pPr>
              <w:pStyle w:val="Normal1"/>
              <w:pBdr>
                <w:top w:val="nil"/>
                <w:left w:val="nil"/>
                <w:bottom w:val="nil"/>
                <w:right w:val="nil"/>
                <w:between w:val="nil"/>
              </w:pBdr>
              <w:spacing w:line="240" w:lineRule="auto"/>
              <w:ind w:left="24" w:right="42"/>
              <w:rPr>
                <w:color w:val="000000"/>
                <w:sz w:val="12"/>
                <w:szCs w:val="12"/>
              </w:rPr>
            </w:pPr>
            <w:r>
              <w:rPr>
                <w:color w:val="000000"/>
                <w:sz w:val="12"/>
                <w:szCs w:val="12"/>
              </w:rPr>
              <w:t>Investing to enable faster connection, improved management of constraints and increased levels of flexibility and reliability.</w:t>
            </w:r>
          </w:p>
        </w:tc>
        <w:tc>
          <w:tcPr>
            <w:tcW w:w="2100" w:type="dxa"/>
            <w:shd w:val="clear" w:color="auto" w:fill="B6D7A8"/>
          </w:tcPr>
          <w:p w14:paraId="0000014C" w14:textId="77777777" w:rsidR="00F428E9" w:rsidRDefault="00F428E9">
            <w:pPr>
              <w:pStyle w:val="Normal1"/>
              <w:pBdr>
                <w:top w:val="nil"/>
                <w:left w:val="nil"/>
                <w:bottom w:val="nil"/>
                <w:right w:val="nil"/>
                <w:between w:val="nil"/>
              </w:pBdr>
              <w:spacing w:line="240" w:lineRule="auto"/>
              <w:rPr>
                <w:color w:val="000000"/>
                <w:sz w:val="12"/>
                <w:szCs w:val="12"/>
              </w:rPr>
            </w:pPr>
          </w:p>
          <w:p w14:paraId="0000014D" w14:textId="77777777" w:rsidR="00F428E9" w:rsidRDefault="00F428E9">
            <w:pPr>
              <w:pStyle w:val="Normal1"/>
              <w:pBdr>
                <w:top w:val="nil"/>
                <w:left w:val="nil"/>
                <w:bottom w:val="nil"/>
                <w:right w:val="nil"/>
                <w:between w:val="nil"/>
              </w:pBdr>
              <w:spacing w:line="240" w:lineRule="auto"/>
              <w:rPr>
                <w:color w:val="000000"/>
                <w:sz w:val="12"/>
                <w:szCs w:val="12"/>
              </w:rPr>
            </w:pPr>
          </w:p>
          <w:p w14:paraId="0000014E" w14:textId="77777777" w:rsidR="00F428E9" w:rsidRDefault="00803E73">
            <w:pPr>
              <w:pStyle w:val="Normal1"/>
              <w:pBdr>
                <w:top w:val="nil"/>
                <w:left w:val="nil"/>
                <w:bottom w:val="nil"/>
                <w:right w:val="nil"/>
                <w:between w:val="nil"/>
              </w:pBdr>
              <w:spacing w:before="77" w:line="240" w:lineRule="auto"/>
              <w:ind w:left="24"/>
              <w:rPr>
                <w:color w:val="000000"/>
                <w:sz w:val="12"/>
                <w:szCs w:val="12"/>
              </w:rPr>
            </w:pPr>
            <w:r>
              <w:rPr>
                <w:color w:val="000000"/>
                <w:sz w:val="12"/>
                <w:szCs w:val="12"/>
              </w:rPr>
              <w:t>£30 million Distribution Net Zero Fund to support</w:t>
            </w:r>
          </w:p>
          <w:p w14:paraId="0000014F" w14:textId="77777777" w:rsidR="00F428E9" w:rsidRDefault="00803E73">
            <w:pPr>
              <w:pStyle w:val="Normal1"/>
              <w:pBdr>
                <w:top w:val="nil"/>
                <w:left w:val="nil"/>
                <w:bottom w:val="nil"/>
                <w:right w:val="nil"/>
                <w:between w:val="nil"/>
              </w:pBdr>
              <w:spacing w:before="1" w:line="240" w:lineRule="auto"/>
              <w:ind w:left="24" w:right="27"/>
              <w:rPr>
                <w:color w:val="000000"/>
                <w:sz w:val="12"/>
                <w:szCs w:val="12"/>
              </w:rPr>
            </w:pPr>
            <w:r>
              <w:rPr>
                <w:color w:val="000000"/>
                <w:sz w:val="12"/>
                <w:szCs w:val="12"/>
              </w:rPr>
              <w:t>low-carbon projects, aligned to national, regional and local ambitions. 25% of this will be ring-fenced and allocated to kick-start community-led schemes.</w:t>
            </w:r>
          </w:p>
        </w:tc>
        <w:tc>
          <w:tcPr>
            <w:tcW w:w="1965" w:type="dxa"/>
            <w:shd w:val="clear" w:color="auto" w:fill="F9CB9B"/>
          </w:tcPr>
          <w:p w14:paraId="00000150" w14:textId="77777777" w:rsidR="00F428E9" w:rsidRDefault="00F428E9">
            <w:pPr>
              <w:pStyle w:val="Normal1"/>
              <w:pBdr>
                <w:top w:val="nil"/>
                <w:left w:val="nil"/>
                <w:bottom w:val="nil"/>
                <w:right w:val="nil"/>
                <w:between w:val="nil"/>
              </w:pBdr>
              <w:spacing w:line="240" w:lineRule="auto"/>
              <w:rPr>
                <w:color w:val="000000"/>
                <w:sz w:val="12"/>
                <w:szCs w:val="12"/>
              </w:rPr>
            </w:pPr>
          </w:p>
          <w:p w14:paraId="00000151" w14:textId="77777777" w:rsidR="00F428E9" w:rsidRDefault="00803E73">
            <w:pPr>
              <w:pStyle w:val="Normal1"/>
              <w:pBdr>
                <w:top w:val="nil"/>
                <w:left w:val="nil"/>
                <w:bottom w:val="nil"/>
                <w:right w:val="nil"/>
                <w:between w:val="nil"/>
              </w:pBdr>
              <w:spacing w:before="72" w:line="240" w:lineRule="auto"/>
              <w:ind w:left="24" w:right="29"/>
              <w:rPr>
                <w:color w:val="000000"/>
                <w:sz w:val="12"/>
                <w:szCs w:val="12"/>
              </w:rPr>
            </w:pPr>
            <w:r>
              <w:rPr>
                <w:color w:val="000000"/>
                <w:sz w:val="12"/>
                <w:szCs w:val="12"/>
              </w:rPr>
              <w:t>Creating a community energy team that will deliver on the commitments within the community energy strategy and ensure that community organisations and community energy strategies are embedded into planning and delivery activities.</w:t>
            </w:r>
          </w:p>
        </w:tc>
        <w:tc>
          <w:tcPr>
            <w:tcW w:w="1305" w:type="dxa"/>
          </w:tcPr>
          <w:p w14:paraId="00000152"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515" w:type="dxa"/>
            <w:shd w:val="clear" w:color="auto" w:fill="F9CB9B"/>
          </w:tcPr>
          <w:p w14:paraId="00000153" w14:textId="77777777" w:rsidR="00F428E9" w:rsidRDefault="00F428E9">
            <w:pPr>
              <w:pStyle w:val="Normal1"/>
              <w:pBdr>
                <w:top w:val="nil"/>
                <w:left w:val="nil"/>
                <w:bottom w:val="nil"/>
                <w:right w:val="nil"/>
                <w:between w:val="nil"/>
              </w:pBdr>
              <w:spacing w:before="4" w:line="240" w:lineRule="auto"/>
              <w:rPr>
                <w:color w:val="000000"/>
                <w:sz w:val="12"/>
                <w:szCs w:val="12"/>
              </w:rPr>
            </w:pPr>
          </w:p>
          <w:p w14:paraId="00000154" w14:textId="77777777" w:rsidR="00F428E9" w:rsidRDefault="00803E73">
            <w:pPr>
              <w:pStyle w:val="Normal1"/>
              <w:pBdr>
                <w:top w:val="nil"/>
                <w:left w:val="nil"/>
                <w:bottom w:val="nil"/>
                <w:right w:val="nil"/>
                <w:between w:val="nil"/>
              </w:pBdr>
              <w:spacing w:before="1" w:line="240" w:lineRule="auto"/>
              <w:ind w:left="24" w:right="116"/>
              <w:rPr>
                <w:color w:val="000000"/>
                <w:sz w:val="12"/>
                <w:szCs w:val="12"/>
              </w:rPr>
            </w:pPr>
            <w:r>
              <w:rPr>
                <w:color w:val="000000"/>
                <w:sz w:val="12"/>
                <w:szCs w:val="12"/>
              </w:rPr>
              <w:t>Complimenting the technical advice and support commitment by proactively communicating information including information on technology opportunities, local energy schemes and network flexibility.</w:t>
            </w:r>
          </w:p>
        </w:tc>
        <w:tc>
          <w:tcPr>
            <w:tcW w:w="1395" w:type="dxa"/>
            <w:shd w:val="clear" w:color="auto" w:fill="B6D7A8"/>
          </w:tcPr>
          <w:p w14:paraId="00000155" w14:textId="77777777" w:rsidR="00F428E9" w:rsidRDefault="00F428E9">
            <w:pPr>
              <w:pStyle w:val="Normal1"/>
              <w:pBdr>
                <w:top w:val="nil"/>
                <w:left w:val="nil"/>
                <w:bottom w:val="nil"/>
                <w:right w:val="nil"/>
                <w:between w:val="nil"/>
              </w:pBdr>
              <w:spacing w:line="240" w:lineRule="auto"/>
              <w:rPr>
                <w:color w:val="000000"/>
                <w:sz w:val="12"/>
                <w:szCs w:val="12"/>
              </w:rPr>
            </w:pPr>
          </w:p>
          <w:p w14:paraId="00000156" w14:textId="77777777" w:rsidR="00F428E9" w:rsidRDefault="00F428E9">
            <w:pPr>
              <w:pStyle w:val="Normal1"/>
              <w:pBdr>
                <w:top w:val="nil"/>
                <w:left w:val="nil"/>
                <w:bottom w:val="nil"/>
                <w:right w:val="nil"/>
                <w:between w:val="nil"/>
              </w:pBdr>
              <w:spacing w:line="240" w:lineRule="auto"/>
              <w:rPr>
                <w:color w:val="000000"/>
                <w:sz w:val="12"/>
                <w:szCs w:val="12"/>
              </w:rPr>
            </w:pPr>
          </w:p>
          <w:p w14:paraId="00000157" w14:textId="77777777" w:rsidR="00F428E9" w:rsidRDefault="00F428E9">
            <w:pPr>
              <w:pStyle w:val="Normal1"/>
              <w:pBdr>
                <w:top w:val="nil"/>
                <w:left w:val="nil"/>
                <w:bottom w:val="nil"/>
                <w:right w:val="nil"/>
                <w:between w:val="nil"/>
              </w:pBdr>
              <w:spacing w:before="7" w:line="240" w:lineRule="auto"/>
              <w:rPr>
                <w:color w:val="000000"/>
                <w:sz w:val="12"/>
                <w:szCs w:val="12"/>
              </w:rPr>
            </w:pPr>
          </w:p>
          <w:p w14:paraId="00000158" w14:textId="77777777" w:rsidR="00F428E9" w:rsidRDefault="00803E73">
            <w:pPr>
              <w:pStyle w:val="Normal1"/>
              <w:pBdr>
                <w:top w:val="nil"/>
                <w:left w:val="nil"/>
                <w:bottom w:val="nil"/>
                <w:right w:val="nil"/>
                <w:between w:val="nil"/>
              </w:pBdr>
              <w:spacing w:line="240" w:lineRule="auto"/>
              <w:ind w:left="24" w:right="53"/>
              <w:rPr>
                <w:color w:val="000000"/>
                <w:sz w:val="12"/>
                <w:szCs w:val="12"/>
              </w:rPr>
            </w:pPr>
            <w:r>
              <w:rPr>
                <w:color w:val="000000"/>
                <w:sz w:val="12"/>
                <w:szCs w:val="12"/>
              </w:rPr>
              <w:t>Whole chapter and accompanying Annex dedicated to their community energy strategy</w:t>
            </w:r>
          </w:p>
        </w:tc>
        <w:tc>
          <w:tcPr>
            <w:tcW w:w="525" w:type="dxa"/>
          </w:tcPr>
          <w:p w14:paraId="00000159" w14:textId="77777777" w:rsidR="00F428E9" w:rsidRDefault="00F428E9">
            <w:pPr>
              <w:pStyle w:val="Normal1"/>
              <w:pBdr>
                <w:top w:val="nil"/>
                <w:left w:val="nil"/>
                <w:bottom w:val="nil"/>
                <w:right w:val="nil"/>
                <w:between w:val="nil"/>
              </w:pBdr>
              <w:spacing w:line="240" w:lineRule="auto"/>
              <w:rPr>
                <w:color w:val="000000"/>
              </w:rPr>
            </w:pPr>
          </w:p>
          <w:p w14:paraId="0000015A" w14:textId="77777777" w:rsidR="00F428E9" w:rsidRDefault="00F428E9">
            <w:pPr>
              <w:pStyle w:val="Normal1"/>
              <w:pBdr>
                <w:top w:val="nil"/>
                <w:left w:val="nil"/>
                <w:bottom w:val="nil"/>
                <w:right w:val="nil"/>
                <w:between w:val="nil"/>
              </w:pBdr>
              <w:spacing w:before="9" w:line="240" w:lineRule="auto"/>
              <w:rPr>
                <w:color w:val="000000"/>
                <w:sz w:val="19"/>
                <w:szCs w:val="19"/>
              </w:rPr>
            </w:pPr>
          </w:p>
          <w:p w14:paraId="0000015B" w14:textId="77777777" w:rsidR="00F428E9" w:rsidRDefault="00803E73">
            <w:pPr>
              <w:pStyle w:val="Normal1"/>
              <w:pBdr>
                <w:top w:val="nil"/>
                <w:left w:val="nil"/>
                <w:bottom w:val="nil"/>
                <w:right w:val="nil"/>
                <w:between w:val="nil"/>
              </w:pBdr>
              <w:spacing w:line="240" w:lineRule="auto"/>
              <w:ind w:left="150"/>
              <w:rPr>
                <w:b/>
                <w:color w:val="000000"/>
                <w:sz w:val="22"/>
                <w:szCs w:val="22"/>
              </w:rPr>
            </w:pPr>
            <w:r>
              <w:rPr>
                <w:b/>
                <w:color w:val="000000"/>
                <w:sz w:val="22"/>
                <w:szCs w:val="22"/>
              </w:rPr>
              <w:t>7/10</w:t>
            </w:r>
          </w:p>
        </w:tc>
        <w:tc>
          <w:tcPr>
            <w:tcW w:w="1815" w:type="dxa"/>
          </w:tcPr>
          <w:p w14:paraId="0000015C" w14:textId="77777777" w:rsidR="00F428E9" w:rsidRDefault="00803E73">
            <w:pPr>
              <w:pStyle w:val="Normal1"/>
              <w:pBdr>
                <w:top w:val="nil"/>
                <w:left w:val="nil"/>
                <w:bottom w:val="nil"/>
                <w:right w:val="nil"/>
                <w:between w:val="nil"/>
              </w:pBdr>
              <w:spacing w:before="8" w:line="240" w:lineRule="auto"/>
              <w:ind w:left="24" w:right="41"/>
              <w:rPr>
                <w:color w:val="000000"/>
                <w:sz w:val="12"/>
                <w:szCs w:val="12"/>
              </w:rPr>
            </w:pPr>
            <w:r>
              <w:rPr>
                <w:color w:val="000000"/>
                <w:sz w:val="12"/>
                <w:szCs w:val="12"/>
              </w:rPr>
              <w:t>We believe that SPEN appears the most committed 'in principle' to supporting the growth of CE through its business plan and community energy strategy. Through the ring-fenced fund, SPEN are allocating the largest amount of money to the CE sector of all the DNOs which we appreciate and feel is appropriate to the level of development we expect.</w:t>
            </w:r>
          </w:p>
        </w:tc>
      </w:tr>
      <w:tr w:rsidR="00F428E9" w14:paraId="58C46512" w14:textId="77777777">
        <w:trPr>
          <w:trHeight w:val="1423"/>
        </w:trPr>
        <w:tc>
          <w:tcPr>
            <w:tcW w:w="2265" w:type="dxa"/>
            <w:gridSpan w:val="2"/>
            <w:vMerge w:val="restart"/>
          </w:tcPr>
          <w:p w14:paraId="0000015D" w14:textId="77777777" w:rsidR="00F428E9" w:rsidRDefault="00F428E9">
            <w:pPr>
              <w:pStyle w:val="Normal1"/>
              <w:pBdr>
                <w:top w:val="nil"/>
                <w:left w:val="nil"/>
                <w:bottom w:val="nil"/>
                <w:right w:val="nil"/>
                <w:between w:val="nil"/>
              </w:pBdr>
              <w:spacing w:line="240" w:lineRule="auto"/>
              <w:rPr>
                <w:color w:val="000000"/>
                <w:sz w:val="18"/>
                <w:szCs w:val="18"/>
              </w:rPr>
            </w:pPr>
          </w:p>
          <w:p w14:paraId="0000015E" w14:textId="77777777" w:rsidR="00F428E9" w:rsidRDefault="00F428E9">
            <w:pPr>
              <w:pStyle w:val="Normal1"/>
              <w:pBdr>
                <w:top w:val="nil"/>
                <w:left w:val="nil"/>
                <w:bottom w:val="nil"/>
                <w:right w:val="nil"/>
                <w:between w:val="nil"/>
              </w:pBdr>
              <w:spacing w:line="240" w:lineRule="auto"/>
              <w:rPr>
                <w:color w:val="000000"/>
                <w:sz w:val="18"/>
                <w:szCs w:val="18"/>
              </w:rPr>
            </w:pPr>
          </w:p>
          <w:p w14:paraId="0000015F" w14:textId="77777777" w:rsidR="00F428E9" w:rsidRDefault="00F428E9">
            <w:pPr>
              <w:pStyle w:val="Normal1"/>
              <w:pBdr>
                <w:top w:val="nil"/>
                <w:left w:val="nil"/>
                <w:bottom w:val="nil"/>
                <w:right w:val="nil"/>
                <w:between w:val="nil"/>
              </w:pBdr>
              <w:spacing w:line="240" w:lineRule="auto"/>
              <w:rPr>
                <w:color w:val="000000"/>
                <w:sz w:val="18"/>
                <w:szCs w:val="18"/>
              </w:rPr>
            </w:pPr>
          </w:p>
          <w:p w14:paraId="00000160" w14:textId="77777777" w:rsidR="00F428E9" w:rsidRDefault="00F428E9">
            <w:pPr>
              <w:pStyle w:val="Normal1"/>
              <w:pBdr>
                <w:top w:val="nil"/>
                <w:left w:val="nil"/>
                <w:bottom w:val="nil"/>
                <w:right w:val="nil"/>
                <w:between w:val="nil"/>
              </w:pBdr>
              <w:spacing w:line="240" w:lineRule="auto"/>
              <w:rPr>
                <w:color w:val="000000"/>
                <w:sz w:val="18"/>
                <w:szCs w:val="18"/>
              </w:rPr>
            </w:pPr>
          </w:p>
          <w:p w14:paraId="00000161" w14:textId="77777777" w:rsidR="00F428E9" w:rsidRDefault="00F428E9">
            <w:pPr>
              <w:pStyle w:val="Normal1"/>
              <w:pBdr>
                <w:top w:val="nil"/>
                <w:left w:val="nil"/>
                <w:bottom w:val="nil"/>
                <w:right w:val="nil"/>
                <w:between w:val="nil"/>
              </w:pBdr>
              <w:spacing w:line="240" w:lineRule="auto"/>
              <w:rPr>
                <w:color w:val="000000"/>
                <w:sz w:val="19"/>
                <w:szCs w:val="19"/>
              </w:rPr>
            </w:pPr>
          </w:p>
          <w:p w14:paraId="00000162" w14:textId="77777777" w:rsidR="00F428E9" w:rsidRDefault="00840A7E">
            <w:pPr>
              <w:pStyle w:val="Normal1"/>
              <w:pBdr>
                <w:top w:val="nil"/>
                <w:left w:val="nil"/>
                <w:bottom w:val="nil"/>
                <w:right w:val="nil"/>
                <w:between w:val="nil"/>
              </w:pBdr>
              <w:spacing w:before="1" w:line="240" w:lineRule="auto"/>
              <w:ind w:left="24"/>
              <w:rPr>
                <w:color w:val="000000"/>
                <w:sz w:val="15"/>
                <w:szCs w:val="15"/>
              </w:rPr>
            </w:pPr>
            <w:hyperlink r:id="rId25">
              <w:r w:rsidR="00803E73">
                <w:rPr>
                  <w:color w:val="000000"/>
                  <w:sz w:val="15"/>
                  <w:szCs w:val="15"/>
                  <w:u w:val="single"/>
                </w:rPr>
                <w:t>UK Power Networks</w:t>
              </w:r>
            </w:hyperlink>
          </w:p>
        </w:tc>
        <w:tc>
          <w:tcPr>
            <w:tcW w:w="1335" w:type="dxa"/>
            <w:shd w:val="clear" w:color="auto" w:fill="F9CB9B"/>
          </w:tcPr>
          <w:p w14:paraId="00000164" w14:textId="77777777" w:rsidR="00F428E9" w:rsidRDefault="00F428E9">
            <w:pPr>
              <w:pStyle w:val="Normal1"/>
              <w:pBdr>
                <w:top w:val="nil"/>
                <w:left w:val="nil"/>
                <w:bottom w:val="nil"/>
                <w:right w:val="nil"/>
                <w:between w:val="nil"/>
              </w:pBdr>
              <w:spacing w:line="240" w:lineRule="auto"/>
              <w:rPr>
                <w:color w:val="000000"/>
                <w:sz w:val="12"/>
                <w:szCs w:val="12"/>
              </w:rPr>
            </w:pPr>
          </w:p>
          <w:p w14:paraId="00000165" w14:textId="77777777" w:rsidR="00F428E9" w:rsidRDefault="00803E73">
            <w:pPr>
              <w:pStyle w:val="Normal1"/>
              <w:pBdr>
                <w:top w:val="nil"/>
                <w:left w:val="nil"/>
                <w:bottom w:val="nil"/>
                <w:right w:val="nil"/>
                <w:between w:val="nil"/>
              </w:pBdr>
              <w:spacing w:before="72" w:line="240" w:lineRule="auto"/>
              <w:ind w:left="24" w:right="62"/>
              <w:rPr>
                <w:color w:val="000000"/>
                <w:sz w:val="12"/>
                <w:szCs w:val="12"/>
              </w:rPr>
            </w:pPr>
            <w:r>
              <w:rPr>
                <w:color w:val="000000"/>
                <w:sz w:val="12"/>
                <w:szCs w:val="12"/>
              </w:rPr>
              <w:t>Proposed development of innovative and lower-cost solutions to technical issues arising from greater levels of distributed generation and other low carbon technologies connected to the network.</w:t>
            </w:r>
          </w:p>
        </w:tc>
        <w:tc>
          <w:tcPr>
            <w:tcW w:w="2100" w:type="dxa"/>
            <w:shd w:val="clear" w:color="auto" w:fill="E6B8AE"/>
          </w:tcPr>
          <w:p w14:paraId="00000166" w14:textId="77777777" w:rsidR="00F428E9" w:rsidRDefault="00F428E9">
            <w:pPr>
              <w:pStyle w:val="Normal1"/>
              <w:pBdr>
                <w:top w:val="nil"/>
                <w:left w:val="nil"/>
                <w:bottom w:val="nil"/>
                <w:right w:val="nil"/>
                <w:between w:val="nil"/>
              </w:pBdr>
              <w:spacing w:line="240" w:lineRule="auto"/>
              <w:rPr>
                <w:color w:val="000000"/>
                <w:sz w:val="12"/>
                <w:szCs w:val="12"/>
              </w:rPr>
            </w:pPr>
          </w:p>
          <w:p w14:paraId="00000167" w14:textId="77777777" w:rsidR="00F428E9" w:rsidRDefault="00F428E9">
            <w:pPr>
              <w:pStyle w:val="Normal1"/>
              <w:pBdr>
                <w:top w:val="nil"/>
                <w:left w:val="nil"/>
                <w:bottom w:val="nil"/>
                <w:right w:val="nil"/>
                <w:between w:val="nil"/>
              </w:pBdr>
              <w:spacing w:line="240" w:lineRule="auto"/>
              <w:rPr>
                <w:color w:val="000000"/>
                <w:sz w:val="12"/>
                <w:szCs w:val="12"/>
              </w:rPr>
            </w:pPr>
          </w:p>
          <w:p w14:paraId="00000168" w14:textId="77777777" w:rsidR="00F428E9" w:rsidRDefault="00F428E9">
            <w:pPr>
              <w:pStyle w:val="Normal1"/>
              <w:pBdr>
                <w:top w:val="nil"/>
                <w:left w:val="nil"/>
                <w:bottom w:val="nil"/>
                <w:right w:val="nil"/>
                <w:between w:val="nil"/>
              </w:pBdr>
              <w:spacing w:before="7" w:line="240" w:lineRule="auto"/>
              <w:rPr>
                <w:color w:val="000000"/>
                <w:sz w:val="12"/>
                <w:szCs w:val="12"/>
              </w:rPr>
            </w:pPr>
          </w:p>
          <w:p w14:paraId="00000169" w14:textId="77777777" w:rsidR="00F428E9" w:rsidRDefault="00803E73">
            <w:pPr>
              <w:pStyle w:val="Normal1"/>
              <w:pBdr>
                <w:top w:val="nil"/>
                <w:left w:val="nil"/>
                <w:bottom w:val="nil"/>
                <w:right w:val="nil"/>
                <w:between w:val="nil"/>
              </w:pBdr>
              <w:spacing w:line="240" w:lineRule="auto"/>
              <w:ind w:left="24" w:right="50"/>
              <w:rPr>
                <w:color w:val="000000"/>
                <w:sz w:val="12"/>
                <w:szCs w:val="12"/>
              </w:rPr>
            </w:pPr>
            <w:r>
              <w:rPr>
                <w:color w:val="000000"/>
                <w:sz w:val="12"/>
                <w:szCs w:val="12"/>
              </w:rPr>
              <w:t>A social fund, ‘The UK Power Networks Foundation’, with contributions by both the shareholder and employees of up to £4m for the duration of RIIO- ED2.</w:t>
            </w:r>
          </w:p>
        </w:tc>
        <w:tc>
          <w:tcPr>
            <w:tcW w:w="1965" w:type="dxa"/>
            <w:shd w:val="clear" w:color="auto" w:fill="E6B8AE"/>
          </w:tcPr>
          <w:p w14:paraId="0000016A" w14:textId="77777777" w:rsidR="00F428E9" w:rsidRDefault="00F428E9">
            <w:pPr>
              <w:pStyle w:val="Normal1"/>
              <w:pBdr>
                <w:top w:val="nil"/>
                <w:left w:val="nil"/>
                <w:bottom w:val="nil"/>
                <w:right w:val="nil"/>
                <w:between w:val="nil"/>
              </w:pBdr>
              <w:spacing w:line="240" w:lineRule="auto"/>
              <w:rPr>
                <w:color w:val="000000"/>
                <w:sz w:val="12"/>
                <w:szCs w:val="12"/>
              </w:rPr>
            </w:pPr>
          </w:p>
          <w:p w14:paraId="0000016B" w14:textId="77777777" w:rsidR="00F428E9" w:rsidRDefault="00F428E9">
            <w:pPr>
              <w:pStyle w:val="Normal1"/>
              <w:pBdr>
                <w:top w:val="nil"/>
                <w:left w:val="nil"/>
                <w:bottom w:val="nil"/>
                <w:right w:val="nil"/>
                <w:between w:val="nil"/>
              </w:pBdr>
              <w:spacing w:line="240" w:lineRule="auto"/>
              <w:rPr>
                <w:color w:val="000000"/>
                <w:sz w:val="12"/>
                <w:szCs w:val="12"/>
              </w:rPr>
            </w:pPr>
          </w:p>
          <w:p w14:paraId="0000016C" w14:textId="77777777" w:rsidR="00F428E9" w:rsidRDefault="00F428E9">
            <w:pPr>
              <w:pStyle w:val="Normal1"/>
              <w:pBdr>
                <w:top w:val="nil"/>
                <w:left w:val="nil"/>
                <w:bottom w:val="nil"/>
                <w:right w:val="nil"/>
                <w:between w:val="nil"/>
              </w:pBdr>
              <w:spacing w:before="7" w:line="240" w:lineRule="auto"/>
              <w:rPr>
                <w:color w:val="000000"/>
                <w:sz w:val="12"/>
                <w:szCs w:val="12"/>
              </w:rPr>
            </w:pPr>
          </w:p>
          <w:p w14:paraId="0000016D" w14:textId="77777777" w:rsidR="00F428E9" w:rsidRDefault="00803E73">
            <w:pPr>
              <w:pStyle w:val="Normal1"/>
              <w:pBdr>
                <w:top w:val="nil"/>
                <w:left w:val="nil"/>
                <w:bottom w:val="nil"/>
                <w:right w:val="nil"/>
                <w:between w:val="nil"/>
              </w:pBdr>
              <w:spacing w:line="240" w:lineRule="auto"/>
              <w:ind w:left="24" w:right="216"/>
              <w:rPr>
                <w:color w:val="000000"/>
                <w:sz w:val="12"/>
                <w:szCs w:val="12"/>
              </w:rPr>
            </w:pPr>
            <w:r>
              <w:rPr>
                <w:color w:val="000000"/>
                <w:sz w:val="12"/>
                <w:szCs w:val="12"/>
              </w:rPr>
              <w:t>Commitment to working with trusted parties to engage with local communities to spread the understanding of the need to transition to decarbonised heat and transport.</w:t>
            </w:r>
          </w:p>
        </w:tc>
        <w:tc>
          <w:tcPr>
            <w:tcW w:w="1305" w:type="dxa"/>
            <w:shd w:val="clear" w:color="auto" w:fill="B6D7A8"/>
          </w:tcPr>
          <w:p w14:paraId="0000016E" w14:textId="77777777" w:rsidR="00F428E9" w:rsidRDefault="00803E73">
            <w:pPr>
              <w:pStyle w:val="Normal1"/>
              <w:pBdr>
                <w:top w:val="nil"/>
                <w:left w:val="nil"/>
                <w:bottom w:val="nil"/>
                <w:right w:val="nil"/>
                <w:between w:val="nil"/>
              </w:pBdr>
              <w:spacing w:line="240" w:lineRule="auto"/>
              <w:ind w:left="24" w:right="126"/>
              <w:rPr>
                <w:color w:val="000000"/>
                <w:sz w:val="12"/>
                <w:szCs w:val="12"/>
              </w:rPr>
            </w:pPr>
            <w:r>
              <w:rPr>
                <w:color w:val="000000"/>
                <w:sz w:val="12"/>
                <w:szCs w:val="12"/>
              </w:rPr>
              <w:t>Establishment of a £9.3m dedicated local area planning team, 20 full-time employees, that will work with all regional planning authorities, plus community energy groups and other local stakeholders, to assess their energy plans and develop actionable decarbonisation plans.</w:t>
            </w:r>
          </w:p>
        </w:tc>
        <w:tc>
          <w:tcPr>
            <w:tcW w:w="1515" w:type="dxa"/>
            <w:shd w:val="clear" w:color="auto" w:fill="F9CB9B"/>
          </w:tcPr>
          <w:p w14:paraId="0000016F" w14:textId="77777777" w:rsidR="00F428E9" w:rsidRDefault="00F428E9">
            <w:pPr>
              <w:pStyle w:val="Normal1"/>
              <w:pBdr>
                <w:top w:val="nil"/>
                <w:left w:val="nil"/>
                <w:bottom w:val="nil"/>
                <w:right w:val="nil"/>
                <w:between w:val="nil"/>
              </w:pBdr>
              <w:spacing w:line="240" w:lineRule="auto"/>
              <w:rPr>
                <w:color w:val="000000"/>
                <w:sz w:val="12"/>
                <w:szCs w:val="12"/>
              </w:rPr>
            </w:pPr>
          </w:p>
          <w:p w14:paraId="00000170" w14:textId="77777777" w:rsidR="00F428E9" w:rsidRDefault="00F428E9">
            <w:pPr>
              <w:pStyle w:val="Normal1"/>
              <w:pBdr>
                <w:top w:val="nil"/>
                <w:left w:val="nil"/>
                <w:bottom w:val="nil"/>
                <w:right w:val="nil"/>
                <w:between w:val="nil"/>
              </w:pBdr>
              <w:spacing w:line="240" w:lineRule="auto"/>
              <w:rPr>
                <w:color w:val="000000"/>
                <w:sz w:val="12"/>
                <w:szCs w:val="12"/>
              </w:rPr>
            </w:pPr>
          </w:p>
          <w:p w14:paraId="00000171" w14:textId="77777777" w:rsidR="00F428E9" w:rsidRDefault="00F428E9">
            <w:pPr>
              <w:pStyle w:val="Normal1"/>
              <w:pBdr>
                <w:top w:val="nil"/>
                <w:left w:val="nil"/>
                <w:bottom w:val="nil"/>
                <w:right w:val="nil"/>
                <w:between w:val="nil"/>
              </w:pBdr>
              <w:spacing w:before="7" w:line="240" w:lineRule="auto"/>
              <w:rPr>
                <w:color w:val="000000"/>
                <w:sz w:val="12"/>
                <w:szCs w:val="12"/>
              </w:rPr>
            </w:pPr>
          </w:p>
          <w:p w14:paraId="00000172" w14:textId="77777777" w:rsidR="00F428E9" w:rsidRDefault="00803E73">
            <w:pPr>
              <w:pStyle w:val="Normal1"/>
              <w:pBdr>
                <w:top w:val="nil"/>
                <w:left w:val="nil"/>
                <w:bottom w:val="nil"/>
                <w:right w:val="nil"/>
                <w:between w:val="nil"/>
              </w:pBdr>
              <w:spacing w:line="240" w:lineRule="auto"/>
              <w:ind w:left="24" w:right="230"/>
              <w:rPr>
                <w:color w:val="000000"/>
                <w:sz w:val="12"/>
                <w:szCs w:val="12"/>
              </w:rPr>
            </w:pPr>
            <w:r>
              <w:rPr>
                <w:color w:val="000000"/>
                <w:sz w:val="12"/>
                <w:szCs w:val="12"/>
              </w:rPr>
              <w:t>Additionally, provide fuel poverty information to 800,000 customers each year, working with trusted partners.</w:t>
            </w:r>
          </w:p>
        </w:tc>
        <w:tc>
          <w:tcPr>
            <w:tcW w:w="1395" w:type="dxa"/>
            <w:shd w:val="clear" w:color="auto" w:fill="F9CB9B"/>
          </w:tcPr>
          <w:p w14:paraId="00000173" w14:textId="77777777" w:rsidR="00F428E9" w:rsidRDefault="00F428E9">
            <w:pPr>
              <w:pStyle w:val="Normal1"/>
              <w:pBdr>
                <w:top w:val="nil"/>
                <w:left w:val="nil"/>
                <w:bottom w:val="nil"/>
                <w:right w:val="nil"/>
                <w:between w:val="nil"/>
              </w:pBdr>
              <w:spacing w:line="240" w:lineRule="auto"/>
              <w:rPr>
                <w:color w:val="000000"/>
                <w:sz w:val="12"/>
                <w:szCs w:val="12"/>
              </w:rPr>
            </w:pPr>
          </w:p>
          <w:p w14:paraId="00000174" w14:textId="77777777" w:rsidR="00F428E9" w:rsidRDefault="00F428E9">
            <w:pPr>
              <w:pStyle w:val="Normal1"/>
              <w:pBdr>
                <w:top w:val="nil"/>
                <w:left w:val="nil"/>
                <w:bottom w:val="nil"/>
                <w:right w:val="nil"/>
                <w:between w:val="nil"/>
              </w:pBdr>
              <w:spacing w:line="240" w:lineRule="auto"/>
              <w:rPr>
                <w:color w:val="000000"/>
                <w:sz w:val="12"/>
                <w:szCs w:val="12"/>
              </w:rPr>
            </w:pPr>
          </w:p>
          <w:p w14:paraId="00000175" w14:textId="77777777" w:rsidR="00F428E9" w:rsidRDefault="00F428E9">
            <w:pPr>
              <w:pStyle w:val="Normal1"/>
              <w:pBdr>
                <w:top w:val="nil"/>
                <w:left w:val="nil"/>
                <w:bottom w:val="nil"/>
                <w:right w:val="nil"/>
                <w:between w:val="nil"/>
              </w:pBdr>
              <w:spacing w:line="240" w:lineRule="auto"/>
              <w:rPr>
                <w:color w:val="000000"/>
                <w:sz w:val="12"/>
                <w:szCs w:val="12"/>
              </w:rPr>
            </w:pPr>
          </w:p>
          <w:p w14:paraId="00000176" w14:textId="77777777" w:rsidR="00F428E9" w:rsidRDefault="00F428E9">
            <w:pPr>
              <w:pStyle w:val="Normal1"/>
              <w:pBdr>
                <w:top w:val="nil"/>
                <w:left w:val="nil"/>
                <w:bottom w:val="nil"/>
                <w:right w:val="nil"/>
                <w:between w:val="nil"/>
              </w:pBdr>
              <w:spacing w:before="3" w:line="240" w:lineRule="auto"/>
              <w:rPr>
                <w:color w:val="000000"/>
                <w:sz w:val="12"/>
                <w:szCs w:val="12"/>
              </w:rPr>
            </w:pPr>
          </w:p>
          <w:p w14:paraId="00000177" w14:textId="77777777" w:rsidR="00F428E9" w:rsidRDefault="00803E73">
            <w:pPr>
              <w:pStyle w:val="Normal1"/>
              <w:pBdr>
                <w:top w:val="nil"/>
                <w:left w:val="nil"/>
                <w:bottom w:val="nil"/>
                <w:right w:val="nil"/>
                <w:between w:val="nil"/>
              </w:pBdr>
              <w:spacing w:before="1" w:line="240" w:lineRule="auto"/>
              <w:ind w:left="24"/>
              <w:rPr>
                <w:color w:val="000000"/>
                <w:sz w:val="12"/>
                <w:szCs w:val="12"/>
              </w:rPr>
            </w:pPr>
            <w:r>
              <w:rPr>
                <w:color w:val="000000"/>
                <w:sz w:val="12"/>
                <w:szCs w:val="12"/>
              </w:rPr>
              <w:t>A chapter dedicated to ‘Decarbonising Our Communities’</w:t>
            </w:r>
          </w:p>
        </w:tc>
        <w:tc>
          <w:tcPr>
            <w:tcW w:w="525" w:type="dxa"/>
            <w:vMerge w:val="restart"/>
          </w:tcPr>
          <w:p w14:paraId="00000178" w14:textId="77777777" w:rsidR="00F428E9" w:rsidRDefault="00F428E9">
            <w:pPr>
              <w:pStyle w:val="Normal1"/>
              <w:pBdr>
                <w:top w:val="nil"/>
                <w:left w:val="nil"/>
                <w:bottom w:val="nil"/>
                <w:right w:val="nil"/>
                <w:between w:val="nil"/>
              </w:pBdr>
              <w:spacing w:line="240" w:lineRule="auto"/>
              <w:rPr>
                <w:color w:val="000000"/>
              </w:rPr>
            </w:pPr>
          </w:p>
          <w:p w14:paraId="00000179" w14:textId="77777777" w:rsidR="00F428E9" w:rsidRDefault="00F428E9">
            <w:pPr>
              <w:pStyle w:val="Normal1"/>
              <w:pBdr>
                <w:top w:val="nil"/>
                <w:left w:val="nil"/>
                <w:bottom w:val="nil"/>
                <w:right w:val="nil"/>
                <w:between w:val="nil"/>
              </w:pBdr>
              <w:spacing w:line="240" w:lineRule="auto"/>
              <w:rPr>
                <w:color w:val="000000"/>
              </w:rPr>
            </w:pPr>
          </w:p>
          <w:p w14:paraId="0000017A" w14:textId="77777777" w:rsidR="00F428E9" w:rsidRDefault="00F428E9">
            <w:pPr>
              <w:pStyle w:val="Normal1"/>
              <w:pBdr>
                <w:top w:val="nil"/>
                <w:left w:val="nil"/>
                <w:bottom w:val="nil"/>
                <w:right w:val="nil"/>
                <w:between w:val="nil"/>
              </w:pBdr>
              <w:spacing w:line="240" w:lineRule="auto"/>
              <w:rPr>
                <w:color w:val="000000"/>
              </w:rPr>
            </w:pPr>
          </w:p>
          <w:p w14:paraId="0000017B" w14:textId="77777777" w:rsidR="00F428E9" w:rsidRDefault="00803E73">
            <w:pPr>
              <w:pStyle w:val="Normal1"/>
              <w:pBdr>
                <w:top w:val="nil"/>
                <w:left w:val="nil"/>
                <w:bottom w:val="nil"/>
                <w:right w:val="nil"/>
                <w:between w:val="nil"/>
              </w:pBdr>
              <w:spacing w:before="181" w:line="240" w:lineRule="auto"/>
              <w:ind w:left="150"/>
              <w:rPr>
                <w:b/>
                <w:color w:val="000000"/>
                <w:sz w:val="22"/>
                <w:szCs w:val="22"/>
              </w:rPr>
            </w:pPr>
            <w:r>
              <w:rPr>
                <w:b/>
                <w:color w:val="000000"/>
                <w:sz w:val="22"/>
                <w:szCs w:val="22"/>
              </w:rPr>
              <w:t>4/10</w:t>
            </w:r>
          </w:p>
        </w:tc>
        <w:tc>
          <w:tcPr>
            <w:tcW w:w="1815" w:type="dxa"/>
            <w:vMerge w:val="restart"/>
          </w:tcPr>
          <w:p w14:paraId="0000017C" w14:textId="77777777" w:rsidR="00F428E9" w:rsidRDefault="00803E73">
            <w:pPr>
              <w:pStyle w:val="Normal1"/>
              <w:pBdr>
                <w:top w:val="nil"/>
                <w:left w:val="nil"/>
                <w:bottom w:val="nil"/>
                <w:right w:val="nil"/>
                <w:between w:val="nil"/>
              </w:pBdr>
              <w:spacing w:before="92" w:line="240" w:lineRule="auto"/>
              <w:ind w:left="24" w:right="30"/>
              <w:rPr>
                <w:color w:val="000000"/>
                <w:sz w:val="12"/>
                <w:szCs w:val="12"/>
              </w:rPr>
            </w:pPr>
            <w:r>
              <w:rPr>
                <w:color w:val="000000"/>
                <w:sz w:val="12"/>
                <w:szCs w:val="12"/>
              </w:rPr>
              <w:t>We recognise the amount of funding pledged within this business plan that CE may be eligible for but we feel the proposals lack clarity regarding exactly how this will be allocated. For example, the 'social fund' will be worth around £800,000 a year which compares favourably to other DNO's but community energy will be competing for this money with a broad range of commitments (from supporting customers during power cuts, to helping communities decarbonise). We would like to see UKPN readdress this and we would encourage them to consult with CEE and CE organisations in their region and use this to create a complete CE strategy.</w:t>
            </w:r>
          </w:p>
        </w:tc>
      </w:tr>
      <w:tr w:rsidR="00F428E9" w14:paraId="3CCE38AA" w14:textId="77777777">
        <w:trPr>
          <w:trHeight w:val="877"/>
        </w:trPr>
        <w:tc>
          <w:tcPr>
            <w:tcW w:w="2265" w:type="dxa"/>
            <w:gridSpan w:val="2"/>
            <w:vMerge/>
          </w:tcPr>
          <w:p w14:paraId="0000017D"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335" w:type="dxa"/>
            <w:shd w:val="clear" w:color="auto" w:fill="F9CB9B"/>
          </w:tcPr>
          <w:p w14:paraId="0000017F" w14:textId="77777777" w:rsidR="00F428E9" w:rsidRDefault="00803E73">
            <w:pPr>
              <w:pStyle w:val="Normal1"/>
              <w:pBdr>
                <w:top w:val="nil"/>
                <w:left w:val="nil"/>
                <w:bottom w:val="nil"/>
                <w:right w:val="nil"/>
                <w:between w:val="nil"/>
              </w:pBdr>
              <w:spacing w:before="8" w:line="240" w:lineRule="auto"/>
              <w:ind w:left="24" w:right="63"/>
              <w:rPr>
                <w:color w:val="000000"/>
                <w:sz w:val="12"/>
                <w:szCs w:val="12"/>
              </w:rPr>
            </w:pPr>
            <w:r>
              <w:rPr>
                <w:color w:val="000000"/>
                <w:sz w:val="12"/>
                <w:szCs w:val="12"/>
              </w:rPr>
              <w:t>UK Power Networks will ensure there is the capacity for 242,000 off-gas grid homes to transition both transport and heat away from fossil fuels by the end of RIIO-ED2.</w:t>
            </w:r>
          </w:p>
        </w:tc>
        <w:tc>
          <w:tcPr>
            <w:tcW w:w="2100" w:type="dxa"/>
            <w:shd w:val="clear" w:color="auto" w:fill="F9CB9B"/>
          </w:tcPr>
          <w:p w14:paraId="00000180" w14:textId="77777777" w:rsidR="00F428E9" w:rsidRDefault="00803E73">
            <w:pPr>
              <w:pStyle w:val="Normal1"/>
              <w:pBdr>
                <w:top w:val="nil"/>
                <w:left w:val="nil"/>
                <w:bottom w:val="nil"/>
                <w:right w:val="nil"/>
                <w:between w:val="nil"/>
              </w:pBdr>
              <w:spacing w:before="76" w:line="240" w:lineRule="auto"/>
              <w:ind w:left="24" w:right="34"/>
              <w:rPr>
                <w:color w:val="000000"/>
                <w:sz w:val="12"/>
                <w:szCs w:val="12"/>
              </w:rPr>
            </w:pPr>
            <w:r>
              <w:rPr>
                <w:color w:val="000000"/>
                <w:sz w:val="12"/>
                <w:szCs w:val="12"/>
              </w:rPr>
              <w:t>Provision of targeted support to a total of 500,000 fuel poor customers over RIIO-ED2, invest £18m to support over 200,000 directly and 300,000 through partnership programmes, delivering £67m of benefits by 2028.</w:t>
            </w:r>
          </w:p>
        </w:tc>
        <w:tc>
          <w:tcPr>
            <w:tcW w:w="1965" w:type="dxa"/>
          </w:tcPr>
          <w:p w14:paraId="00000181"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305" w:type="dxa"/>
          </w:tcPr>
          <w:p w14:paraId="00000182"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515" w:type="dxa"/>
            <w:shd w:val="clear" w:color="auto" w:fill="E6B8AE"/>
          </w:tcPr>
          <w:p w14:paraId="00000183" w14:textId="77777777" w:rsidR="00F428E9" w:rsidRDefault="00803E73">
            <w:pPr>
              <w:pStyle w:val="Normal1"/>
              <w:pBdr>
                <w:top w:val="nil"/>
                <w:left w:val="nil"/>
                <w:bottom w:val="nil"/>
                <w:right w:val="nil"/>
                <w:between w:val="nil"/>
              </w:pBdr>
              <w:spacing w:before="12" w:line="240" w:lineRule="auto"/>
              <w:ind w:left="24" w:right="76"/>
              <w:rPr>
                <w:color w:val="000000"/>
                <w:sz w:val="12"/>
                <w:szCs w:val="12"/>
              </w:rPr>
            </w:pPr>
            <w:r>
              <w:rPr>
                <w:color w:val="222222"/>
                <w:sz w:val="12"/>
                <w:szCs w:val="12"/>
              </w:rPr>
              <w:t>Provide core planning datasets via an online self-service energy planning tool to support the planning process for our local authorities, helping them make the best choices for their communities.</w:t>
            </w:r>
          </w:p>
        </w:tc>
        <w:tc>
          <w:tcPr>
            <w:tcW w:w="1395" w:type="dxa"/>
          </w:tcPr>
          <w:p w14:paraId="00000184"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525" w:type="dxa"/>
            <w:vMerge/>
          </w:tcPr>
          <w:p w14:paraId="00000185"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815" w:type="dxa"/>
            <w:vMerge/>
          </w:tcPr>
          <w:p w14:paraId="00000186" w14:textId="77777777" w:rsidR="00F428E9" w:rsidRDefault="00F428E9">
            <w:pPr>
              <w:pStyle w:val="Normal1"/>
              <w:pBdr>
                <w:top w:val="nil"/>
                <w:left w:val="nil"/>
                <w:bottom w:val="nil"/>
                <w:right w:val="nil"/>
                <w:between w:val="nil"/>
              </w:pBdr>
              <w:spacing w:line="276" w:lineRule="auto"/>
              <w:rPr>
                <w:color w:val="000000"/>
                <w:sz w:val="12"/>
                <w:szCs w:val="12"/>
              </w:rPr>
            </w:pPr>
          </w:p>
        </w:tc>
      </w:tr>
      <w:tr w:rsidR="00F428E9" w14:paraId="1C1D0EC8" w14:textId="77777777">
        <w:trPr>
          <w:trHeight w:val="1702"/>
        </w:trPr>
        <w:tc>
          <w:tcPr>
            <w:tcW w:w="2265" w:type="dxa"/>
            <w:gridSpan w:val="2"/>
            <w:vMerge w:val="restart"/>
          </w:tcPr>
          <w:p w14:paraId="00000187" w14:textId="77777777" w:rsidR="00F428E9" w:rsidRDefault="00F428E9">
            <w:pPr>
              <w:pStyle w:val="Normal1"/>
              <w:pBdr>
                <w:top w:val="nil"/>
                <w:left w:val="nil"/>
                <w:bottom w:val="nil"/>
                <w:right w:val="nil"/>
                <w:between w:val="nil"/>
              </w:pBdr>
              <w:spacing w:line="240" w:lineRule="auto"/>
              <w:rPr>
                <w:color w:val="000000"/>
                <w:sz w:val="18"/>
                <w:szCs w:val="18"/>
              </w:rPr>
            </w:pPr>
          </w:p>
          <w:p w14:paraId="00000188" w14:textId="77777777" w:rsidR="00F428E9" w:rsidRDefault="00F428E9">
            <w:pPr>
              <w:pStyle w:val="Normal1"/>
              <w:pBdr>
                <w:top w:val="nil"/>
                <w:left w:val="nil"/>
                <w:bottom w:val="nil"/>
                <w:right w:val="nil"/>
                <w:between w:val="nil"/>
              </w:pBdr>
              <w:spacing w:line="240" w:lineRule="auto"/>
              <w:rPr>
                <w:color w:val="000000"/>
                <w:sz w:val="18"/>
                <w:szCs w:val="18"/>
              </w:rPr>
            </w:pPr>
          </w:p>
          <w:p w14:paraId="00000189" w14:textId="77777777" w:rsidR="00F428E9" w:rsidRDefault="00F428E9">
            <w:pPr>
              <w:pStyle w:val="Normal1"/>
              <w:pBdr>
                <w:top w:val="nil"/>
                <w:left w:val="nil"/>
                <w:bottom w:val="nil"/>
                <w:right w:val="nil"/>
                <w:between w:val="nil"/>
              </w:pBdr>
              <w:spacing w:line="240" w:lineRule="auto"/>
              <w:rPr>
                <w:color w:val="000000"/>
                <w:sz w:val="18"/>
                <w:szCs w:val="18"/>
              </w:rPr>
            </w:pPr>
          </w:p>
          <w:p w14:paraId="0000018A" w14:textId="77777777" w:rsidR="00F428E9" w:rsidRDefault="00F428E9">
            <w:pPr>
              <w:pStyle w:val="Normal1"/>
              <w:pBdr>
                <w:top w:val="nil"/>
                <w:left w:val="nil"/>
                <w:bottom w:val="nil"/>
                <w:right w:val="nil"/>
                <w:between w:val="nil"/>
              </w:pBdr>
              <w:spacing w:line="240" w:lineRule="auto"/>
              <w:rPr>
                <w:color w:val="000000"/>
                <w:sz w:val="18"/>
                <w:szCs w:val="18"/>
              </w:rPr>
            </w:pPr>
          </w:p>
          <w:p w14:paraId="0000018B" w14:textId="77777777" w:rsidR="00F428E9" w:rsidRDefault="00F428E9">
            <w:pPr>
              <w:pStyle w:val="Normal1"/>
              <w:pBdr>
                <w:top w:val="nil"/>
                <w:left w:val="nil"/>
                <w:bottom w:val="nil"/>
                <w:right w:val="nil"/>
                <w:between w:val="nil"/>
              </w:pBdr>
              <w:spacing w:line="240" w:lineRule="auto"/>
              <w:rPr>
                <w:color w:val="000000"/>
                <w:sz w:val="18"/>
                <w:szCs w:val="18"/>
              </w:rPr>
            </w:pPr>
          </w:p>
          <w:p w14:paraId="0000018C" w14:textId="77777777" w:rsidR="00F428E9" w:rsidRDefault="00F428E9">
            <w:pPr>
              <w:pStyle w:val="Normal1"/>
              <w:pBdr>
                <w:top w:val="nil"/>
                <w:left w:val="nil"/>
                <w:bottom w:val="nil"/>
                <w:right w:val="nil"/>
                <w:between w:val="nil"/>
              </w:pBdr>
              <w:spacing w:line="240" w:lineRule="auto"/>
              <w:rPr>
                <w:color w:val="000000"/>
                <w:sz w:val="18"/>
                <w:szCs w:val="18"/>
              </w:rPr>
            </w:pPr>
          </w:p>
          <w:p w14:paraId="0000018D" w14:textId="77777777" w:rsidR="00F428E9" w:rsidRDefault="00F428E9">
            <w:pPr>
              <w:pStyle w:val="Normal1"/>
              <w:pBdr>
                <w:top w:val="nil"/>
                <w:left w:val="nil"/>
                <w:bottom w:val="nil"/>
                <w:right w:val="nil"/>
                <w:between w:val="nil"/>
              </w:pBdr>
              <w:spacing w:before="9" w:line="240" w:lineRule="auto"/>
              <w:rPr>
                <w:color w:val="000000"/>
              </w:rPr>
            </w:pPr>
          </w:p>
          <w:p w14:paraId="0000018E" w14:textId="77777777" w:rsidR="00F428E9" w:rsidRDefault="00840A7E">
            <w:pPr>
              <w:pStyle w:val="Normal1"/>
              <w:pBdr>
                <w:top w:val="nil"/>
                <w:left w:val="nil"/>
                <w:bottom w:val="nil"/>
                <w:right w:val="nil"/>
                <w:between w:val="nil"/>
              </w:pBdr>
              <w:spacing w:before="1" w:line="244" w:lineRule="auto"/>
              <w:ind w:left="24" w:right="558"/>
              <w:rPr>
                <w:color w:val="000000"/>
                <w:sz w:val="15"/>
                <w:szCs w:val="15"/>
              </w:rPr>
            </w:pPr>
            <w:hyperlink r:id="rId26">
              <w:r w:rsidR="00803E73">
                <w:rPr>
                  <w:color w:val="000000"/>
                  <w:sz w:val="15"/>
                  <w:szCs w:val="15"/>
                  <w:u w:val="single"/>
                </w:rPr>
                <w:t>Western Power</w:t>
              </w:r>
            </w:hyperlink>
            <w:r w:rsidR="00803E73">
              <w:rPr>
                <w:color w:val="000000"/>
                <w:sz w:val="15"/>
                <w:szCs w:val="15"/>
              </w:rPr>
              <w:t xml:space="preserve"> </w:t>
            </w:r>
            <w:hyperlink r:id="rId27">
              <w:r w:rsidR="00803E73">
                <w:rPr>
                  <w:color w:val="000000"/>
                  <w:sz w:val="15"/>
                  <w:szCs w:val="15"/>
                  <w:u w:val="single"/>
                </w:rPr>
                <w:t>Distribution</w:t>
              </w:r>
            </w:hyperlink>
          </w:p>
        </w:tc>
        <w:tc>
          <w:tcPr>
            <w:tcW w:w="1335" w:type="dxa"/>
            <w:shd w:val="clear" w:color="auto" w:fill="F9CB9B"/>
          </w:tcPr>
          <w:p w14:paraId="00000190" w14:textId="77777777" w:rsidR="00F428E9" w:rsidRDefault="00803E73">
            <w:pPr>
              <w:pStyle w:val="Normal1"/>
              <w:pBdr>
                <w:top w:val="nil"/>
                <w:left w:val="nil"/>
                <w:bottom w:val="nil"/>
                <w:right w:val="nil"/>
                <w:between w:val="nil"/>
              </w:pBdr>
              <w:spacing w:line="240" w:lineRule="auto"/>
              <w:ind w:left="24" w:right="42"/>
              <w:rPr>
                <w:color w:val="000000"/>
                <w:sz w:val="12"/>
                <w:szCs w:val="12"/>
              </w:rPr>
            </w:pPr>
            <w:r>
              <w:rPr>
                <w:color w:val="000000"/>
                <w:sz w:val="12"/>
                <w:szCs w:val="12"/>
              </w:rPr>
              <w:t>Proposal to use innovation and digitalisation to ensure that network capacity is not a barrier to connection, including a pledge to ensure that the infrastructure is in place to accommodate at least an additional 1.5 million electric vehicles and 600,000 extra heat pumps, with adaptive plans that can flex to meet greater demand if needed.</w:t>
            </w:r>
          </w:p>
        </w:tc>
        <w:tc>
          <w:tcPr>
            <w:tcW w:w="2100" w:type="dxa"/>
            <w:shd w:val="clear" w:color="auto" w:fill="E6B8AE"/>
          </w:tcPr>
          <w:p w14:paraId="00000191" w14:textId="77777777" w:rsidR="00F428E9" w:rsidRDefault="00F428E9">
            <w:pPr>
              <w:pStyle w:val="Normal1"/>
              <w:pBdr>
                <w:top w:val="nil"/>
                <w:left w:val="nil"/>
                <w:bottom w:val="nil"/>
                <w:right w:val="nil"/>
                <w:between w:val="nil"/>
              </w:pBdr>
              <w:spacing w:line="240" w:lineRule="auto"/>
              <w:rPr>
                <w:color w:val="000000"/>
                <w:sz w:val="12"/>
                <w:szCs w:val="12"/>
              </w:rPr>
            </w:pPr>
          </w:p>
          <w:p w14:paraId="00000192" w14:textId="77777777" w:rsidR="00F428E9" w:rsidRDefault="00F428E9">
            <w:pPr>
              <w:pStyle w:val="Normal1"/>
              <w:pBdr>
                <w:top w:val="nil"/>
                <w:left w:val="nil"/>
                <w:bottom w:val="nil"/>
                <w:right w:val="nil"/>
                <w:between w:val="nil"/>
              </w:pBdr>
              <w:spacing w:line="240" w:lineRule="auto"/>
              <w:rPr>
                <w:color w:val="000000"/>
                <w:sz w:val="12"/>
                <w:szCs w:val="12"/>
              </w:rPr>
            </w:pPr>
          </w:p>
          <w:p w14:paraId="00000193" w14:textId="77777777" w:rsidR="00F428E9" w:rsidRDefault="00F428E9">
            <w:pPr>
              <w:pStyle w:val="Normal1"/>
              <w:pBdr>
                <w:top w:val="nil"/>
                <w:left w:val="nil"/>
                <w:bottom w:val="nil"/>
                <w:right w:val="nil"/>
                <w:between w:val="nil"/>
              </w:pBdr>
              <w:spacing w:line="240" w:lineRule="auto"/>
              <w:rPr>
                <w:color w:val="000000"/>
                <w:sz w:val="12"/>
                <w:szCs w:val="12"/>
              </w:rPr>
            </w:pPr>
          </w:p>
          <w:p w14:paraId="00000194" w14:textId="77777777" w:rsidR="00F428E9" w:rsidRDefault="00803E73">
            <w:pPr>
              <w:pStyle w:val="Normal1"/>
              <w:pBdr>
                <w:top w:val="nil"/>
                <w:left w:val="nil"/>
                <w:bottom w:val="nil"/>
                <w:right w:val="nil"/>
                <w:between w:val="nil"/>
              </w:pBdr>
              <w:spacing w:before="74" w:line="240" w:lineRule="auto"/>
              <w:ind w:left="24" w:right="74"/>
              <w:rPr>
                <w:color w:val="000000"/>
                <w:sz w:val="12"/>
                <w:szCs w:val="12"/>
              </w:rPr>
            </w:pPr>
            <w:r>
              <w:rPr>
                <w:color w:val="000000"/>
                <w:sz w:val="12"/>
                <w:szCs w:val="12"/>
              </w:rPr>
              <w:t>A social initiative annual £1 million ‘Community Matters’ support fund, to support and add significant value to local communities and to achieve positive community outcomes in relation to vulnerability, environment and education.</w:t>
            </w:r>
          </w:p>
        </w:tc>
        <w:tc>
          <w:tcPr>
            <w:tcW w:w="1965" w:type="dxa"/>
            <w:shd w:val="clear" w:color="auto" w:fill="B6D7A8"/>
          </w:tcPr>
          <w:p w14:paraId="00000195" w14:textId="77777777" w:rsidR="00F428E9" w:rsidRDefault="00F428E9">
            <w:pPr>
              <w:pStyle w:val="Normal1"/>
              <w:pBdr>
                <w:top w:val="nil"/>
                <w:left w:val="nil"/>
                <w:bottom w:val="nil"/>
                <w:right w:val="nil"/>
                <w:between w:val="nil"/>
              </w:pBdr>
              <w:spacing w:line="240" w:lineRule="auto"/>
              <w:rPr>
                <w:color w:val="000000"/>
                <w:sz w:val="12"/>
                <w:szCs w:val="12"/>
              </w:rPr>
            </w:pPr>
          </w:p>
          <w:p w14:paraId="00000196" w14:textId="77777777" w:rsidR="00F428E9" w:rsidRDefault="00F428E9">
            <w:pPr>
              <w:pStyle w:val="Normal1"/>
              <w:pBdr>
                <w:top w:val="nil"/>
                <w:left w:val="nil"/>
                <w:bottom w:val="nil"/>
                <w:right w:val="nil"/>
                <w:between w:val="nil"/>
              </w:pBdr>
              <w:spacing w:line="240" w:lineRule="auto"/>
              <w:rPr>
                <w:color w:val="000000"/>
                <w:sz w:val="12"/>
                <w:szCs w:val="12"/>
              </w:rPr>
            </w:pPr>
          </w:p>
          <w:p w14:paraId="00000197" w14:textId="77777777" w:rsidR="00F428E9" w:rsidRDefault="00F428E9">
            <w:pPr>
              <w:pStyle w:val="Normal1"/>
              <w:pBdr>
                <w:top w:val="nil"/>
                <w:left w:val="nil"/>
                <w:bottom w:val="nil"/>
                <w:right w:val="nil"/>
                <w:between w:val="nil"/>
              </w:pBdr>
              <w:spacing w:before="7" w:line="240" w:lineRule="auto"/>
              <w:rPr>
                <w:color w:val="000000"/>
                <w:sz w:val="12"/>
                <w:szCs w:val="12"/>
              </w:rPr>
            </w:pPr>
          </w:p>
          <w:p w14:paraId="00000198" w14:textId="77777777" w:rsidR="00F428E9" w:rsidRDefault="00803E73">
            <w:pPr>
              <w:pStyle w:val="Normal1"/>
              <w:pBdr>
                <w:top w:val="nil"/>
                <w:left w:val="nil"/>
                <w:bottom w:val="nil"/>
                <w:right w:val="nil"/>
                <w:between w:val="nil"/>
              </w:pBdr>
              <w:spacing w:line="240" w:lineRule="auto"/>
              <w:ind w:left="24" w:right="89"/>
              <w:rPr>
                <w:color w:val="000000"/>
                <w:sz w:val="12"/>
                <w:szCs w:val="12"/>
              </w:rPr>
            </w:pPr>
            <w:r>
              <w:rPr>
                <w:color w:val="000000"/>
                <w:sz w:val="12"/>
                <w:szCs w:val="12"/>
              </w:rPr>
              <w:t xml:space="preserve">Employment of 4 new Community Energy Engineers who will support community energy groups to realise their great ideas for innovation approaches to benefit communities, including by </w:t>
            </w:r>
            <w:r>
              <w:rPr>
                <w:color w:val="37761C"/>
                <w:sz w:val="12"/>
                <w:szCs w:val="12"/>
              </w:rPr>
              <w:t>facilitating their access to available funding streams</w:t>
            </w:r>
            <w:r>
              <w:rPr>
                <w:color w:val="000000"/>
                <w:sz w:val="12"/>
                <w:szCs w:val="12"/>
              </w:rPr>
              <w:t>.</w:t>
            </w:r>
          </w:p>
        </w:tc>
        <w:tc>
          <w:tcPr>
            <w:tcW w:w="2820" w:type="dxa"/>
            <w:gridSpan w:val="2"/>
            <w:shd w:val="clear" w:color="auto" w:fill="F9CB9B"/>
          </w:tcPr>
          <w:p w14:paraId="00000199" w14:textId="77777777" w:rsidR="00F428E9" w:rsidRDefault="00F428E9">
            <w:pPr>
              <w:pStyle w:val="Normal1"/>
              <w:pBdr>
                <w:top w:val="nil"/>
                <w:left w:val="nil"/>
                <w:bottom w:val="nil"/>
                <w:right w:val="nil"/>
                <w:between w:val="nil"/>
              </w:pBdr>
              <w:spacing w:line="240" w:lineRule="auto"/>
              <w:rPr>
                <w:color w:val="000000"/>
                <w:sz w:val="12"/>
                <w:szCs w:val="12"/>
              </w:rPr>
            </w:pPr>
          </w:p>
          <w:p w14:paraId="0000019A" w14:textId="77777777" w:rsidR="00F428E9" w:rsidRDefault="00F428E9">
            <w:pPr>
              <w:pStyle w:val="Normal1"/>
              <w:pBdr>
                <w:top w:val="nil"/>
                <w:left w:val="nil"/>
                <w:bottom w:val="nil"/>
                <w:right w:val="nil"/>
                <w:between w:val="nil"/>
              </w:pBdr>
              <w:spacing w:line="240" w:lineRule="auto"/>
              <w:rPr>
                <w:color w:val="000000"/>
                <w:sz w:val="12"/>
                <w:szCs w:val="12"/>
              </w:rPr>
            </w:pPr>
          </w:p>
          <w:p w14:paraId="0000019B" w14:textId="77777777" w:rsidR="00F428E9" w:rsidRDefault="00F428E9">
            <w:pPr>
              <w:pStyle w:val="Normal1"/>
              <w:pBdr>
                <w:top w:val="nil"/>
                <w:left w:val="nil"/>
                <w:bottom w:val="nil"/>
                <w:right w:val="nil"/>
                <w:between w:val="nil"/>
              </w:pBdr>
              <w:spacing w:line="240" w:lineRule="auto"/>
              <w:rPr>
                <w:color w:val="000000"/>
                <w:sz w:val="12"/>
                <w:szCs w:val="12"/>
              </w:rPr>
            </w:pPr>
          </w:p>
          <w:p w14:paraId="0000019C" w14:textId="77777777" w:rsidR="00F428E9" w:rsidRDefault="00F428E9">
            <w:pPr>
              <w:pStyle w:val="Normal1"/>
              <w:pBdr>
                <w:top w:val="nil"/>
                <w:left w:val="nil"/>
                <w:bottom w:val="nil"/>
                <w:right w:val="nil"/>
                <w:between w:val="nil"/>
              </w:pBdr>
              <w:spacing w:before="3" w:line="240" w:lineRule="auto"/>
              <w:rPr>
                <w:color w:val="000000"/>
                <w:sz w:val="12"/>
                <w:szCs w:val="12"/>
              </w:rPr>
            </w:pPr>
          </w:p>
          <w:p w14:paraId="0000019D" w14:textId="77777777" w:rsidR="00F428E9" w:rsidRDefault="00803E73">
            <w:pPr>
              <w:pStyle w:val="Normal1"/>
              <w:pBdr>
                <w:top w:val="nil"/>
                <w:left w:val="nil"/>
                <w:bottom w:val="nil"/>
                <w:right w:val="nil"/>
                <w:between w:val="nil"/>
              </w:pBdr>
              <w:spacing w:before="1" w:line="240" w:lineRule="auto"/>
              <w:ind w:left="24" w:right="184"/>
              <w:rPr>
                <w:color w:val="000000"/>
                <w:sz w:val="12"/>
                <w:szCs w:val="12"/>
              </w:rPr>
            </w:pPr>
            <w:r>
              <w:rPr>
                <w:color w:val="000000"/>
                <w:sz w:val="12"/>
                <w:szCs w:val="12"/>
              </w:rPr>
              <w:t>Provision of digital workshops to empower communities to maximise the value from data to deliver net zero. Highly granular and relevant data will be presented effectively to support local area planning processes.</w:t>
            </w:r>
          </w:p>
        </w:tc>
        <w:tc>
          <w:tcPr>
            <w:tcW w:w="1395" w:type="dxa"/>
            <w:shd w:val="clear" w:color="auto" w:fill="E6B8AE"/>
          </w:tcPr>
          <w:p w14:paraId="0000019F" w14:textId="77777777" w:rsidR="00F428E9" w:rsidRDefault="00F428E9">
            <w:pPr>
              <w:pStyle w:val="Normal1"/>
              <w:pBdr>
                <w:top w:val="nil"/>
                <w:left w:val="nil"/>
                <w:bottom w:val="nil"/>
                <w:right w:val="nil"/>
                <w:between w:val="nil"/>
              </w:pBdr>
              <w:spacing w:line="240" w:lineRule="auto"/>
              <w:rPr>
                <w:color w:val="000000"/>
                <w:sz w:val="12"/>
                <w:szCs w:val="12"/>
              </w:rPr>
            </w:pPr>
          </w:p>
          <w:p w14:paraId="000001A0" w14:textId="77777777" w:rsidR="00F428E9" w:rsidRDefault="00F428E9">
            <w:pPr>
              <w:pStyle w:val="Normal1"/>
              <w:pBdr>
                <w:top w:val="nil"/>
                <w:left w:val="nil"/>
                <w:bottom w:val="nil"/>
                <w:right w:val="nil"/>
                <w:between w:val="nil"/>
              </w:pBdr>
              <w:spacing w:line="240" w:lineRule="auto"/>
              <w:rPr>
                <w:color w:val="000000"/>
                <w:sz w:val="12"/>
                <w:szCs w:val="12"/>
              </w:rPr>
            </w:pPr>
          </w:p>
          <w:p w14:paraId="000001A1" w14:textId="77777777" w:rsidR="00F428E9" w:rsidRDefault="00F428E9">
            <w:pPr>
              <w:pStyle w:val="Normal1"/>
              <w:pBdr>
                <w:top w:val="nil"/>
                <w:left w:val="nil"/>
                <w:bottom w:val="nil"/>
                <w:right w:val="nil"/>
                <w:between w:val="nil"/>
              </w:pBdr>
              <w:spacing w:line="240" w:lineRule="auto"/>
              <w:rPr>
                <w:color w:val="000000"/>
                <w:sz w:val="12"/>
                <w:szCs w:val="12"/>
              </w:rPr>
            </w:pPr>
          </w:p>
          <w:p w14:paraId="000001A2" w14:textId="77777777" w:rsidR="00F428E9" w:rsidRDefault="00F428E9">
            <w:pPr>
              <w:pStyle w:val="Normal1"/>
              <w:pBdr>
                <w:top w:val="nil"/>
                <w:left w:val="nil"/>
                <w:bottom w:val="nil"/>
                <w:right w:val="nil"/>
                <w:between w:val="nil"/>
              </w:pBdr>
              <w:spacing w:line="240" w:lineRule="auto"/>
              <w:rPr>
                <w:color w:val="000000"/>
                <w:sz w:val="12"/>
                <w:szCs w:val="12"/>
              </w:rPr>
            </w:pPr>
          </w:p>
          <w:p w14:paraId="000001A3" w14:textId="77777777" w:rsidR="00F428E9" w:rsidRDefault="00F428E9">
            <w:pPr>
              <w:pStyle w:val="Normal1"/>
              <w:pBdr>
                <w:top w:val="nil"/>
                <w:left w:val="nil"/>
                <w:bottom w:val="nil"/>
                <w:right w:val="nil"/>
                <w:between w:val="nil"/>
              </w:pBdr>
              <w:spacing w:before="9" w:line="240" w:lineRule="auto"/>
              <w:rPr>
                <w:color w:val="000000"/>
                <w:sz w:val="12"/>
                <w:szCs w:val="12"/>
              </w:rPr>
            </w:pPr>
          </w:p>
          <w:p w14:paraId="000001A4" w14:textId="77777777" w:rsidR="00F428E9" w:rsidRDefault="00803E73">
            <w:pPr>
              <w:pStyle w:val="Normal1"/>
              <w:pBdr>
                <w:top w:val="nil"/>
                <w:left w:val="nil"/>
                <w:bottom w:val="nil"/>
                <w:right w:val="nil"/>
                <w:between w:val="nil"/>
              </w:pBdr>
              <w:spacing w:line="240" w:lineRule="auto"/>
              <w:ind w:left="24" w:right="127"/>
              <w:rPr>
                <w:color w:val="000000"/>
                <w:sz w:val="12"/>
                <w:szCs w:val="12"/>
              </w:rPr>
            </w:pPr>
            <w:r>
              <w:rPr>
                <w:color w:val="000000"/>
                <w:sz w:val="12"/>
                <w:szCs w:val="12"/>
              </w:rPr>
              <w:t>No strategy or chapter dedicated to communities</w:t>
            </w:r>
          </w:p>
        </w:tc>
        <w:tc>
          <w:tcPr>
            <w:tcW w:w="525" w:type="dxa"/>
            <w:vMerge w:val="restart"/>
          </w:tcPr>
          <w:p w14:paraId="000001A5" w14:textId="77777777" w:rsidR="00F428E9" w:rsidRDefault="00F428E9">
            <w:pPr>
              <w:pStyle w:val="Normal1"/>
              <w:pBdr>
                <w:top w:val="nil"/>
                <w:left w:val="nil"/>
                <w:bottom w:val="nil"/>
                <w:right w:val="nil"/>
                <w:between w:val="nil"/>
              </w:pBdr>
              <w:spacing w:line="240" w:lineRule="auto"/>
              <w:rPr>
                <w:color w:val="000000"/>
              </w:rPr>
            </w:pPr>
          </w:p>
          <w:p w14:paraId="000001A6" w14:textId="77777777" w:rsidR="00F428E9" w:rsidRDefault="00F428E9">
            <w:pPr>
              <w:pStyle w:val="Normal1"/>
              <w:pBdr>
                <w:top w:val="nil"/>
                <w:left w:val="nil"/>
                <w:bottom w:val="nil"/>
                <w:right w:val="nil"/>
                <w:between w:val="nil"/>
              </w:pBdr>
              <w:spacing w:line="240" w:lineRule="auto"/>
              <w:rPr>
                <w:color w:val="000000"/>
              </w:rPr>
            </w:pPr>
          </w:p>
          <w:p w14:paraId="000001A7" w14:textId="77777777" w:rsidR="00F428E9" w:rsidRDefault="00F428E9">
            <w:pPr>
              <w:pStyle w:val="Normal1"/>
              <w:pBdr>
                <w:top w:val="nil"/>
                <w:left w:val="nil"/>
                <w:bottom w:val="nil"/>
                <w:right w:val="nil"/>
                <w:between w:val="nil"/>
              </w:pBdr>
              <w:spacing w:line="240" w:lineRule="auto"/>
              <w:rPr>
                <w:color w:val="000000"/>
              </w:rPr>
            </w:pPr>
          </w:p>
          <w:p w14:paraId="000001A8" w14:textId="77777777" w:rsidR="00F428E9" w:rsidRDefault="00F428E9">
            <w:pPr>
              <w:pStyle w:val="Normal1"/>
              <w:pBdr>
                <w:top w:val="nil"/>
                <w:left w:val="nil"/>
                <w:bottom w:val="nil"/>
                <w:right w:val="nil"/>
                <w:between w:val="nil"/>
              </w:pBdr>
              <w:spacing w:line="240" w:lineRule="auto"/>
              <w:rPr>
                <w:color w:val="000000"/>
              </w:rPr>
            </w:pPr>
          </w:p>
          <w:p w14:paraId="000001A9" w14:textId="77777777" w:rsidR="00F428E9" w:rsidRDefault="00F428E9">
            <w:pPr>
              <w:pStyle w:val="Normal1"/>
              <w:pBdr>
                <w:top w:val="nil"/>
                <w:left w:val="nil"/>
                <w:bottom w:val="nil"/>
                <w:right w:val="nil"/>
                <w:between w:val="nil"/>
              </w:pBdr>
              <w:spacing w:line="240" w:lineRule="auto"/>
              <w:rPr>
                <w:color w:val="000000"/>
              </w:rPr>
            </w:pPr>
          </w:p>
          <w:p w14:paraId="000001AA" w14:textId="77777777" w:rsidR="00F428E9" w:rsidRDefault="00803E73">
            <w:pPr>
              <w:pStyle w:val="Normal1"/>
              <w:pBdr>
                <w:top w:val="nil"/>
                <w:left w:val="nil"/>
                <w:bottom w:val="nil"/>
                <w:right w:val="nil"/>
                <w:between w:val="nil"/>
              </w:pBdr>
              <w:spacing w:before="202" w:line="240" w:lineRule="auto"/>
              <w:ind w:left="150"/>
              <w:rPr>
                <w:b/>
                <w:color w:val="000000"/>
                <w:sz w:val="22"/>
                <w:szCs w:val="22"/>
              </w:rPr>
            </w:pPr>
            <w:r>
              <w:rPr>
                <w:b/>
                <w:color w:val="000000"/>
                <w:sz w:val="22"/>
                <w:szCs w:val="22"/>
              </w:rPr>
              <w:t>5/10</w:t>
            </w:r>
          </w:p>
        </w:tc>
        <w:tc>
          <w:tcPr>
            <w:tcW w:w="1815" w:type="dxa"/>
            <w:vMerge w:val="restart"/>
          </w:tcPr>
          <w:p w14:paraId="000001AB" w14:textId="77777777" w:rsidR="00F428E9" w:rsidRDefault="00F428E9">
            <w:pPr>
              <w:pStyle w:val="Normal1"/>
              <w:pBdr>
                <w:top w:val="nil"/>
                <w:left w:val="nil"/>
                <w:bottom w:val="nil"/>
                <w:right w:val="nil"/>
                <w:between w:val="nil"/>
              </w:pBdr>
              <w:spacing w:line="240" w:lineRule="auto"/>
              <w:rPr>
                <w:color w:val="000000"/>
                <w:sz w:val="12"/>
                <w:szCs w:val="12"/>
              </w:rPr>
            </w:pPr>
          </w:p>
          <w:p w14:paraId="000001AC" w14:textId="77777777" w:rsidR="00F428E9" w:rsidRDefault="00F428E9">
            <w:pPr>
              <w:pStyle w:val="Normal1"/>
              <w:pBdr>
                <w:top w:val="nil"/>
                <w:left w:val="nil"/>
                <w:bottom w:val="nil"/>
                <w:right w:val="nil"/>
                <w:between w:val="nil"/>
              </w:pBdr>
              <w:spacing w:line="240" w:lineRule="auto"/>
              <w:rPr>
                <w:color w:val="000000"/>
                <w:sz w:val="12"/>
                <w:szCs w:val="12"/>
              </w:rPr>
            </w:pPr>
          </w:p>
          <w:p w14:paraId="000001AD" w14:textId="77777777" w:rsidR="00F428E9" w:rsidRDefault="00F428E9">
            <w:pPr>
              <w:pStyle w:val="Normal1"/>
              <w:pBdr>
                <w:top w:val="nil"/>
                <w:left w:val="nil"/>
                <w:bottom w:val="nil"/>
                <w:right w:val="nil"/>
                <w:between w:val="nil"/>
              </w:pBdr>
              <w:spacing w:line="240" w:lineRule="auto"/>
              <w:rPr>
                <w:color w:val="000000"/>
                <w:sz w:val="12"/>
                <w:szCs w:val="12"/>
              </w:rPr>
            </w:pPr>
          </w:p>
          <w:p w14:paraId="000001AE" w14:textId="77777777" w:rsidR="00F428E9" w:rsidRDefault="00F428E9">
            <w:pPr>
              <w:pStyle w:val="Normal1"/>
              <w:pBdr>
                <w:top w:val="nil"/>
                <w:left w:val="nil"/>
                <w:bottom w:val="nil"/>
                <w:right w:val="nil"/>
                <w:between w:val="nil"/>
              </w:pBdr>
              <w:spacing w:line="240" w:lineRule="auto"/>
              <w:rPr>
                <w:color w:val="000000"/>
                <w:sz w:val="12"/>
                <w:szCs w:val="12"/>
              </w:rPr>
            </w:pPr>
          </w:p>
          <w:p w14:paraId="000001AF" w14:textId="77777777" w:rsidR="00F428E9" w:rsidRDefault="00F428E9">
            <w:pPr>
              <w:pStyle w:val="Normal1"/>
              <w:pBdr>
                <w:top w:val="nil"/>
                <w:left w:val="nil"/>
                <w:bottom w:val="nil"/>
                <w:right w:val="nil"/>
                <w:between w:val="nil"/>
              </w:pBdr>
              <w:spacing w:line="240" w:lineRule="auto"/>
              <w:rPr>
                <w:color w:val="000000"/>
                <w:sz w:val="12"/>
                <w:szCs w:val="12"/>
              </w:rPr>
            </w:pPr>
          </w:p>
          <w:p w14:paraId="000001B0" w14:textId="77777777" w:rsidR="00F428E9" w:rsidRDefault="00F428E9">
            <w:pPr>
              <w:pStyle w:val="Normal1"/>
              <w:pBdr>
                <w:top w:val="nil"/>
                <w:left w:val="nil"/>
                <w:bottom w:val="nil"/>
                <w:right w:val="nil"/>
                <w:between w:val="nil"/>
              </w:pBdr>
              <w:spacing w:line="240" w:lineRule="auto"/>
              <w:rPr>
                <w:color w:val="000000"/>
                <w:sz w:val="12"/>
                <w:szCs w:val="12"/>
              </w:rPr>
            </w:pPr>
          </w:p>
          <w:p w14:paraId="000001B1" w14:textId="77777777" w:rsidR="00F428E9" w:rsidRDefault="00F428E9">
            <w:pPr>
              <w:pStyle w:val="Normal1"/>
              <w:pBdr>
                <w:top w:val="nil"/>
                <w:left w:val="nil"/>
                <w:bottom w:val="nil"/>
                <w:right w:val="nil"/>
                <w:between w:val="nil"/>
              </w:pBdr>
              <w:spacing w:before="9" w:line="240" w:lineRule="auto"/>
              <w:rPr>
                <w:color w:val="000000"/>
                <w:sz w:val="10"/>
                <w:szCs w:val="10"/>
              </w:rPr>
            </w:pPr>
          </w:p>
          <w:p w14:paraId="000001B2" w14:textId="77777777" w:rsidR="00F428E9" w:rsidRDefault="00803E73">
            <w:pPr>
              <w:pStyle w:val="Normal1"/>
              <w:pBdr>
                <w:top w:val="nil"/>
                <w:left w:val="nil"/>
                <w:bottom w:val="nil"/>
                <w:right w:val="nil"/>
                <w:between w:val="nil"/>
              </w:pBdr>
              <w:spacing w:line="240" w:lineRule="auto"/>
              <w:ind w:left="24" w:right="61"/>
              <w:rPr>
                <w:color w:val="000000"/>
                <w:sz w:val="12"/>
                <w:szCs w:val="12"/>
              </w:rPr>
            </w:pPr>
            <w:r>
              <w:rPr>
                <w:color w:val="000000"/>
                <w:sz w:val="12"/>
                <w:szCs w:val="12"/>
              </w:rPr>
              <w:t>We appreciate the value of the social fund WPD have committed (£1 million a year) but it is unclear about how much of this fund will be allocated to CE organisations as it has many other commitments. We would like a better understanding of exactly what innovation and digitalisation will be used to ensure that network capacity is not a barrier to the connection of community energy projects. We would like to see these addressed by WPD within a specific CE strategy.</w:t>
            </w:r>
          </w:p>
        </w:tc>
      </w:tr>
      <w:tr w:rsidR="00F428E9" w14:paraId="2482149C" w14:textId="77777777">
        <w:trPr>
          <w:trHeight w:val="1153"/>
        </w:trPr>
        <w:tc>
          <w:tcPr>
            <w:tcW w:w="2265" w:type="dxa"/>
            <w:gridSpan w:val="2"/>
            <w:vMerge/>
          </w:tcPr>
          <w:p w14:paraId="000001B3"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335" w:type="dxa"/>
            <w:shd w:val="clear" w:color="auto" w:fill="B6D7A8"/>
          </w:tcPr>
          <w:p w14:paraId="000001B5" w14:textId="77777777" w:rsidR="00F428E9" w:rsidRDefault="00803E73">
            <w:pPr>
              <w:pStyle w:val="Normal1"/>
              <w:pBdr>
                <w:top w:val="nil"/>
                <w:left w:val="nil"/>
                <w:bottom w:val="nil"/>
                <w:right w:val="nil"/>
                <w:between w:val="nil"/>
              </w:pBdr>
              <w:spacing w:before="7" w:line="240" w:lineRule="auto"/>
              <w:ind w:left="24" w:right="55"/>
              <w:rPr>
                <w:color w:val="000000"/>
                <w:sz w:val="12"/>
                <w:szCs w:val="12"/>
              </w:rPr>
            </w:pPr>
            <w:r>
              <w:rPr>
                <w:color w:val="000000"/>
                <w:sz w:val="12"/>
                <w:szCs w:val="12"/>
              </w:rPr>
              <w:t>Pledge to connect at least 30 community energy groups to the network each year for the duration of ED2. This will build on the more than 100 community energy schemes connected to the network during RIIO-ED1.</w:t>
            </w:r>
          </w:p>
        </w:tc>
        <w:tc>
          <w:tcPr>
            <w:tcW w:w="2100" w:type="dxa"/>
            <w:shd w:val="clear" w:color="auto" w:fill="B6D7A8"/>
          </w:tcPr>
          <w:p w14:paraId="000001B6" w14:textId="77777777" w:rsidR="00F428E9" w:rsidRDefault="00803E73">
            <w:pPr>
              <w:pStyle w:val="Normal1"/>
              <w:pBdr>
                <w:top w:val="nil"/>
                <w:left w:val="nil"/>
                <w:bottom w:val="nil"/>
                <w:right w:val="nil"/>
                <w:between w:val="nil"/>
              </w:pBdr>
              <w:spacing w:before="75" w:line="240" w:lineRule="auto"/>
              <w:ind w:left="24" w:right="47"/>
              <w:rPr>
                <w:color w:val="000000"/>
                <w:sz w:val="12"/>
                <w:szCs w:val="12"/>
              </w:rPr>
            </w:pPr>
            <w:r>
              <w:rPr>
                <w:color w:val="000000"/>
                <w:sz w:val="12"/>
                <w:szCs w:val="12"/>
              </w:rPr>
              <w:t>A further £540,000 of funding has been set aside to help to establish, particularly community energy schemes, that install solar PV on 45 schools every year in areas of high economic deprivation to reduce their carbon impact and lower their energy bills, enabling the redistribution of savings to spent elsewhere on education resources.</w:t>
            </w:r>
          </w:p>
        </w:tc>
        <w:tc>
          <w:tcPr>
            <w:tcW w:w="1965" w:type="dxa"/>
            <w:shd w:val="clear" w:color="auto" w:fill="B6D7A8"/>
          </w:tcPr>
          <w:p w14:paraId="000001B7" w14:textId="77777777" w:rsidR="00F428E9" w:rsidRDefault="00803E73">
            <w:pPr>
              <w:pStyle w:val="Normal1"/>
              <w:pBdr>
                <w:top w:val="nil"/>
                <w:left w:val="nil"/>
                <w:bottom w:val="nil"/>
                <w:right w:val="nil"/>
                <w:between w:val="nil"/>
              </w:pBdr>
              <w:spacing w:before="75" w:line="240" w:lineRule="auto"/>
              <w:ind w:left="24" w:right="82"/>
              <w:rPr>
                <w:color w:val="000000"/>
                <w:sz w:val="12"/>
                <w:szCs w:val="12"/>
              </w:rPr>
            </w:pPr>
            <w:r>
              <w:rPr>
                <w:color w:val="000000"/>
                <w:sz w:val="12"/>
                <w:szCs w:val="12"/>
              </w:rPr>
              <w:t>Continued development of a wide range of accessible community energy themed guides including the ‘Connecting Community Energy’ guide. These will be supported by 60 community energy open surgeries per year and a dedicated WPD community energy representative to assist with connection and flexibility offers.</w:t>
            </w:r>
          </w:p>
        </w:tc>
        <w:tc>
          <w:tcPr>
            <w:tcW w:w="1305" w:type="dxa"/>
          </w:tcPr>
          <w:p w14:paraId="000001B8"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515" w:type="dxa"/>
          </w:tcPr>
          <w:p w14:paraId="000001B9"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395" w:type="dxa"/>
          </w:tcPr>
          <w:p w14:paraId="000001BA"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525" w:type="dxa"/>
            <w:vMerge/>
          </w:tcPr>
          <w:p w14:paraId="000001BB"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815" w:type="dxa"/>
            <w:vMerge/>
          </w:tcPr>
          <w:p w14:paraId="000001BC" w14:textId="77777777" w:rsidR="00F428E9" w:rsidRDefault="00F428E9">
            <w:pPr>
              <w:pStyle w:val="Normal1"/>
              <w:pBdr>
                <w:top w:val="nil"/>
                <w:left w:val="nil"/>
                <w:bottom w:val="nil"/>
                <w:right w:val="nil"/>
                <w:between w:val="nil"/>
              </w:pBdr>
              <w:spacing w:line="276" w:lineRule="auto"/>
              <w:rPr>
                <w:color w:val="000000"/>
                <w:sz w:val="12"/>
                <w:szCs w:val="12"/>
              </w:rPr>
            </w:pPr>
          </w:p>
        </w:tc>
      </w:tr>
      <w:tr w:rsidR="00F428E9" w14:paraId="63215FCE" w14:textId="77777777">
        <w:trPr>
          <w:trHeight w:val="598"/>
        </w:trPr>
        <w:tc>
          <w:tcPr>
            <w:tcW w:w="2265" w:type="dxa"/>
            <w:gridSpan w:val="2"/>
            <w:vMerge/>
          </w:tcPr>
          <w:p w14:paraId="000001BD"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335" w:type="dxa"/>
          </w:tcPr>
          <w:p w14:paraId="000001BF"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2100" w:type="dxa"/>
          </w:tcPr>
          <w:p w14:paraId="000001C0"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965" w:type="dxa"/>
            <w:shd w:val="clear" w:color="auto" w:fill="F9CB9B"/>
          </w:tcPr>
          <w:p w14:paraId="000001C1" w14:textId="77777777" w:rsidR="00F428E9" w:rsidRDefault="00803E73">
            <w:pPr>
              <w:pStyle w:val="Normal1"/>
              <w:pBdr>
                <w:top w:val="nil"/>
                <w:left w:val="nil"/>
                <w:bottom w:val="nil"/>
                <w:right w:val="nil"/>
                <w:between w:val="nil"/>
              </w:pBdr>
              <w:spacing w:before="8" w:line="240" w:lineRule="auto"/>
              <w:ind w:left="24" w:right="42"/>
              <w:rPr>
                <w:color w:val="000000"/>
                <w:sz w:val="12"/>
                <w:szCs w:val="12"/>
              </w:rPr>
            </w:pPr>
            <w:r>
              <w:rPr>
                <w:color w:val="000000"/>
                <w:sz w:val="12"/>
                <w:szCs w:val="12"/>
              </w:rPr>
              <w:t>Establishment of a volunteering scheme encouraging staff to volunteer at local community projects and the allocation of 1,000 staff volunteering days every year during RIIO-ED2</w:t>
            </w:r>
          </w:p>
        </w:tc>
        <w:tc>
          <w:tcPr>
            <w:tcW w:w="1305" w:type="dxa"/>
          </w:tcPr>
          <w:p w14:paraId="000001C2"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515" w:type="dxa"/>
          </w:tcPr>
          <w:p w14:paraId="000001C3"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1395" w:type="dxa"/>
          </w:tcPr>
          <w:p w14:paraId="000001C4" w14:textId="77777777" w:rsidR="00F428E9" w:rsidRDefault="00F428E9">
            <w:pPr>
              <w:pStyle w:val="Normal1"/>
              <w:pBdr>
                <w:top w:val="nil"/>
                <w:left w:val="nil"/>
                <w:bottom w:val="nil"/>
                <w:right w:val="nil"/>
                <w:between w:val="nil"/>
              </w:pBdr>
              <w:spacing w:line="240" w:lineRule="auto"/>
              <w:rPr>
                <w:color w:val="000000"/>
                <w:sz w:val="12"/>
                <w:szCs w:val="12"/>
              </w:rPr>
            </w:pPr>
          </w:p>
        </w:tc>
        <w:tc>
          <w:tcPr>
            <w:tcW w:w="525" w:type="dxa"/>
            <w:vMerge/>
          </w:tcPr>
          <w:p w14:paraId="000001C5" w14:textId="77777777" w:rsidR="00F428E9" w:rsidRDefault="00F428E9">
            <w:pPr>
              <w:pStyle w:val="Normal1"/>
              <w:pBdr>
                <w:top w:val="nil"/>
                <w:left w:val="nil"/>
                <w:bottom w:val="nil"/>
                <w:right w:val="nil"/>
                <w:between w:val="nil"/>
              </w:pBdr>
              <w:spacing w:line="276" w:lineRule="auto"/>
              <w:rPr>
                <w:color w:val="000000"/>
                <w:sz w:val="12"/>
                <w:szCs w:val="12"/>
              </w:rPr>
            </w:pPr>
          </w:p>
        </w:tc>
        <w:tc>
          <w:tcPr>
            <w:tcW w:w="1815" w:type="dxa"/>
            <w:vMerge/>
          </w:tcPr>
          <w:p w14:paraId="000001C6" w14:textId="77777777" w:rsidR="00F428E9" w:rsidRDefault="00F428E9">
            <w:pPr>
              <w:pStyle w:val="Normal1"/>
              <w:pBdr>
                <w:top w:val="nil"/>
                <w:left w:val="nil"/>
                <w:bottom w:val="nil"/>
                <w:right w:val="nil"/>
                <w:between w:val="nil"/>
              </w:pBdr>
              <w:spacing w:line="276" w:lineRule="auto"/>
              <w:rPr>
                <w:color w:val="000000"/>
                <w:sz w:val="12"/>
                <w:szCs w:val="12"/>
              </w:rPr>
            </w:pPr>
          </w:p>
        </w:tc>
      </w:tr>
    </w:tbl>
    <w:p w14:paraId="000001C7" w14:textId="77777777" w:rsidR="00F428E9" w:rsidRDefault="00F428E9">
      <w:pPr>
        <w:pStyle w:val="Normal1"/>
        <w:sectPr w:rsidR="00F428E9">
          <w:pgSz w:w="16838" w:h="11906" w:orient="landscape"/>
          <w:pgMar w:top="1080" w:right="2740" w:bottom="280" w:left="2740" w:header="720" w:footer="720" w:gutter="0"/>
          <w:cols w:space="720"/>
        </w:sectPr>
      </w:pPr>
    </w:p>
    <w:p w14:paraId="000001C8" w14:textId="77777777" w:rsidR="00F428E9" w:rsidRDefault="00F428E9">
      <w:pPr>
        <w:pStyle w:val="Normal1"/>
        <w:widowControl/>
        <w:pBdr>
          <w:top w:val="nil"/>
          <w:left w:val="nil"/>
          <w:bottom w:val="nil"/>
          <w:right w:val="nil"/>
          <w:between w:val="nil"/>
        </w:pBdr>
        <w:rPr>
          <w:b/>
          <w:color w:val="000000"/>
          <w:sz w:val="28"/>
          <w:szCs w:val="28"/>
        </w:rPr>
      </w:pPr>
    </w:p>
    <w:p w14:paraId="000001C9"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rPr>
      </w:pPr>
      <w:r>
        <w:rPr>
          <w:b/>
          <w:color w:val="000000"/>
          <w:sz w:val="28"/>
          <w:szCs w:val="28"/>
        </w:rPr>
        <w:t>Contacts:</w:t>
      </w:r>
    </w:p>
    <w:p w14:paraId="000001CA" w14:textId="77777777" w:rsidR="00F428E9" w:rsidRDefault="00803E73">
      <w:pPr>
        <w:pStyle w:val="Normal1"/>
        <w:widowControl/>
      </w:pPr>
      <w:r>
        <w:rPr>
          <w:color w:val="000000"/>
        </w:rPr>
        <w:t>Flora Robertson, Policy &amp; Advocacy Intern, </w:t>
      </w:r>
    </w:p>
    <w:p w14:paraId="000001CB" w14:textId="77777777" w:rsidR="00F428E9" w:rsidRDefault="00803E73">
      <w:pPr>
        <w:pStyle w:val="Normal1"/>
        <w:widowControl/>
      </w:pPr>
      <w:r>
        <w:rPr>
          <w:color w:val="000000"/>
        </w:rPr>
        <w:t>Community Energy England Email: f.robertson@communityenergyengland.org </w:t>
      </w:r>
    </w:p>
    <w:p w14:paraId="000001CC" w14:textId="77777777" w:rsidR="00F428E9" w:rsidRDefault="00F428E9">
      <w:pPr>
        <w:pStyle w:val="Normal1"/>
        <w:widowControl/>
      </w:pPr>
    </w:p>
    <w:p w14:paraId="000001CD" w14:textId="77777777" w:rsidR="00F428E9" w:rsidRDefault="00803E73">
      <w:pPr>
        <w:pStyle w:val="Normal1"/>
        <w:widowControl/>
      </w:pPr>
      <w:r>
        <w:rPr>
          <w:color w:val="000000"/>
        </w:rPr>
        <w:t>Duncan Law, Policy &amp; Advocacy Manager, </w:t>
      </w:r>
    </w:p>
    <w:p w14:paraId="000001CE" w14:textId="77777777" w:rsidR="00F428E9" w:rsidRDefault="00803E73">
      <w:pPr>
        <w:pStyle w:val="Normal1"/>
        <w:widowControl/>
      </w:pPr>
      <w:r>
        <w:rPr>
          <w:color w:val="000000"/>
        </w:rPr>
        <w:t>Community Energy England Email: d.law@communityenergyengland.org</w:t>
      </w:r>
    </w:p>
    <w:p w14:paraId="000001CF" w14:textId="77777777" w:rsidR="00F428E9" w:rsidRDefault="00F428E9">
      <w:pPr>
        <w:pStyle w:val="Normal1"/>
        <w:widowControl/>
      </w:pPr>
    </w:p>
    <w:p w14:paraId="000001D0" w14:textId="77777777" w:rsidR="00F428E9" w:rsidRDefault="00803E73">
      <w:pPr>
        <w:pStyle w:val="Normal1"/>
        <w:widowControl/>
        <w:pBdr>
          <w:top w:val="nil"/>
          <w:left w:val="nil"/>
          <w:bottom w:val="nil"/>
          <w:right w:val="nil"/>
          <w:between w:val="nil"/>
        </w:pBdr>
        <w:rPr>
          <w:rFonts w:ascii="Times New Roman" w:eastAsia="Times New Roman" w:hAnsi="Times New Roman" w:cs="Times New Roman"/>
          <w:color w:val="000000"/>
        </w:rPr>
      </w:pPr>
      <w:r>
        <w:rPr>
          <w:b/>
          <w:color w:val="000000"/>
          <w:sz w:val="28"/>
          <w:szCs w:val="28"/>
        </w:rPr>
        <w:t>Further Information:</w:t>
      </w:r>
    </w:p>
    <w:p w14:paraId="000001D1" w14:textId="77777777" w:rsidR="00F428E9" w:rsidRDefault="00803E73">
      <w:pPr>
        <w:pStyle w:val="Normal1"/>
        <w:widowControl/>
      </w:pPr>
      <w:r>
        <w:rPr>
          <w:color w:val="000000"/>
        </w:rPr>
        <w:t>Community Energy England (CEE) was established in 2014 to provide a voice for the community energy sector, primarily in England. Membership totals over 270 organisations. Many of the member organisations are community energy groups, but membership extends across a wide range of organisations that work with and support the community energy sector. </w:t>
      </w:r>
    </w:p>
    <w:p w14:paraId="000001D2" w14:textId="77777777" w:rsidR="00F428E9" w:rsidRDefault="00840A7E">
      <w:pPr>
        <w:pStyle w:val="Normal1"/>
        <w:widowControl/>
      </w:pPr>
      <w:hyperlink r:id="rId28">
        <w:r w:rsidR="00803E73">
          <w:rPr>
            <w:color w:val="1155CC"/>
            <w:u w:val="single"/>
          </w:rPr>
          <w:t>www.communityenergyengland.org</w:t>
        </w:r>
      </w:hyperlink>
    </w:p>
    <w:p w14:paraId="000001D3" w14:textId="77777777" w:rsidR="00F428E9" w:rsidRDefault="00F428E9">
      <w:pPr>
        <w:pStyle w:val="Normal1"/>
        <w:ind w:left="-284" w:right="765" w:firstLine="284"/>
      </w:pPr>
    </w:p>
    <w:sectPr w:rsidR="00F428E9">
      <w:pgSz w:w="11906" w:h="16838"/>
      <w:pgMar w:top="1134" w:right="707" w:bottom="27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C5E48" w14:textId="77777777" w:rsidR="001C76D4" w:rsidRDefault="00803E73">
      <w:pPr>
        <w:spacing w:line="240" w:lineRule="auto"/>
      </w:pPr>
      <w:r>
        <w:separator/>
      </w:r>
    </w:p>
  </w:endnote>
  <w:endnote w:type="continuationSeparator" w:id="0">
    <w:p w14:paraId="53F125B8" w14:textId="77777777" w:rsidR="001C76D4" w:rsidRDefault="00803E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mbria"/>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MS Mincho">
    <w:altName w:val="Yu Gothic"/>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0051" w14:textId="7581E14E" w:rsidR="00803E73" w:rsidRDefault="00803E73">
    <w:pPr>
      <w:pStyle w:val="Footer"/>
    </w:pPr>
    <w:r>
      <w:rPr>
        <w:noProof/>
      </w:rPr>
      <mc:AlternateContent>
        <mc:Choice Requires="wps">
          <w:drawing>
            <wp:anchor distT="0" distB="0" distL="0" distR="0" simplePos="0" relativeHeight="251659264" behindDoc="0" locked="0" layoutInCell="1" allowOverlap="1" wp14:anchorId="12AD6BF8" wp14:editId="1F05E778">
              <wp:simplePos x="635" y="635"/>
              <wp:positionH relativeFrom="column">
                <wp:align>center</wp:align>
              </wp:positionH>
              <wp:positionV relativeFrom="paragraph">
                <wp:posOffset>635</wp:posOffset>
              </wp:positionV>
              <wp:extent cx="443865" cy="443865"/>
              <wp:effectExtent l="0" t="0" r="1270" b="15240"/>
              <wp:wrapSquare wrapText="bothSides"/>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92C6ED3" w14:textId="08A43806" w:rsidR="00803E73" w:rsidRPr="00803E73" w:rsidRDefault="00803E73">
                          <w:pPr>
                            <w:rPr>
                              <w:noProof/>
                              <w:color w:val="000000"/>
                              <w:sz w:val="20"/>
                              <w:szCs w:val="20"/>
                            </w:rPr>
                          </w:pPr>
                          <w:r w:rsidRPr="00803E73">
                            <w:rPr>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12AD6BF8">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alt="OFFICIAL-InternalOnly"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v:fill o:detectmouseclick="t"/>
              <v:textbox style="mso-fit-shape-to-text:t" inset="0,0,0,0">
                <w:txbxContent>
                  <w:p w:rsidRPr="00803E73" w:rsidR="00803E73" w:rsidRDefault="00803E73" w14:paraId="092C6ED3" w14:textId="08A43806">
                    <w:pPr>
                      <w:rPr>
                        <w:noProof/>
                        <w:color w:val="000000"/>
                        <w:sz w:val="20"/>
                        <w:szCs w:val="20"/>
                      </w:rPr>
                    </w:pPr>
                    <w:r w:rsidRPr="00803E73">
                      <w:rPr>
                        <w:noProof/>
                        <w:color w:val="000000"/>
                        <w:sz w:val="20"/>
                        <w:szCs w:val="20"/>
                      </w:rPr>
                      <w:t>OFFICIAL-InternalOnly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E5302" w14:textId="13D810A7" w:rsidR="00803E73" w:rsidRDefault="00803E73">
    <w:pPr>
      <w:pStyle w:val="Footer"/>
    </w:pPr>
    <w:r>
      <w:rPr>
        <w:noProof/>
      </w:rPr>
      <mc:AlternateContent>
        <mc:Choice Requires="wps">
          <w:drawing>
            <wp:anchor distT="0" distB="0" distL="0" distR="0" simplePos="0" relativeHeight="251660288" behindDoc="0" locked="0" layoutInCell="1" allowOverlap="1" wp14:anchorId="6303984E" wp14:editId="5EBB6A93">
              <wp:simplePos x="635" y="635"/>
              <wp:positionH relativeFrom="column">
                <wp:align>center</wp:align>
              </wp:positionH>
              <wp:positionV relativeFrom="paragraph">
                <wp:posOffset>635</wp:posOffset>
              </wp:positionV>
              <wp:extent cx="443865" cy="443865"/>
              <wp:effectExtent l="0" t="0" r="1270" b="15240"/>
              <wp:wrapSquare wrapText="bothSides"/>
              <wp:docPr id="4" name="Text Box 4"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1020CA6" w14:textId="16ABFAA6" w:rsidR="00803E73" w:rsidRPr="00803E73" w:rsidRDefault="00803E73">
                          <w:pPr>
                            <w:rPr>
                              <w:noProof/>
                              <w:color w:val="000000"/>
                              <w:sz w:val="20"/>
                              <w:szCs w:val="20"/>
                            </w:rPr>
                          </w:pPr>
                          <w:r w:rsidRPr="00803E73">
                            <w:rPr>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6303984E">
              <v:stroke joinstyle="miter"/>
              <v:path gradientshapeok="t" o:connecttype="rect"/>
            </v:shapetype>
            <v:shape id="Text Box 4"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alt="OFFICIAL-InternalOnly"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v:fill o:detectmouseclick="t"/>
              <v:textbox style="mso-fit-shape-to-text:t" inset="0,0,0,0">
                <w:txbxContent>
                  <w:p w:rsidRPr="00803E73" w:rsidR="00803E73" w:rsidRDefault="00803E73" w14:paraId="11020CA6" w14:textId="16ABFAA6">
                    <w:pPr>
                      <w:rPr>
                        <w:noProof/>
                        <w:color w:val="000000"/>
                        <w:sz w:val="20"/>
                        <w:szCs w:val="20"/>
                      </w:rPr>
                    </w:pPr>
                    <w:r w:rsidRPr="00803E73">
                      <w:rPr>
                        <w:noProof/>
                        <w:color w:val="000000"/>
                        <w:sz w:val="20"/>
                        <w:szCs w:val="20"/>
                      </w:rPr>
                      <w:t>OFFICIAL-InternalOnly</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1F17B" w14:textId="6A19761E" w:rsidR="00803E73" w:rsidRDefault="00803E73">
    <w:pPr>
      <w:pStyle w:val="Footer"/>
    </w:pPr>
    <w:r>
      <w:rPr>
        <w:noProof/>
      </w:rPr>
      <mc:AlternateContent>
        <mc:Choice Requires="wps">
          <w:drawing>
            <wp:anchor distT="0" distB="0" distL="0" distR="0" simplePos="0" relativeHeight="251658240" behindDoc="0" locked="0" layoutInCell="1" allowOverlap="1" wp14:anchorId="6DD53ED4" wp14:editId="6325485A">
              <wp:simplePos x="635" y="635"/>
              <wp:positionH relativeFrom="column">
                <wp:align>center</wp:align>
              </wp:positionH>
              <wp:positionV relativeFrom="paragraph">
                <wp:posOffset>635</wp:posOffset>
              </wp:positionV>
              <wp:extent cx="443865" cy="443865"/>
              <wp:effectExtent l="0" t="0" r="1270" b="15240"/>
              <wp:wrapSquare wrapText="bothSides"/>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198AEE" w14:textId="2AF3B9A2" w:rsidR="00803E73" w:rsidRPr="00803E73" w:rsidRDefault="00803E73">
                          <w:pPr>
                            <w:rPr>
                              <w:noProof/>
                              <w:color w:val="000000"/>
                              <w:sz w:val="20"/>
                              <w:szCs w:val="20"/>
                            </w:rPr>
                          </w:pPr>
                          <w:r w:rsidRPr="00803E73">
                            <w:rPr>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xmlns:arto="http://schemas.microsoft.com/office/word/2006/arto">
          <w:pict>
            <v:shapetype id="_x0000_t202" coordsize="21600,21600" o:spt="202" path="m,l,21600r21600,l21600,xe" w14:anchorId="6DD53ED4">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alt="OFFICIAL-InternalOnly"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v:fill o:detectmouseclick="t"/>
              <v:textbox style="mso-fit-shape-to-text:t" inset="0,0,0,0">
                <w:txbxContent>
                  <w:p w:rsidRPr="00803E73" w:rsidR="00803E73" w:rsidRDefault="00803E73" w14:paraId="6C198AEE" w14:textId="2AF3B9A2">
                    <w:pPr>
                      <w:rPr>
                        <w:noProof/>
                        <w:color w:val="000000"/>
                        <w:sz w:val="20"/>
                        <w:szCs w:val="20"/>
                      </w:rPr>
                    </w:pPr>
                    <w:r w:rsidRPr="00803E73">
                      <w:rPr>
                        <w:noProof/>
                        <w:color w:val="000000"/>
                        <w:sz w:val="20"/>
                        <w:szCs w:val="20"/>
                      </w:rPr>
                      <w:t>OFFICIAL-InternalOnly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09FD3" w14:textId="77777777" w:rsidR="001C76D4" w:rsidRDefault="00803E73">
      <w:pPr>
        <w:spacing w:line="240" w:lineRule="auto"/>
      </w:pPr>
      <w:r>
        <w:separator/>
      </w:r>
    </w:p>
  </w:footnote>
  <w:footnote w:type="continuationSeparator" w:id="0">
    <w:p w14:paraId="576D95E8" w14:textId="77777777" w:rsidR="001C76D4" w:rsidRDefault="00803E73">
      <w:pPr>
        <w:spacing w:line="240" w:lineRule="auto"/>
      </w:pPr>
      <w:r>
        <w:continuationSeparator/>
      </w:r>
    </w:p>
  </w:footnote>
  <w:footnote w:id="1">
    <w:p w14:paraId="000001D5" w14:textId="77777777" w:rsidR="00F428E9" w:rsidRDefault="00803E73">
      <w:pPr>
        <w:pStyle w:val="Normal1"/>
        <w:widowControl/>
        <w:rPr>
          <w:rFonts w:ascii="Arial" w:eastAsia="Arial" w:hAnsi="Arial" w:cs="Arial"/>
          <w:sz w:val="20"/>
          <w:szCs w:val="20"/>
        </w:rPr>
      </w:pPr>
      <w:r>
        <w:rPr>
          <w:vertAlign w:val="superscript"/>
        </w:rPr>
        <w:footnoteRef/>
      </w:r>
      <w:r>
        <w:rPr>
          <w:rFonts w:ascii="Arial" w:eastAsia="Arial" w:hAnsi="Arial" w:cs="Arial"/>
          <w:sz w:val="20"/>
          <w:szCs w:val="20"/>
        </w:rPr>
        <w:t xml:space="preserve">  </w:t>
      </w:r>
      <w:hyperlink r:id="rId1">
        <w:r>
          <w:rPr>
            <w:color w:val="1155CC"/>
            <w:sz w:val="18"/>
            <w:szCs w:val="18"/>
            <w:u w:val="single"/>
          </w:rPr>
          <w:t>https://communityenergyengland.org/files/document/383/1591711634_2019CommunityEnergyStateoftheSectorReport.pdf</w:t>
        </w:r>
      </w:hyperlink>
      <w:r>
        <w:rPr>
          <w:rFonts w:ascii="Arial" w:eastAsia="Arial" w:hAnsi="Arial" w:cs="Arial"/>
          <w:sz w:val="20"/>
          <w:szCs w:val="20"/>
        </w:rPr>
        <w:t xml:space="preserve"> </w:t>
      </w:r>
    </w:p>
  </w:footnote>
  <w:footnote w:id="2">
    <w:p w14:paraId="000001D6" w14:textId="77777777" w:rsidR="00F428E9" w:rsidRDefault="00803E73">
      <w:pPr>
        <w:pStyle w:val="Normal1"/>
        <w:widowControl/>
        <w:rPr>
          <w:sz w:val="18"/>
          <w:szCs w:val="18"/>
        </w:rPr>
      </w:pPr>
      <w:r>
        <w:rPr>
          <w:vertAlign w:val="superscript"/>
        </w:rPr>
        <w:footnoteRef/>
      </w:r>
      <w:r>
        <w:rPr>
          <w:rFonts w:ascii="Arial" w:eastAsia="Arial" w:hAnsi="Arial" w:cs="Arial"/>
          <w:sz w:val="20"/>
          <w:szCs w:val="20"/>
        </w:rPr>
        <w:t xml:space="preserve"> </w:t>
      </w:r>
      <w:hyperlink r:id="rId2">
        <w:r>
          <w:rPr>
            <w:color w:val="1155CC"/>
            <w:sz w:val="18"/>
            <w:szCs w:val="18"/>
            <w:u w:val="single"/>
          </w:rPr>
          <w:t>https://www.gov.uk/government/publications/community-renewable-electricity-generation-potential-sector-growth-to-2020</w:t>
        </w:r>
      </w:hyperlink>
      <w:r>
        <w:rPr>
          <w:sz w:val="18"/>
          <w:szCs w:val="18"/>
        </w:rPr>
        <w:t xml:space="preserve"> </w:t>
      </w:r>
    </w:p>
  </w:footnote>
  <w:footnote w:id="3">
    <w:p w14:paraId="000001D7" w14:textId="77777777" w:rsidR="00F428E9" w:rsidRDefault="00803E73">
      <w:pPr>
        <w:pStyle w:val="Normal1"/>
        <w:widowControl/>
        <w:rPr>
          <w:rFonts w:ascii="Arial" w:eastAsia="Arial" w:hAnsi="Arial" w:cs="Arial"/>
          <w:sz w:val="20"/>
          <w:szCs w:val="20"/>
        </w:rPr>
      </w:pPr>
      <w:r>
        <w:rPr>
          <w:vertAlign w:val="superscript"/>
        </w:rPr>
        <w:footnoteRef/>
      </w:r>
      <w:r>
        <w:rPr>
          <w:rFonts w:ascii="Arial" w:eastAsia="Arial" w:hAnsi="Arial" w:cs="Arial"/>
          <w:sz w:val="20"/>
          <w:szCs w:val="20"/>
        </w:rPr>
        <w:t xml:space="preserve"> </w:t>
      </w:r>
      <w:hyperlink r:id="rId3">
        <w:r>
          <w:rPr>
            <w:color w:val="1155CC"/>
            <w:sz w:val="18"/>
            <w:szCs w:val="18"/>
            <w:u w:val="single"/>
          </w:rPr>
          <w:t>https://www.bristol.ac.uk/media-library/sites/law/research/Nolden%20et%20al.%20BLRP%20No.%202%202021.pdf</w:t>
        </w:r>
      </w:hyperlink>
      <w:r>
        <w:rPr>
          <w:rFonts w:ascii="Arial" w:eastAsia="Arial" w:hAnsi="Arial" w:cs="Arial"/>
          <w:sz w:val="20"/>
          <w:szCs w:val="20"/>
        </w:rPr>
        <w:t xml:space="preserve"> </w:t>
      </w:r>
    </w:p>
  </w:footnote>
  <w:footnote w:id="4">
    <w:p w14:paraId="000001D8" w14:textId="77777777" w:rsidR="00F428E9" w:rsidRDefault="00803E73">
      <w:pPr>
        <w:pStyle w:val="Normal1"/>
        <w:widowControl/>
        <w:rPr>
          <w:rFonts w:ascii="Arial" w:eastAsia="Arial" w:hAnsi="Arial" w:cs="Arial"/>
          <w:sz w:val="20"/>
          <w:szCs w:val="20"/>
        </w:rPr>
      </w:pPr>
      <w:r>
        <w:rPr>
          <w:vertAlign w:val="superscript"/>
        </w:rPr>
        <w:footnoteRef/>
      </w:r>
      <w:hyperlink r:id="rId4">
        <w:r>
          <w:rPr>
            <w:color w:val="000080"/>
            <w:sz w:val="18"/>
            <w:szCs w:val="18"/>
            <w:u w:val="single"/>
          </w:rPr>
          <w:t>http://www.pointandsandwick.co.uk/wp-content/uploads/</w:t>
        </w:r>
      </w:hyperlink>
      <w:hyperlink r:id="rId5">
        <w:r>
          <w:rPr>
            <w:color w:val="0000FF"/>
            <w:sz w:val="18"/>
            <w:szCs w:val="18"/>
            <w:u w:val="single"/>
          </w:rPr>
          <w:t>2021</w:t>
        </w:r>
      </w:hyperlink>
      <w:hyperlink r:id="rId6">
        <w:r>
          <w:rPr>
            <w:color w:val="000080"/>
            <w:sz w:val="18"/>
            <w:szCs w:val="18"/>
            <w:u w:val="single"/>
          </w:rPr>
          <w:t>/06/Financial-comparison-of-private-and-community-wind-farms-report-FINAL-1.pdf</w:t>
        </w:r>
      </w:hyperlink>
    </w:p>
  </w:footnote>
  <w:footnote w:id="5">
    <w:p w14:paraId="000001D9" w14:textId="77777777" w:rsidR="00F428E9" w:rsidRDefault="00803E73">
      <w:pPr>
        <w:pStyle w:val="Normal1"/>
        <w:widowControl/>
        <w:rPr>
          <w:sz w:val="18"/>
          <w:szCs w:val="18"/>
        </w:rPr>
      </w:pPr>
      <w:r>
        <w:rPr>
          <w:vertAlign w:val="superscript"/>
        </w:rPr>
        <w:footnoteRef/>
      </w:r>
      <w:hyperlink r:id="rId7">
        <w:r>
          <w:rPr>
            <w:color w:val="1155CC"/>
            <w:sz w:val="18"/>
            <w:szCs w:val="18"/>
            <w:u w:val="single"/>
          </w:rPr>
          <w:t>https://communityenergyengland.org/files/document/615/1654781666_CommunityEnergyStateoftheSectorUKSummaryReport2022.pdf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3C8C0" w14:textId="77777777" w:rsidR="00803E73" w:rsidRDefault="00803E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D4" w14:textId="77777777" w:rsidR="00F428E9" w:rsidRDefault="00803E73">
    <w:pPr>
      <w:pStyle w:val="Normal1"/>
      <w:pBdr>
        <w:top w:val="nil"/>
        <w:left w:val="nil"/>
        <w:bottom w:val="nil"/>
        <w:right w:val="nil"/>
        <w:between w:val="nil"/>
      </w:pBdr>
      <w:tabs>
        <w:tab w:val="center" w:pos="4513"/>
        <w:tab w:val="right" w:pos="9026"/>
      </w:tabs>
      <w:spacing w:line="240" w:lineRule="auto"/>
      <w:jc w:val="right"/>
      <w:rPr>
        <w:color w:val="000000"/>
      </w:rPr>
    </w:pPr>
    <w:r>
      <w:rPr>
        <w:rFonts w:ascii="Trebuchet MS" w:eastAsia="Trebuchet MS" w:hAnsi="Trebuchet MS" w:cs="Trebuchet MS"/>
        <w:b/>
        <w:i/>
        <w:color w:val="595959"/>
      </w:rPr>
      <w:t>Community</w:t>
    </w:r>
    <w:r>
      <w:rPr>
        <w:rFonts w:ascii="Trebuchet MS" w:eastAsia="Trebuchet MS" w:hAnsi="Trebuchet MS" w:cs="Trebuchet MS"/>
        <w:b/>
        <w:i/>
        <w:color w:val="000000"/>
      </w:rPr>
      <w:t xml:space="preserve"> </w:t>
    </w:r>
    <w:r>
      <w:rPr>
        <w:rFonts w:ascii="Trebuchet MS" w:eastAsia="Trebuchet MS" w:hAnsi="Trebuchet MS" w:cs="Trebuchet MS"/>
        <w:b/>
        <w:i/>
        <w:color w:val="5FBE00"/>
      </w:rPr>
      <w:t>Energy</w:t>
    </w:r>
    <w:r>
      <w:rPr>
        <w:rFonts w:ascii="Trebuchet MS" w:eastAsia="Trebuchet MS" w:hAnsi="Trebuchet MS" w:cs="Trebuchet MS"/>
        <w:b/>
        <w:i/>
        <w:color w:val="000000"/>
      </w:rPr>
      <w:t xml:space="preserve"> England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3D1F7" w14:textId="77777777" w:rsidR="00803E73" w:rsidRDefault="00803E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88FB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B37E848"/>
    <w:multiLevelType w:val="multilevel"/>
    <w:tmpl w:val="FFFFFFFF"/>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2E471E8E"/>
    <w:multiLevelType w:val="multilevel"/>
    <w:tmpl w:val="FFFFFFF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74EAE003"/>
    <w:multiLevelType w:val="multilevel"/>
    <w:tmpl w:val="FFFFFFFF"/>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692997465">
    <w:abstractNumId w:val="0"/>
  </w:num>
  <w:num w:numId="2" w16cid:durableId="1278289701">
    <w:abstractNumId w:val="3"/>
  </w:num>
  <w:num w:numId="3" w16cid:durableId="886140403">
    <w:abstractNumId w:val="1"/>
  </w:num>
  <w:num w:numId="4" w16cid:durableId="9241483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8E9"/>
    <w:rsid w:val="001C76D4"/>
    <w:rsid w:val="00803E73"/>
    <w:rsid w:val="00840A7E"/>
    <w:rsid w:val="00A23FA9"/>
    <w:rsid w:val="00F428E9"/>
    <w:rsid w:val="0E146F9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4A3EB333"/>
  <w15:docId w15:val="{E0C295E0-0502-4B52-AE05-CC86C6DF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ja-JP" w:bidi="ar-SA"/>
      </w:rPr>
    </w:rPrDefault>
    <w:pPrDefault>
      <w:pPr>
        <w:widowControl w:val="0"/>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40"/>
      <w:outlineLvl w:val="2"/>
    </w:pPr>
    <w:rPr>
      <w:rFonts w:ascii="Cambria" w:eastAsia="Cambria" w:hAnsi="Cambria" w:cs="Cambria"/>
      <w:color w:val="243F61"/>
    </w:rPr>
  </w:style>
  <w:style w:type="paragraph" w:styleId="Heading4">
    <w:name w:val="heading 4"/>
    <w:basedOn w:val="Normal"/>
    <w:next w:val="Normal"/>
    <w:uiPriority w:val="9"/>
    <w:semiHidden/>
    <w:unhideWhenUsed/>
    <w:qFormat/>
    <w:pPr>
      <w:widowControl/>
      <w:outlineLvl w:val="3"/>
    </w:pPr>
    <w:rPr>
      <w:rFonts w:ascii="Times New Roman" w:eastAsia="Times New Roman" w:hAnsi="Times New Roman" w:cs="Times New Roman"/>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0">
    <w:name w:val="Normal0"/>
  </w:style>
  <w:style w:type="table" w:customStyle="1" w:styleId="NormalTable0">
    <w:name w:val="Normal Table0"/>
    <w:tblPr>
      <w:tblCellMar>
        <w:top w:w="0" w:type="dxa"/>
        <w:left w:w="0" w:type="dxa"/>
        <w:bottom w:w="0" w:type="dxa"/>
        <w:right w:w="0" w:type="dxa"/>
      </w:tblCellMar>
    </w:tblPr>
  </w:style>
  <w:style w:type="paragraph" w:customStyle="1" w:styleId="heading10">
    <w:name w:val="heading 10"/>
    <w:basedOn w:val="Normal0"/>
    <w:next w:val="Normal0"/>
    <w:pPr>
      <w:keepNext/>
      <w:keepLines/>
      <w:spacing w:before="480" w:after="120"/>
    </w:pPr>
    <w:rPr>
      <w:b/>
      <w:sz w:val="48"/>
      <w:szCs w:val="48"/>
    </w:rPr>
  </w:style>
  <w:style w:type="paragraph" w:customStyle="1" w:styleId="heading20">
    <w:name w:val="heading 20"/>
    <w:basedOn w:val="Normal0"/>
    <w:next w:val="Normal0"/>
    <w:pPr>
      <w:keepNext/>
      <w:keepLines/>
      <w:spacing w:before="360" w:after="80"/>
    </w:pPr>
    <w:rPr>
      <w:b/>
      <w:sz w:val="36"/>
      <w:szCs w:val="36"/>
    </w:rPr>
  </w:style>
  <w:style w:type="paragraph" w:customStyle="1" w:styleId="heading30">
    <w:name w:val="heading 30"/>
    <w:basedOn w:val="Normal0"/>
    <w:next w:val="Normal0"/>
    <w:pPr>
      <w:keepNext/>
      <w:keepLines/>
      <w:spacing w:before="40"/>
    </w:pPr>
    <w:rPr>
      <w:rFonts w:ascii="Cambria" w:eastAsia="Cambria" w:hAnsi="Cambria" w:cs="Cambria"/>
      <w:color w:val="243F61"/>
    </w:rPr>
  </w:style>
  <w:style w:type="paragraph" w:customStyle="1" w:styleId="heading40">
    <w:name w:val="heading 40"/>
    <w:basedOn w:val="Normal0"/>
    <w:next w:val="Normal0"/>
    <w:pPr>
      <w:widowControl/>
    </w:pPr>
    <w:rPr>
      <w:rFonts w:ascii="Times New Roman" w:eastAsia="Times New Roman" w:hAnsi="Times New Roman" w:cs="Times New Roman"/>
      <w:b/>
    </w:rPr>
  </w:style>
  <w:style w:type="paragraph" w:customStyle="1" w:styleId="heading50">
    <w:name w:val="heading 50"/>
    <w:basedOn w:val="Normal0"/>
    <w:next w:val="Normal0"/>
    <w:pPr>
      <w:keepNext/>
      <w:keepLines/>
      <w:spacing w:before="220" w:after="40"/>
    </w:pPr>
    <w:rPr>
      <w:b/>
      <w:sz w:val="22"/>
      <w:szCs w:val="22"/>
    </w:rPr>
  </w:style>
  <w:style w:type="paragraph" w:customStyle="1" w:styleId="heading60">
    <w:name w:val="heading 60"/>
    <w:basedOn w:val="Normal0"/>
    <w:next w:val="Normal0"/>
    <w:pPr>
      <w:keepNext/>
      <w:keepLines/>
      <w:spacing w:before="200" w:after="40"/>
    </w:pPr>
    <w:rPr>
      <w:b/>
      <w:sz w:val="20"/>
      <w:szCs w:val="20"/>
    </w:rPr>
  </w:style>
  <w:style w:type="paragraph" w:customStyle="1" w:styleId="Title0">
    <w:name w:val="Title0"/>
    <w:basedOn w:val="Normal0"/>
    <w:next w:val="Normal0"/>
    <w:pPr>
      <w:keepNext/>
      <w:keepLines/>
      <w:spacing w:before="480" w:after="120"/>
    </w:pPr>
    <w:rPr>
      <w:b/>
      <w:sz w:val="72"/>
      <w:szCs w:val="72"/>
    </w:rPr>
  </w:style>
  <w:style w:type="paragraph" w:customStyle="1" w:styleId="Normal1">
    <w:name w:val="Normal1"/>
    <w:qFormat/>
  </w:style>
  <w:style w:type="paragraph" w:customStyle="1" w:styleId="heading31">
    <w:name w:val="heading 31"/>
    <w:basedOn w:val="Normal1"/>
    <w:next w:val="Normal1"/>
    <w:link w:val="Heading3Char"/>
    <w:uiPriority w:val="9"/>
    <w:unhideWhenUsed/>
    <w:qFormat/>
    <w:rsid w:val="003036D8"/>
    <w:pPr>
      <w:keepNext/>
      <w:keepLines/>
      <w:spacing w:before="40"/>
      <w:outlineLvl w:val="2"/>
    </w:pPr>
    <w:rPr>
      <w:rFonts w:asciiTheme="majorHAnsi" w:eastAsiaTheme="majorEastAsia" w:hAnsiTheme="majorHAnsi" w:cstheme="majorBidi"/>
      <w:color w:val="243F60" w:themeColor="accent1" w:themeShade="7F"/>
    </w:rPr>
  </w:style>
  <w:style w:type="paragraph" w:customStyle="1" w:styleId="heading41">
    <w:name w:val="heading 41"/>
    <w:basedOn w:val="Normal1"/>
    <w:link w:val="Heading4Char"/>
    <w:uiPriority w:val="9"/>
    <w:qFormat/>
    <w:rsid w:val="003036D8"/>
    <w:pPr>
      <w:widowControl/>
      <w:spacing w:before="100" w:beforeAutospacing="1" w:after="100" w:afterAutospacing="1"/>
      <w:outlineLvl w:val="3"/>
    </w:pPr>
    <w:rPr>
      <w:rFonts w:ascii="Times New Roman" w:eastAsia="Times New Roman" w:hAnsi="Times New Roman" w:cs="Times New Roman"/>
      <w:b/>
      <w:bCs/>
      <w:lang w:val="en-GB" w:eastAsia="zh-TW"/>
    </w:rPr>
  </w:style>
  <w:style w:type="table" w:customStyle="1" w:styleId="NormalTable1">
    <w:name w:val="Normal Table1"/>
    <w:uiPriority w:val="99"/>
    <w:semiHidden/>
    <w:unhideWhenUsed/>
    <w:tblPr>
      <w:tblInd w:w="0" w:type="dxa"/>
      <w:tblCellMar>
        <w:top w:w="0" w:type="dxa"/>
        <w:left w:w="108" w:type="dxa"/>
        <w:bottom w:w="0" w:type="dxa"/>
        <w:right w:w="108" w:type="dxa"/>
      </w:tblCellMar>
    </w:tblPr>
  </w:style>
  <w:style w:type="paragraph" w:styleId="ListParagraph">
    <w:name w:val="List Paragraph"/>
    <w:basedOn w:val="Normal1"/>
    <w:uiPriority w:val="1"/>
    <w:qFormat/>
  </w:style>
  <w:style w:type="paragraph" w:customStyle="1" w:styleId="TableParagraph">
    <w:name w:val="Table Paragraph"/>
    <w:basedOn w:val="Normal1"/>
    <w:uiPriority w:val="1"/>
    <w:qFormat/>
    <w:rPr>
      <w:rFonts w:ascii="Arial" w:eastAsia="Arial" w:hAnsi="Arial" w:cs="Arial"/>
    </w:rPr>
  </w:style>
  <w:style w:type="paragraph" w:styleId="Header">
    <w:name w:val="header"/>
    <w:basedOn w:val="Normal1"/>
    <w:link w:val="HeaderChar"/>
    <w:uiPriority w:val="99"/>
    <w:unhideWhenUsed/>
    <w:rsid w:val="003036D8"/>
    <w:pPr>
      <w:tabs>
        <w:tab w:val="center" w:pos="4513"/>
        <w:tab w:val="right" w:pos="9026"/>
      </w:tabs>
    </w:pPr>
  </w:style>
  <w:style w:type="character" w:customStyle="1" w:styleId="HeaderChar">
    <w:name w:val="Header Char"/>
    <w:basedOn w:val="DefaultParagraphFont"/>
    <w:link w:val="Header"/>
    <w:uiPriority w:val="99"/>
    <w:rsid w:val="003036D8"/>
  </w:style>
  <w:style w:type="paragraph" w:styleId="Footer">
    <w:name w:val="footer"/>
    <w:basedOn w:val="Normal1"/>
    <w:link w:val="FooterChar"/>
    <w:uiPriority w:val="99"/>
    <w:unhideWhenUsed/>
    <w:rsid w:val="003036D8"/>
    <w:pPr>
      <w:tabs>
        <w:tab w:val="center" w:pos="4513"/>
        <w:tab w:val="right" w:pos="9026"/>
      </w:tabs>
    </w:pPr>
  </w:style>
  <w:style w:type="character" w:customStyle="1" w:styleId="FooterChar">
    <w:name w:val="Footer Char"/>
    <w:basedOn w:val="DefaultParagraphFont"/>
    <w:link w:val="Footer"/>
    <w:uiPriority w:val="99"/>
    <w:rsid w:val="003036D8"/>
  </w:style>
  <w:style w:type="character" w:customStyle="1" w:styleId="Heading4Char">
    <w:name w:val="Heading 4 Char"/>
    <w:basedOn w:val="DefaultParagraphFont"/>
    <w:link w:val="heading41"/>
    <w:uiPriority w:val="9"/>
    <w:rsid w:val="003036D8"/>
    <w:rPr>
      <w:rFonts w:ascii="Times New Roman" w:eastAsia="Times New Roman" w:hAnsi="Times New Roman" w:cs="Times New Roman"/>
      <w:b/>
      <w:bCs/>
      <w:sz w:val="24"/>
      <w:szCs w:val="24"/>
      <w:lang w:val="en-GB" w:eastAsia="zh-TW"/>
    </w:rPr>
  </w:style>
  <w:style w:type="paragraph" w:styleId="NormalWeb">
    <w:name w:val="Normal (Web)"/>
    <w:basedOn w:val="Normal1"/>
    <w:uiPriority w:val="99"/>
    <w:unhideWhenUsed/>
    <w:rsid w:val="003036D8"/>
    <w:pPr>
      <w:widowControl/>
      <w:spacing w:before="100" w:beforeAutospacing="1" w:after="100" w:afterAutospacing="1"/>
    </w:pPr>
    <w:rPr>
      <w:rFonts w:ascii="Times New Roman" w:eastAsia="Times New Roman" w:hAnsi="Times New Roman" w:cs="Times New Roman"/>
      <w:lang w:val="en-GB" w:eastAsia="zh-TW"/>
    </w:rPr>
  </w:style>
  <w:style w:type="character" w:styleId="Hyperlink">
    <w:name w:val="Hyperlink"/>
    <w:basedOn w:val="DefaultParagraphFont"/>
    <w:uiPriority w:val="99"/>
    <w:semiHidden/>
    <w:unhideWhenUsed/>
    <w:rsid w:val="003036D8"/>
    <w:rPr>
      <w:color w:val="0000FF"/>
      <w:u w:val="single"/>
    </w:rPr>
  </w:style>
  <w:style w:type="character" w:customStyle="1" w:styleId="Heading3Char">
    <w:name w:val="Heading 3 Char"/>
    <w:basedOn w:val="DefaultParagraphFont"/>
    <w:link w:val="heading31"/>
    <w:uiPriority w:val="9"/>
    <w:rsid w:val="003036D8"/>
    <w:rPr>
      <w:rFonts w:asciiTheme="majorHAnsi" w:eastAsiaTheme="majorEastAsia" w:hAnsiTheme="majorHAnsi" w:cstheme="majorBidi"/>
      <w:color w:val="243F60" w:themeColor="accent1" w:themeShade="7F"/>
      <w:sz w:val="24"/>
      <w:szCs w:val="24"/>
    </w:rPr>
  </w:style>
  <w:style w:type="paragraph" w:styleId="Subtitle">
    <w:name w:val="Subtitle"/>
    <w:basedOn w:val="Normal1"/>
    <w:next w:val="Normal1"/>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1"/>
    <w:tblPr>
      <w:tblStyleRowBandSize w:val="1"/>
      <w:tblStyleColBandSize w:val="1"/>
      <w:tblCellMar>
        <w:left w:w="0" w:type="dxa"/>
        <w:right w:w="0" w:type="dxa"/>
      </w:tblCellMar>
    </w:tblPr>
  </w:style>
  <w:style w:type="paragraph" w:customStyle="1" w:styleId="Subtitle0">
    <w:name w:val="Subtitle0"/>
    <w:basedOn w:val="Normal1"/>
    <w:next w:val="Normal1"/>
    <w:pPr>
      <w:keepNext/>
      <w:keepLines/>
      <w:spacing w:before="360" w:after="80"/>
    </w:pPr>
    <w:rPr>
      <w:rFonts w:ascii="Georgia" w:eastAsia="Georgia" w:hAnsi="Georgia" w:cs="Georgia"/>
      <w:i/>
      <w:color w:val="666666"/>
      <w:sz w:val="48"/>
      <w:szCs w:val="48"/>
    </w:rPr>
  </w:style>
  <w:style w:type="table" w:customStyle="1" w:styleId="a0">
    <w:basedOn w:val="NormalTable1"/>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mmunityenergyengland.org" TargetMode="External"/><Relationship Id="rId18" Type="http://schemas.openxmlformats.org/officeDocument/2006/relationships/header" Target="header3.xml"/><Relationship Id="rId26" Type="http://schemas.openxmlformats.org/officeDocument/2006/relationships/hyperlink" Target="https://yourpowerfuture.westernpower.co.uk/riioed2-business-plan" TargetMode="External"/><Relationship Id="rId3" Type="http://schemas.openxmlformats.org/officeDocument/2006/relationships/customXml" Target="../customXml/item3.xml"/><Relationship Id="rId21" Type="http://schemas.openxmlformats.org/officeDocument/2006/relationships/hyperlink" Target="https://ed2plan.northernpowergrid.com/document-library" TargetMode="External"/><Relationship Id="rId7" Type="http://schemas.openxmlformats.org/officeDocument/2006/relationships/settings" Target="settings.xml"/><Relationship Id="rId12" Type="http://schemas.openxmlformats.org/officeDocument/2006/relationships/hyperlink" Target="https://communityenergyengland.org/files/document/610/1654621407_CEEResponse-Ofgemlocalenergyinstitutionsandgovernancecallforinput..pdf" TargetMode="External"/><Relationship Id="rId17" Type="http://schemas.openxmlformats.org/officeDocument/2006/relationships/footer" Target="footer2.xml"/><Relationship Id="rId25" Type="http://schemas.openxmlformats.org/officeDocument/2006/relationships/hyperlink" Target="https://ed2.ukpowernetworks.co.uk/"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enwl.co.uk/about-us/regulatory-information/our-business-plan-2023-2028/businessplan2023-202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spenergynetworks.co.uk/pages/our_riio_ed2_business_plan.aspx"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ssenfuture.co.uk/" TargetMode="External"/><Relationship Id="rId28" Type="http://schemas.openxmlformats.org/officeDocument/2006/relationships/hyperlink" Target="http://www.communityenergyengland.org"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ssenfuture.co.uk/" TargetMode="External"/><Relationship Id="rId27" Type="http://schemas.openxmlformats.org/officeDocument/2006/relationships/hyperlink" Target="https://yourpowerfuture.westernpower.co.uk/riioed2-business-plan"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bristol.ac.uk/media-library/sites/law/research/Nolden%20et%20al.%20BLRP%20No.%202%202021.pdf" TargetMode="External"/><Relationship Id="rId7" Type="http://schemas.openxmlformats.org/officeDocument/2006/relationships/hyperlink" Target="https://communityenergyengland.org/files/document/615/1654781666_CommunityEnergyStateoftheSectorUKSummaryReport2022.pdf" TargetMode="External"/><Relationship Id="rId2" Type="http://schemas.openxmlformats.org/officeDocument/2006/relationships/hyperlink" Target="https://www.gov.uk/government/publications/community-renewable-electricity-generation-potential-sector-growth-to-2020" TargetMode="External"/><Relationship Id="rId1" Type="http://schemas.openxmlformats.org/officeDocument/2006/relationships/hyperlink" Target="https://communityenergyengland.org/files/document/383/1591711634_2019CommunityEnergyStateoftheSectorReport.pdf" TargetMode="External"/><Relationship Id="rId6" Type="http://schemas.openxmlformats.org/officeDocument/2006/relationships/hyperlink" Target="http://www.pointandsandwick.co.uk/wp-content/uploads/2021/06/Financial-comparison-of-private-and-community-wind-farms-report-FINAL-1.pdf" TargetMode="External"/><Relationship Id="rId5" Type="http://schemas.openxmlformats.org/officeDocument/2006/relationships/hyperlink" Target="http://www.pointandsandwick.co.uk/wp-content/uploads/2021/06/Financial-comparison-of-private-and-community-wind-farms-report-FINAL-1.pdf" TargetMode="External"/><Relationship Id="rId4" Type="http://schemas.openxmlformats.org/officeDocument/2006/relationships/hyperlink" Target="http://www.pointandsandwick.co.uk/wp-content/uploads/2021/06/Financial-comparison-of-private-and-community-wind-farms-report-FINAL-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CLiBGp4+Xd7rIVeO7Un1QhrOSg==">AMUW2mUEq15WyAnVhkzHR63I15rwxmUSQvoB4hkJ4RcLzmthpFmZB1bAcg3aIcPoGfnknJHQHxQNbuDRqWZ2qkS7FrpRE5FUQM48o3+LMzoCvelkFLS1NElwl9QH65YMfSGiMTE/hNn++s00O47NXXfXKKQwwvjOQwMha1Caxd3nDwyvqhQpzVGR82/42psTAENAyHcCc5TmJtShoAay66JS1cOS1xNV9QPjWqGa7kJLyqUJU/pM61Atp4V3l28kTWwi1f0EkcIs</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73E228F-7EAA-4306-AB46-E7486A93B7FF}">
  <ds:schemaRefs>
    <ds:schemaRef ds:uri="http://schemas.microsoft.com/sharepoint/v3/contenttype/forms"/>
  </ds:schemaRefs>
</ds:datastoreItem>
</file>

<file path=customXml/itemProps3.xml><?xml version="1.0" encoding="utf-8"?>
<ds:datastoreItem xmlns:ds="http://schemas.openxmlformats.org/officeDocument/2006/customXml" ds:itemID="{5D6F0CC7-24A4-433F-8DA6-FA3AA464DF4B}">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customXml/itemProps4.xml><?xml version="1.0" encoding="utf-8"?>
<ds:datastoreItem xmlns:ds="http://schemas.openxmlformats.org/officeDocument/2006/customXml" ds:itemID="{156F63F4-A41E-437E-B35B-9473173DC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6305</Words>
  <Characters>35942</Characters>
  <Application>Microsoft Office Word</Application>
  <DocSecurity>4</DocSecurity>
  <Lines>299</Lines>
  <Paragraphs>84</Paragraphs>
  <ScaleCrop>false</ScaleCrop>
  <Company/>
  <LinksUpToDate>false</LinksUpToDate>
  <CharactersWithSpaces>42163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Flora Robertson</dc:creator>
  <cp:keywords/>
  <cp:lastModifiedBy>Ben Boucher-Myers</cp:lastModifiedBy>
  <cp:revision>2</cp:revision>
  <dcterms:created xsi:type="dcterms:W3CDTF">2022-09-01T13:38:00Z</dcterms:created>
  <dcterms:modified xsi:type="dcterms:W3CDTF">2022-09-01T13:39:00Z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Google Sheets</vt:lpwstr>
  </property>
  <property fmtid="{D5CDD505-2E9C-101B-9397-08002B2CF9AE}" pid="3" name="ContentTypeId">
    <vt:lpwstr>0x0101003D6E278D99252B4B99C7589ABDD35CB5</vt:lpwstr>
  </property>
  <property fmtid="{D5CDD505-2E9C-101B-9397-08002B2CF9AE}" pid="4" name="ClassificationContentMarkingFooterShapeIds">
    <vt:lpwstr>1,2,4</vt:lpwstr>
  </property>
  <property fmtid="{D5CDD505-2E9C-101B-9397-08002B2CF9AE}" pid="5" name="ClassificationContentMarkingFooterFontProps">
    <vt:lpwstr>#000000,10,Calibri</vt:lpwstr>
  </property>
  <property fmtid="{D5CDD505-2E9C-101B-9397-08002B2CF9AE}" pid="6" name="ClassificationContentMarkingFooterText">
    <vt:lpwstr>OFFICIAL-InternalOnly</vt:lpwstr>
  </property>
  <property fmtid="{D5CDD505-2E9C-101B-9397-08002B2CF9AE}" pid="7" name="MSIP_Label_38144ccb-b10a-4c0f-b070-7a3b00ac7463_Enabled">
    <vt:lpwstr>true</vt:lpwstr>
  </property>
  <property fmtid="{D5CDD505-2E9C-101B-9397-08002B2CF9AE}" pid="8" name="MSIP_Label_38144ccb-b10a-4c0f-b070-7a3b00ac7463_SetDate">
    <vt:lpwstr>2022-09-01T13:38:37Z</vt:lpwstr>
  </property>
  <property fmtid="{D5CDD505-2E9C-101B-9397-08002B2CF9AE}" pid="9" name="MSIP_Label_38144ccb-b10a-4c0f-b070-7a3b00ac7463_Method">
    <vt:lpwstr>Standard</vt:lpwstr>
  </property>
  <property fmtid="{D5CDD505-2E9C-101B-9397-08002B2CF9AE}" pid="10" name="MSIP_Label_38144ccb-b10a-4c0f-b070-7a3b00ac7463_Name">
    <vt:lpwstr>InternalOnly</vt:lpwstr>
  </property>
  <property fmtid="{D5CDD505-2E9C-101B-9397-08002B2CF9AE}" pid="11" name="MSIP_Label_38144ccb-b10a-4c0f-b070-7a3b00ac7463_SiteId">
    <vt:lpwstr>185562ad-39bc-4840-8e40-be6216340c52</vt:lpwstr>
  </property>
  <property fmtid="{D5CDD505-2E9C-101B-9397-08002B2CF9AE}" pid="12" name="MSIP_Label_38144ccb-b10a-4c0f-b070-7a3b00ac7463_ActionId">
    <vt:lpwstr>78f5c3e6-579e-43b4-a6e7-b7cf04fc4868</vt:lpwstr>
  </property>
  <property fmtid="{D5CDD505-2E9C-101B-9397-08002B2CF9AE}" pid="13" name="MSIP_Label_38144ccb-b10a-4c0f-b070-7a3b00ac7463_ContentBits">
    <vt:lpwstr>2</vt:lpwstr>
  </property>
  <property fmtid="{D5CDD505-2E9C-101B-9397-08002B2CF9AE}" pid="14" name="MediaServiceImageTags">
    <vt:lpwstr/>
  </property>
</Properties>
</file>