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3F2A3" w14:textId="5221BFAD" w:rsidR="004B506D" w:rsidRDefault="004B506D" w:rsidP="004B506D">
      <w:pPr>
        <w:rPr>
          <w:b/>
          <w:bCs/>
          <w:lang w:val="en-GB"/>
        </w:rPr>
      </w:pPr>
      <w:r>
        <w:rPr>
          <w:b/>
          <w:bCs/>
          <w:lang w:val="en-GB"/>
        </w:rPr>
        <w:t xml:space="preserve">By email to: </w:t>
      </w:r>
      <w:hyperlink r:id="rId10" w:history="1">
        <w:r w:rsidRPr="007A0948">
          <w:rPr>
            <w:rStyle w:val="Hyperlink"/>
            <w:b/>
            <w:bCs/>
            <w:lang w:val="en-GB"/>
          </w:rPr>
          <w:t>RIIOED2@ofgem.gov.uk</w:t>
        </w:r>
      </w:hyperlink>
    </w:p>
    <w:p w14:paraId="40DE0BE4" w14:textId="02329ECE" w:rsidR="004B506D" w:rsidRDefault="004B506D" w:rsidP="004B506D">
      <w:pPr>
        <w:rPr>
          <w:b/>
          <w:bCs/>
          <w:lang w:val="en-GB"/>
        </w:rPr>
      </w:pPr>
    </w:p>
    <w:p w14:paraId="6B0302A6" w14:textId="77777777" w:rsidR="004B506D" w:rsidRDefault="004B506D" w:rsidP="004B506D">
      <w:pPr>
        <w:rPr>
          <w:b/>
          <w:bCs/>
          <w:lang w:val="en-GB"/>
        </w:rPr>
      </w:pPr>
    </w:p>
    <w:p w14:paraId="75B1AABF" w14:textId="1DB11449" w:rsidR="004B506D" w:rsidRDefault="004B506D" w:rsidP="004B506D">
      <w:pPr>
        <w:rPr>
          <w:b/>
          <w:bCs/>
          <w:lang w:val="en-GB"/>
        </w:rPr>
      </w:pPr>
      <w:r w:rsidRPr="004B506D">
        <w:rPr>
          <w:b/>
          <w:bCs/>
          <w:lang w:val="en-GB"/>
        </w:rPr>
        <w:t>RIIO-ED2 consultation</w:t>
      </w:r>
    </w:p>
    <w:p w14:paraId="480FB575" w14:textId="447A7E67" w:rsidR="004B506D" w:rsidRDefault="004B506D" w:rsidP="004B506D">
      <w:pPr>
        <w:rPr>
          <w:b/>
          <w:bCs/>
          <w:lang w:val="en-GB"/>
        </w:rPr>
      </w:pPr>
    </w:p>
    <w:p w14:paraId="2A5000F3" w14:textId="3A6E6B24" w:rsidR="00EC78E2" w:rsidRDefault="00EC78E2" w:rsidP="004B506D">
      <w:pPr>
        <w:rPr>
          <w:b/>
          <w:bCs/>
          <w:lang w:val="en-GB"/>
        </w:rPr>
      </w:pPr>
      <w:r>
        <w:rPr>
          <w:b/>
          <w:bCs/>
          <w:lang w:val="en-GB"/>
        </w:rPr>
        <w:t>Background</w:t>
      </w:r>
    </w:p>
    <w:p w14:paraId="1CF223B1" w14:textId="77777777" w:rsidR="00C512DB" w:rsidRDefault="00EC78E2" w:rsidP="001103F8">
      <w:pPr>
        <w:pStyle w:val="Default"/>
        <w:rPr>
          <w:sz w:val="22"/>
          <w:szCs w:val="22"/>
        </w:rPr>
      </w:pPr>
      <w:r>
        <w:rPr>
          <w:sz w:val="22"/>
          <w:szCs w:val="22"/>
        </w:rPr>
        <w:t xml:space="preserve">Orkney Islands Council (the Council) is grateful for the opportunity to respond to this consultation document. Renewable energy resources from the wind and sea in and around Orkney constitute significant concentrations of potentially exploitable renewable energy resources in the UK. The region is well placed to contribute to UK carbon reduction and renewable electricity generation targets if key regulatory barriers can be effectively addressed to facilitate deployment of renewable technologies. </w:t>
      </w:r>
    </w:p>
    <w:p w14:paraId="6869F638" w14:textId="77777777" w:rsidR="00C512DB" w:rsidRDefault="00C512DB" w:rsidP="001103F8">
      <w:pPr>
        <w:pStyle w:val="Default"/>
        <w:rPr>
          <w:sz w:val="22"/>
          <w:szCs w:val="22"/>
        </w:rPr>
      </w:pPr>
    </w:p>
    <w:p w14:paraId="3F0F292B" w14:textId="3679A743" w:rsidR="00EC78E2" w:rsidRDefault="001103F8" w:rsidP="001103F8">
      <w:pPr>
        <w:pStyle w:val="Default"/>
        <w:rPr>
          <w:sz w:val="22"/>
          <w:szCs w:val="22"/>
        </w:rPr>
      </w:pPr>
      <w:r>
        <w:rPr>
          <w:sz w:val="22"/>
          <w:szCs w:val="22"/>
        </w:rPr>
        <w:t xml:space="preserve">Orkney’s climate </w:t>
      </w:r>
      <w:r w:rsidR="00C512DB">
        <w:rPr>
          <w:sz w:val="22"/>
          <w:szCs w:val="22"/>
        </w:rPr>
        <w:t xml:space="preserve">however, </w:t>
      </w:r>
      <w:r>
        <w:rPr>
          <w:sz w:val="22"/>
          <w:szCs w:val="22"/>
        </w:rPr>
        <w:t>necessitates</w:t>
      </w:r>
      <w:r w:rsidRPr="001103F8">
        <w:rPr>
          <w:sz w:val="22"/>
          <w:szCs w:val="22"/>
        </w:rPr>
        <w:t xml:space="preserve"> a long heating season, </w:t>
      </w:r>
      <w:r>
        <w:rPr>
          <w:sz w:val="22"/>
          <w:szCs w:val="22"/>
        </w:rPr>
        <w:t xml:space="preserve">our </w:t>
      </w:r>
      <w:r w:rsidRPr="001103F8">
        <w:rPr>
          <w:sz w:val="22"/>
          <w:szCs w:val="22"/>
        </w:rPr>
        <w:t xml:space="preserve">exposed conditions </w:t>
      </w:r>
      <w:r>
        <w:rPr>
          <w:sz w:val="22"/>
          <w:szCs w:val="22"/>
        </w:rPr>
        <w:t>and</w:t>
      </w:r>
      <w:r w:rsidRPr="001103F8">
        <w:rPr>
          <w:sz w:val="22"/>
          <w:szCs w:val="22"/>
        </w:rPr>
        <w:t xml:space="preserve"> wind-chill </w:t>
      </w:r>
      <w:r>
        <w:rPr>
          <w:sz w:val="22"/>
          <w:szCs w:val="22"/>
        </w:rPr>
        <w:t>results in around</w:t>
      </w:r>
      <w:r w:rsidRPr="001103F8">
        <w:rPr>
          <w:sz w:val="22"/>
          <w:szCs w:val="22"/>
        </w:rPr>
        <w:t xml:space="preserve"> 60% of households</w:t>
      </w:r>
      <w:r>
        <w:rPr>
          <w:sz w:val="22"/>
          <w:szCs w:val="22"/>
        </w:rPr>
        <w:t xml:space="preserve"> in fuel poverty</w:t>
      </w:r>
      <w:r w:rsidRPr="001103F8">
        <w:rPr>
          <w:sz w:val="22"/>
          <w:szCs w:val="22"/>
        </w:rPr>
        <w:t>. Despite improvements in house stock and other initiatives to improve energy efficiency the</w:t>
      </w:r>
      <w:r w:rsidR="006C575C">
        <w:rPr>
          <w:sz w:val="22"/>
          <w:szCs w:val="22"/>
        </w:rPr>
        <w:t xml:space="preserve"> volatile and</w:t>
      </w:r>
      <w:r w:rsidRPr="001103F8">
        <w:rPr>
          <w:sz w:val="22"/>
          <w:szCs w:val="22"/>
        </w:rPr>
        <w:t xml:space="preserve"> eve</w:t>
      </w:r>
      <w:r w:rsidR="00EF6D07">
        <w:rPr>
          <w:sz w:val="22"/>
          <w:szCs w:val="22"/>
        </w:rPr>
        <w:t>r</w:t>
      </w:r>
      <w:r w:rsidRPr="001103F8">
        <w:rPr>
          <w:sz w:val="22"/>
          <w:szCs w:val="22"/>
        </w:rPr>
        <w:t xml:space="preserve"> increasing cost of energy has meant that </w:t>
      </w:r>
      <w:r w:rsidR="006C575C">
        <w:rPr>
          <w:sz w:val="22"/>
          <w:szCs w:val="22"/>
        </w:rPr>
        <w:t xml:space="preserve">ironically our </w:t>
      </w:r>
      <w:r w:rsidR="00C512DB">
        <w:rPr>
          <w:sz w:val="22"/>
          <w:szCs w:val="22"/>
        </w:rPr>
        <w:t>f</w:t>
      </w:r>
      <w:r w:rsidRPr="001103F8">
        <w:rPr>
          <w:sz w:val="22"/>
          <w:szCs w:val="22"/>
        </w:rPr>
        <w:t xml:space="preserve">uel </w:t>
      </w:r>
      <w:r w:rsidR="00C512DB">
        <w:rPr>
          <w:sz w:val="22"/>
          <w:szCs w:val="22"/>
        </w:rPr>
        <w:t>p</w:t>
      </w:r>
      <w:r w:rsidRPr="001103F8">
        <w:rPr>
          <w:sz w:val="22"/>
          <w:szCs w:val="22"/>
        </w:rPr>
        <w:t>overty levels</w:t>
      </w:r>
      <w:r>
        <w:rPr>
          <w:sz w:val="22"/>
          <w:szCs w:val="22"/>
        </w:rPr>
        <w:t xml:space="preserve"> a</w:t>
      </w:r>
      <w:r w:rsidR="006C575C">
        <w:rPr>
          <w:sz w:val="22"/>
          <w:szCs w:val="22"/>
        </w:rPr>
        <w:t>re</w:t>
      </w:r>
      <w:r>
        <w:rPr>
          <w:sz w:val="22"/>
          <w:szCs w:val="22"/>
        </w:rPr>
        <w:t xml:space="preserve"> the highest in the UK</w:t>
      </w:r>
      <w:r w:rsidRPr="001103F8">
        <w:rPr>
          <w:sz w:val="22"/>
          <w:szCs w:val="22"/>
        </w:rPr>
        <w:t>.</w:t>
      </w:r>
    </w:p>
    <w:p w14:paraId="405577FE" w14:textId="44E0328B" w:rsidR="00EC78E2" w:rsidRDefault="00EC78E2" w:rsidP="00EC78E2">
      <w:pPr>
        <w:pStyle w:val="Default"/>
        <w:rPr>
          <w:sz w:val="22"/>
          <w:szCs w:val="22"/>
        </w:rPr>
      </w:pPr>
    </w:p>
    <w:p w14:paraId="716689E8" w14:textId="5F4769CF" w:rsidR="0094561F" w:rsidRDefault="00EC78E2" w:rsidP="004B506D">
      <w:r>
        <w:t xml:space="preserve">The Council </w:t>
      </w:r>
      <w:r w:rsidR="001103F8">
        <w:t>is committed to</w:t>
      </w:r>
      <w:r w:rsidR="006C575C">
        <w:t xml:space="preserve"> tackle these issues and are committed to</w:t>
      </w:r>
      <w:r w:rsidR="00C512DB">
        <w:t xml:space="preserve"> increasing renewable energy generation in parallel with </w:t>
      </w:r>
      <w:r w:rsidR="001103F8">
        <w:t>cutting</w:t>
      </w:r>
      <w:r w:rsidR="001103F8" w:rsidRPr="001103F8">
        <w:t xml:space="preserve"> carbon emissions as part of the </w:t>
      </w:r>
      <w:r w:rsidR="006C575C">
        <w:t xml:space="preserve">global </w:t>
      </w:r>
      <w:r w:rsidR="001103F8" w:rsidRPr="001103F8">
        <w:t>fight against climate change</w:t>
      </w:r>
      <w:r w:rsidR="001103F8">
        <w:t xml:space="preserve">. </w:t>
      </w:r>
      <w:r w:rsidR="00C512DB">
        <w:t>Our success in</w:t>
      </w:r>
      <w:r w:rsidR="001103F8">
        <w:t xml:space="preserve"> transitioning to a low carbon operation</w:t>
      </w:r>
      <w:r w:rsidR="0094561F">
        <w:t xml:space="preserve"> </w:t>
      </w:r>
      <w:r w:rsidR="00C512DB">
        <w:t xml:space="preserve">is critically linked to the availability of a more responsive and flexible electricity grid. </w:t>
      </w:r>
    </w:p>
    <w:p w14:paraId="0469779F" w14:textId="77777777" w:rsidR="0094561F" w:rsidRDefault="0094561F" w:rsidP="004B506D"/>
    <w:p w14:paraId="3301CE19" w14:textId="22452772" w:rsidR="004B506D" w:rsidRDefault="004B506D" w:rsidP="004B506D">
      <w:pPr>
        <w:rPr>
          <w:b/>
          <w:bCs/>
          <w:lang w:val="en-GB"/>
        </w:rPr>
      </w:pPr>
      <w:r>
        <w:rPr>
          <w:b/>
          <w:bCs/>
          <w:lang w:val="en-GB"/>
        </w:rPr>
        <w:t xml:space="preserve">We would encourage Ofgem to think again about the investment required in the North of Scotland’s electricity network. The unique characteristics and requirements of the North of Scotland, and in particular </w:t>
      </w:r>
      <w:r w:rsidR="006C575C">
        <w:rPr>
          <w:b/>
          <w:bCs/>
          <w:lang w:val="en-GB"/>
        </w:rPr>
        <w:t>the</w:t>
      </w:r>
      <w:r>
        <w:rPr>
          <w:b/>
          <w:bCs/>
          <w:lang w:val="en-GB"/>
        </w:rPr>
        <w:t xml:space="preserve"> Scottish Islands, require a bespoke and tailored approach:</w:t>
      </w:r>
    </w:p>
    <w:p w14:paraId="674C5A3D" w14:textId="127AC923" w:rsidR="004B506D" w:rsidRDefault="004B506D" w:rsidP="004B506D">
      <w:pPr>
        <w:pStyle w:val="ListParagraph"/>
        <w:numPr>
          <w:ilvl w:val="0"/>
          <w:numId w:val="1"/>
        </w:numPr>
        <w:rPr>
          <w:rFonts w:eastAsia="Times New Roman"/>
          <w:lang w:val="en-GB"/>
        </w:rPr>
      </w:pPr>
      <w:r>
        <w:rPr>
          <w:rFonts w:eastAsia="Times New Roman"/>
          <w:lang w:val="en-GB"/>
        </w:rPr>
        <w:t xml:space="preserve">Scotland has a legally binding 2045 net zero target, five years ahead of the rest of the UK. We can only achieve this by accelerating electrification and greater investment is required in both network capacity and reliability to facilitate decarbonisation, </w:t>
      </w:r>
      <w:r w:rsidR="006C575C">
        <w:rPr>
          <w:rFonts w:eastAsia="Times New Roman"/>
          <w:lang w:val="en-GB"/>
        </w:rPr>
        <w:t>this will place an</w:t>
      </w:r>
      <w:r>
        <w:rPr>
          <w:rFonts w:eastAsia="Times New Roman"/>
          <w:lang w:val="en-GB"/>
        </w:rPr>
        <w:t xml:space="preserve"> ever-increasing reliance on the electricity network.</w:t>
      </w:r>
    </w:p>
    <w:p w14:paraId="772EC919" w14:textId="4AD257A7" w:rsidR="004B506D" w:rsidRDefault="004B506D" w:rsidP="004B506D">
      <w:pPr>
        <w:pStyle w:val="ListParagraph"/>
        <w:numPr>
          <w:ilvl w:val="0"/>
          <w:numId w:val="1"/>
        </w:numPr>
        <w:rPr>
          <w:rFonts w:eastAsia="Times New Roman"/>
          <w:lang w:val="en-GB"/>
        </w:rPr>
      </w:pPr>
      <w:r>
        <w:rPr>
          <w:rFonts w:eastAsia="Times New Roman"/>
          <w:lang w:val="en-GB"/>
        </w:rPr>
        <w:t xml:space="preserve">Orkney </w:t>
      </w:r>
      <w:r w:rsidR="006C575C">
        <w:rPr>
          <w:rFonts w:eastAsia="Times New Roman"/>
          <w:lang w:val="en-GB"/>
        </w:rPr>
        <w:t xml:space="preserve">has a history of innovation, </w:t>
      </w:r>
      <w:r>
        <w:rPr>
          <w:rFonts w:eastAsia="Times New Roman"/>
          <w:lang w:val="en-GB"/>
        </w:rPr>
        <w:t>we are early adopters of decarbonisation strategies</w:t>
      </w:r>
      <w:r w:rsidR="006C575C">
        <w:rPr>
          <w:rFonts w:eastAsia="Times New Roman"/>
          <w:lang w:val="en-GB"/>
        </w:rPr>
        <w:t xml:space="preserve"> but recognise that our</w:t>
      </w:r>
      <w:r>
        <w:rPr>
          <w:rFonts w:eastAsia="Times New Roman"/>
          <w:lang w:val="en-GB"/>
        </w:rPr>
        <w:t xml:space="preserve"> next step </w:t>
      </w:r>
      <w:r w:rsidR="006C575C">
        <w:rPr>
          <w:rFonts w:eastAsia="Times New Roman"/>
          <w:lang w:val="en-GB"/>
        </w:rPr>
        <w:t>must focus on</w:t>
      </w:r>
      <w:r>
        <w:rPr>
          <w:rFonts w:eastAsia="Times New Roman"/>
          <w:lang w:val="en-GB"/>
        </w:rPr>
        <w:t xml:space="preserve"> the decarbonisation of transport</w:t>
      </w:r>
      <w:r w:rsidR="006C575C">
        <w:rPr>
          <w:rFonts w:eastAsia="Times New Roman"/>
          <w:lang w:val="en-GB"/>
        </w:rPr>
        <w:t xml:space="preserve">. </w:t>
      </w:r>
      <w:r>
        <w:rPr>
          <w:rFonts w:eastAsia="Times New Roman"/>
          <w:lang w:val="en-GB"/>
        </w:rPr>
        <w:t xml:space="preserve"> </w:t>
      </w:r>
      <w:r w:rsidR="006C575C">
        <w:rPr>
          <w:rFonts w:eastAsia="Times New Roman"/>
          <w:lang w:val="en-GB"/>
        </w:rPr>
        <w:t>This</w:t>
      </w:r>
      <w:r>
        <w:rPr>
          <w:rFonts w:eastAsia="Times New Roman"/>
          <w:lang w:val="en-GB"/>
        </w:rPr>
        <w:t xml:space="preserve"> will require significant </w:t>
      </w:r>
      <w:r w:rsidR="006C575C">
        <w:rPr>
          <w:rFonts w:eastAsia="Times New Roman"/>
          <w:lang w:val="en-GB"/>
        </w:rPr>
        <w:t xml:space="preserve">increase demand and flexibility of the </w:t>
      </w:r>
      <w:r>
        <w:rPr>
          <w:rFonts w:eastAsia="Times New Roman"/>
          <w:lang w:val="en-GB"/>
        </w:rPr>
        <w:t>electri</w:t>
      </w:r>
      <w:r w:rsidR="006C575C">
        <w:rPr>
          <w:rFonts w:eastAsia="Times New Roman"/>
          <w:lang w:val="en-GB"/>
        </w:rPr>
        <w:t>city network</w:t>
      </w:r>
      <w:r>
        <w:rPr>
          <w:rFonts w:eastAsia="Times New Roman"/>
          <w:lang w:val="en-GB"/>
        </w:rPr>
        <w:t xml:space="preserve">. We </w:t>
      </w:r>
      <w:r w:rsidR="006C575C">
        <w:rPr>
          <w:rFonts w:eastAsia="Times New Roman"/>
          <w:lang w:val="en-GB"/>
        </w:rPr>
        <w:t xml:space="preserve">therefore strongly </w:t>
      </w:r>
      <w:r>
        <w:rPr>
          <w:rFonts w:eastAsia="Times New Roman"/>
          <w:lang w:val="en-GB"/>
        </w:rPr>
        <w:t>support SSEN Distribution’s proactive and strategic approach to investment and urge Ofgem to reconsider.</w:t>
      </w:r>
    </w:p>
    <w:p w14:paraId="58E5B659" w14:textId="77777777" w:rsidR="004B506D" w:rsidRDefault="004B506D" w:rsidP="004B506D">
      <w:pPr>
        <w:rPr>
          <w:lang w:val="en-GB"/>
        </w:rPr>
      </w:pPr>
    </w:p>
    <w:p w14:paraId="7F914E51" w14:textId="77777777" w:rsidR="004B506D" w:rsidRDefault="004B506D" w:rsidP="004B506D">
      <w:pPr>
        <w:rPr>
          <w:b/>
          <w:bCs/>
          <w:lang w:val="en-GB"/>
        </w:rPr>
      </w:pPr>
      <w:r>
        <w:rPr>
          <w:b/>
          <w:bCs/>
          <w:lang w:val="en-GB"/>
        </w:rPr>
        <w:t>We welcome Ofgem allowing a Hebrides and Orkney re-opener within SSEN Distribution’s business plan for RIIO-ED2:</w:t>
      </w:r>
    </w:p>
    <w:p w14:paraId="04767F67" w14:textId="4917BDB3" w:rsidR="004B506D" w:rsidRDefault="004B506D" w:rsidP="004B506D">
      <w:pPr>
        <w:pStyle w:val="ListParagraph"/>
        <w:numPr>
          <w:ilvl w:val="0"/>
          <w:numId w:val="2"/>
        </w:numPr>
        <w:rPr>
          <w:rFonts w:eastAsia="Times New Roman"/>
          <w:lang w:val="en-GB"/>
        </w:rPr>
      </w:pPr>
      <w:r>
        <w:rPr>
          <w:rFonts w:eastAsia="Times New Roman"/>
          <w:lang w:val="en-GB"/>
        </w:rPr>
        <w:t xml:space="preserve">SSEN pledged to work with Ofgem and stakeholders to demonstrate that the correct whole system approach is used to replace subsea cables, resulting in </w:t>
      </w:r>
      <w:r w:rsidR="006C575C">
        <w:rPr>
          <w:rFonts w:eastAsia="Times New Roman"/>
          <w:lang w:val="en-GB"/>
        </w:rPr>
        <w:t xml:space="preserve">cost efficiency </w:t>
      </w:r>
      <w:r>
        <w:rPr>
          <w:rFonts w:eastAsia="Times New Roman"/>
          <w:lang w:val="en-GB"/>
        </w:rPr>
        <w:t xml:space="preserve">to both consumers and renewable generators. </w:t>
      </w:r>
    </w:p>
    <w:p w14:paraId="5DF2C2DD" w14:textId="49DEC2E6" w:rsidR="004B506D" w:rsidRPr="007709BA" w:rsidRDefault="007709BA" w:rsidP="00416292">
      <w:pPr>
        <w:pStyle w:val="ListParagraph"/>
        <w:numPr>
          <w:ilvl w:val="0"/>
          <w:numId w:val="2"/>
        </w:numPr>
        <w:rPr>
          <w:lang w:val="en-GB"/>
        </w:rPr>
      </w:pPr>
      <w:r w:rsidRPr="007709BA">
        <w:rPr>
          <w:rFonts w:eastAsia="Times New Roman"/>
          <w:lang w:val="en-GB"/>
        </w:rPr>
        <w:t>We encourage Ofgem to support</w:t>
      </w:r>
      <w:r w:rsidR="004B506D" w:rsidRPr="007709BA">
        <w:rPr>
          <w:rFonts w:eastAsia="Times New Roman"/>
          <w:lang w:val="en-GB"/>
        </w:rPr>
        <w:t xml:space="preserve"> SSEN to bring forward funding for subsea cables, including </w:t>
      </w:r>
      <w:r w:rsidRPr="007709BA">
        <w:rPr>
          <w:rFonts w:eastAsia="Times New Roman"/>
          <w:lang w:val="en-GB"/>
        </w:rPr>
        <w:t xml:space="preserve">the replacement of </w:t>
      </w:r>
      <w:r w:rsidR="004B506D" w:rsidRPr="007709BA">
        <w:rPr>
          <w:rFonts w:eastAsia="Times New Roman"/>
          <w:lang w:val="en-GB"/>
        </w:rPr>
        <w:t xml:space="preserve">Pentland Firth West, if a further whole system assessment justifies the need. </w:t>
      </w:r>
      <w:r w:rsidRPr="007709BA">
        <w:rPr>
          <w:rFonts w:eastAsia="Times New Roman"/>
          <w:lang w:val="en-GB"/>
        </w:rPr>
        <w:t xml:space="preserve"> </w:t>
      </w:r>
    </w:p>
    <w:p w14:paraId="01E7D13E" w14:textId="77777777" w:rsidR="007709BA" w:rsidRPr="007709BA" w:rsidRDefault="007709BA" w:rsidP="007709BA">
      <w:pPr>
        <w:pStyle w:val="ListParagraph"/>
        <w:rPr>
          <w:lang w:val="en-GB"/>
        </w:rPr>
      </w:pPr>
    </w:p>
    <w:p w14:paraId="452A835C" w14:textId="3E0C8533" w:rsidR="004B506D" w:rsidRDefault="004B506D" w:rsidP="004B506D">
      <w:pPr>
        <w:rPr>
          <w:b/>
          <w:bCs/>
          <w:lang w:val="en-GB"/>
        </w:rPr>
      </w:pPr>
      <w:r>
        <w:rPr>
          <w:b/>
          <w:bCs/>
          <w:lang w:val="en-GB"/>
        </w:rPr>
        <w:t xml:space="preserve">However, we are disappointed that Ofgem has </w:t>
      </w:r>
      <w:r w:rsidR="0068646E">
        <w:rPr>
          <w:b/>
          <w:bCs/>
          <w:lang w:val="en-GB"/>
        </w:rPr>
        <w:t xml:space="preserve">significantly </w:t>
      </w:r>
      <w:r>
        <w:rPr>
          <w:b/>
          <w:bCs/>
          <w:lang w:val="en-GB"/>
        </w:rPr>
        <w:t xml:space="preserve">reduced subsea cable baseline allowances overall for Scottish islands and </w:t>
      </w:r>
      <w:r w:rsidR="00C512DB">
        <w:rPr>
          <w:b/>
          <w:bCs/>
          <w:lang w:val="en-GB"/>
        </w:rPr>
        <w:t>are concerned</w:t>
      </w:r>
      <w:r>
        <w:rPr>
          <w:b/>
          <w:bCs/>
          <w:lang w:val="en-GB"/>
        </w:rPr>
        <w:t xml:space="preserve"> over the </w:t>
      </w:r>
      <w:r w:rsidR="00C512DB">
        <w:rPr>
          <w:b/>
          <w:bCs/>
          <w:lang w:val="en-GB"/>
        </w:rPr>
        <w:t xml:space="preserve">impact this will have on the </w:t>
      </w:r>
      <w:r>
        <w:rPr>
          <w:b/>
          <w:bCs/>
          <w:lang w:val="en-GB"/>
        </w:rPr>
        <w:t>replace</w:t>
      </w:r>
      <w:r w:rsidR="00C512DB">
        <w:rPr>
          <w:b/>
          <w:bCs/>
          <w:lang w:val="en-GB"/>
        </w:rPr>
        <w:t>ment of</w:t>
      </w:r>
      <w:r>
        <w:rPr>
          <w:b/>
          <w:bCs/>
          <w:lang w:val="en-GB"/>
        </w:rPr>
        <w:t xml:space="preserve"> the </w:t>
      </w:r>
      <w:r w:rsidR="007709BA">
        <w:rPr>
          <w:b/>
          <w:bCs/>
          <w:lang w:val="en-GB"/>
        </w:rPr>
        <w:t>ageing</w:t>
      </w:r>
      <w:r>
        <w:rPr>
          <w:b/>
          <w:bCs/>
          <w:lang w:val="en-GB"/>
        </w:rPr>
        <w:t xml:space="preserve"> Hoy – Flotta cable:</w:t>
      </w:r>
    </w:p>
    <w:p w14:paraId="0AFE298E" w14:textId="0986AED4" w:rsidR="004B506D" w:rsidRDefault="004B506D" w:rsidP="004B506D">
      <w:pPr>
        <w:pStyle w:val="ListParagraph"/>
        <w:numPr>
          <w:ilvl w:val="0"/>
          <w:numId w:val="2"/>
        </w:numPr>
        <w:rPr>
          <w:rFonts w:eastAsia="Times New Roman"/>
          <w:lang w:val="en-GB"/>
        </w:rPr>
      </w:pPr>
      <w:r>
        <w:rPr>
          <w:rFonts w:eastAsia="Times New Roman"/>
          <w:lang w:val="en-GB"/>
        </w:rPr>
        <w:t xml:space="preserve">We are very supportive of SSEN’s investment plan to proactively replace subsea cables. These are critical links to </w:t>
      </w:r>
      <w:r w:rsidR="007709BA">
        <w:rPr>
          <w:rFonts w:eastAsia="Times New Roman"/>
          <w:lang w:val="en-GB"/>
        </w:rPr>
        <w:t xml:space="preserve">provide power supplies for local homes and businesses and to </w:t>
      </w:r>
      <w:r>
        <w:rPr>
          <w:rFonts w:eastAsia="Times New Roman"/>
          <w:lang w:val="en-GB"/>
        </w:rPr>
        <w:t xml:space="preserve">export renewable generation. </w:t>
      </w:r>
      <w:r w:rsidR="007709BA">
        <w:rPr>
          <w:rFonts w:eastAsia="Times New Roman"/>
          <w:lang w:val="en-GB"/>
        </w:rPr>
        <w:t xml:space="preserve"> </w:t>
      </w:r>
      <w:r>
        <w:rPr>
          <w:rFonts w:eastAsia="Times New Roman"/>
          <w:lang w:val="en-GB"/>
        </w:rPr>
        <w:t>We’re concerned by Ofgem’s failure to approve funding for this targeted approach. Delaying proactive replacements during this five-year period will only increase the chances of cables faulting in the future, resulting in more delays, increased costs for consumers and constraints for renewable generators connected to the distribution network.</w:t>
      </w:r>
    </w:p>
    <w:p w14:paraId="601A84DC" w14:textId="71DC0241" w:rsidR="004B506D" w:rsidRDefault="004B506D" w:rsidP="004B506D">
      <w:pPr>
        <w:pStyle w:val="ListParagraph"/>
        <w:numPr>
          <w:ilvl w:val="0"/>
          <w:numId w:val="2"/>
        </w:numPr>
        <w:rPr>
          <w:rFonts w:eastAsia="Times New Roman"/>
          <w:lang w:val="en-GB"/>
        </w:rPr>
      </w:pPr>
      <w:r>
        <w:rPr>
          <w:rFonts w:eastAsia="Times New Roman"/>
          <w:lang w:val="en-GB"/>
        </w:rPr>
        <w:t xml:space="preserve">We are disappointed that Ofgem has reservations on SSEN’s proposed proactive replacement of the Hoy to Flotta subsea cable. The age and criticality of this cable is driving SSEN to ensure security of supply is not impacted. The Flotta Oil Terminal and renewable generation on the island make the cable strategically important to the Orkney Islands and SSEN. The proposed new cable would add additional network resilience by adopting an ‘augmented solution’ (new cable in addition to the existing cable, until the old cable eventually fails at end of life) and </w:t>
      </w:r>
      <w:r w:rsidR="00C512DB">
        <w:rPr>
          <w:rFonts w:eastAsia="Times New Roman"/>
          <w:lang w:val="en-GB"/>
        </w:rPr>
        <w:t>we</w:t>
      </w:r>
      <w:r>
        <w:rPr>
          <w:rFonts w:eastAsia="Times New Roman"/>
          <w:lang w:val="en-GB"/>
        </w:rPr>
        <w:t xml:space="preserve"> strongly support this approach.</w:t>
      </w:r>
    </w:p>
    <w:p w14:paraId="366FF78B" w14:textId="54061AEB" w:rsidR="007709BA" w:rsidRPr="007709BA" w:rsidRDefault="007709BA" w:rsidP="007709BA">
      <w:pPr>
        <w:pStyle w:val="ListParagraph"/>
        <w:numPr>
          <w:ilvl w:val="0"/>
          <w:numId w:val="2"/>
        </w:numPr>
        <w:rPr>
          <w:rFonts w:eastAsia="Times New Roman"/>
          <w:lang w:val="en-GB"/>
        </w:rPr>
      </w:pPr>
      <w:r w:rsidRPr="007709BA">
        <w:rPr>
          <w:rFonts w:eastAsia="Times New Roman"/>
          <w:lang w:val="en-GB"/>
        </w:rPr>
        <w:t>We welcome the decision on the Mainland Orkney – Shapinsay cable being deemed as ‘justified’ at Draft Determination stage, we have concerns over how the replacement of this cable can be delivered with such a significant level of reduction in SSEN’s subsea cable allowances.</w:t>
      </w:r>
    </w:p>
    <w:p w14:paraId="4F17391C" w14:textId="77777777" w:rsidR="004B506D" w:rsidRDefault="004B506D" w:rsidP="004B506D">
      <w:pPr>
        <w:rPr>
          <w:lang w:val="en-GB"/>
        </w:rPr>
      </w:pPr>
    </w:p>
    <w:p w14:paraId="48F6D0E5" w14:textId="77777777" w:rsidR="004B506D" w:rsidRDefault="004B506D" w:rsidP="004B506D">
      <w:pPr>
        <w:rPr>
          <w:b/>
          <w:bCs/>
          <w:lang w:val="en-GB"/>
        </w:rPr>
      </w:pPr>
      <w:r>
        <w:rPr>
          <w:b/>
          <w:bCs/>
          <w:lang w:val="en-GB"/>
        </w:rPr>
        <w:t>We’d urge Ofgem to reconsider the ‘fix-on-fail’ Uncertainty Mechanism for subsea cables:</w:t>
      </w:r>
    </w:p>
    <w:p w14:paraId="3FB8C658" w14:textId="77777777" w:rsidR="004B506D" w:rsidRDefault="004B506D" w:rsidP="004B506D">
      <w:pPr>
        <w:pStyle w:val="ListParagraph"/>
        <w:numPr>
          <w:ilvl w:val="0"/>
          <w:numId w:val="3"/>
        </w:numPr>
        <w:rPr>
          <w:rFonts w:eastAsia="Times New Roman"/>
          <w:lang w:val="en-GB"/>
        </w:rPr>
      </w:pPr>
      <w:r>
        <w:rPr>
          <w:rFonts w:eastAsia="Times New Roman"/>
          <w:lang w:val="en-GB"/>
        </w:rPr>
        <w:t>Unforeseen subsea cable failures can significantly impact homes, businesses and renewable generators on the islands.</w:t>
      </w:r>
    </w:p>
    <w:p w14:paraId="2E9E000D" w14:textId="77777777" w:rsidR="004B506D" w:rsidRDefault="004B506D" w:rsidP="004B506D">
      <w:pPr>
        <w:pStyle w:val="ListParagraph"/>
        <w:numPr>
          <w:ilvl w:val="0"/>
          <w:numId w:val="3"/>
        </w:numPr>
        <w:rPr>
          <w:rFonts w:eastAsia="Times New Roman"/>
          <w:lang w:val="en-GB"/>
        </w:rPr>
      </w:pPr>
      <w:r>
        <w:rPr>
          <w:rFonts w:eastAsia="Times New Roman"/>
          <w:lang w:val="en-GB"/>
        </w:rPr>
        <w:t>From the generators’ perspective, cable faults can have a substantial impact on the active network management of Orkney’s grid, with the costs to generators being significant.</w:t>
      </w:r>
    </w:p>
    <w:p w14:paraId="7E74C3A4" w14:textId="77777777" w:rsidR="004B506D" w:rsidRDefault="004B506D" w:rsidP="004B506D">
      <w:pPr>
        <w:pStyle w:val="ListParagraph"/>
        <w:numPr>
          <w:ilvl w:val="0"/>
          <w:numId w:val="3"/>
        </w:numPr>
        <w:rPr>
          <w:rFonts w:eastAsia="Times New Roman"/>
          <w:lang w:val="en-GB"/>
        </w:rPr>
      </w:pPr>
      <w:r>
        <w:rPr>
          <w:rFonts w:eastAsia="Times New Roman"/>
          <w:lang w:val="en-GB"/>
        </w:rPr>
        <w:t>An agile framework is required to enable SSEN to restore subsea cable supplies quickly and cost-effectively, and we call on Ofgem to re-assess SSEN’s proposals.</w:t>
      </w:r>
    </w:p>
    <w:p w14:paraId="6082715F" w14:textId="77777777" w:rsidR="004B506D" w:rsidRDefault="004B506D" w:rsidP="004B506D">
      <w:pPr>
        <w:rPr>
          <w:lang w:val="en-GB"/>
        </w:rPr>
      </w:pPr>
    </w:p>
    <w:p w14:paraId="07444107" w14:textId="77777777" w:rsidR="004B506D" w:rsidRDefault="004B506D" w:rsidP="004B506D">
      <w:pPr>
        <w:rPr>
          <w:b/>
          <w:bCs/>
          <w:lang w:val="en-GB"/>
        </w:rPr>
      </w:pPr>
      <w:r>
        <w:rPr>
          <w:b/>
          <w:bCs/>
          <w:lang w:val="en-GB"/>
        </w:rPr>
        <w:t>We welcome SSEN’s approach to Consumer Value Propositions, particularly its whole system support proposal for local authorities:</w:t>
      </w:r>
    </w:p>
    <w:p w14:paraId="607F5227" w14:textId="27440805" w:rsidR="004B506D" w:rsidRDefault="004B506D" w:rsidP="004B506D">
      <w:pPr>
        <w:pStyle w:val="ListParagraph"/>
        <w:numPr>
          <w:ilvl w:val="0"/>
          <w:numId w:val="4"/>
        </w:numPr>
        <w:rPr>
          <w:rFonts w:eastAsia="Times New Roman"/>
          <w:lang w:val="en-GB"/>
        </w:rPr>
      </w:pPr>
      <w:r>
        <w:rPr>
          <w:rFonts w:eastAsia="Times New Roman"/>
          <w:lang w:val="en-GB"/>
        </w:rPr>
        <w:t xml:space="preserve">We welcome SSEN’s proposal to embed whole systems support for local authorities and are pleased that Ofgem has recognised this in its Draft Determination. In Orkney, we’re ahead of the game </w:t>
      </w:r>
      <w:r w:rsidR="00934903">
        <w:rPr>
          <w:rFonts w:eastAsia="Times New Roman"/>
          <w:lang w:val="en-GB"/>
        </w:rPr>
        <w:t>in</w:t>
      </w:r>
      <w:r>
        <w:rPr>
          <w:rFonts w:eastAsia="Times New Roman"/>
          <w:lang w:val="en-GB"/>
        </w:rPr>
        <w:t xml:space="preserve"> adopting electric vehicles, </w:t>
      </w:r>
      <w:r w:rsidR="00934903">
        <w:rPr>
          <w:rFonts w:eastAsia="Times New Roman"/>
          <w:lang w:val="en-GB"/>
        </w:rPr>
        <w:t xml:space="preserve">in investing in charging infrastructure throughout the islands, in transitioning to heat pumps </w:t>
      </w:r>
      <w:r>
        <w:rPr>
          <w:rFonts w:eastAsia="Times New Roman"/>
          <w:lang w:val="en-GB"/>
        </w:rPr>
        <w:t xml:space="preserve">but what we need </w:t>
      </w:r>
      <w:r w:rsidR="00934903">
        <w:rPr>
          <w:rFonts w:eastAsia="Times New Roman"/>
          <w:lang w:val="en-GB"/>
        </w:rPr>
        <w:t>to do much more</w:t>
      </w:r>
      <w:r>
        <w:rPr>
          <w:rFonts w:eastAsia="Times New Roman"/>
          <w:lang w:val="en-GB"/>
        </w:rPr>
        <w:t xml:space="preserve"> with the decarbonisation of transport and </w:t>
      </w:r>
      <w:r w:rsidR="00934903">
        <w:rPr>
          <w:rFonts w:eastAsia="Times New Roman"/>
          <w:lang w:val="en-GB"/>
        </w:rPr>
        <w:t>consider alternative fuels such as</w:t>
      </w:r>
      <w:r>
        <w:rPr>
          <w:rFonts w:eastAsia="Times New Roman"/>
          <w:lang w:val="en-GB"/>
        </w:rPr>
        <w:t xml:space="preserve"> hydrogen. It’s critical we </w:t>
      </w:r>
      <w:r w:rsidR="00934903">
        <w:rPr>
          <w:rFonts w:eastAsia="Times New Roman"/>
          <w:lang w:val="en-GB"/>
        </w:rPr>
        <w:t xml:space="preserve">are not prevented from progressing these aims </w:t>
      </w:r>
      <w:r>
        <w:rPr>
          <w:rFonts w:eastAsia="Times New Roman"/>
          <w:lang w:val="en-GB"/>
        </w:rPr>
        <w:t>within this price control period.</w:t>
      </w:r>
    </w:p>
    <w:p w14:paraId="0F7F8D3E" w14:textId="34FA1F58" w:rsidR="004B506D" w:rsidRDefault="004B506D" w:rsidP="004B506D">
      <w:pPr>
        <w:pStyle w:val="ListParagraph"/>
        <w:numPr>
          <w:ilvl w:val="0"/>
          <w:numId w:val="4"/>
        </w:numPr>
        <w:rPr>
          <w:rFonts w:eastAsia="Times New Roman"/>
          <w:lang w:val="en-GB"/>
        </w:rPr>
      </w:pPr>
      <w:r>
        <w:rPr>
          <w:rFonts w:eastAsia="Times New Roman"/>
          <w:lang w:val="en-GB"/>
        </w:rPr>
        <w:t xml:space="preserve">However, we are </w:t>
      </w:r>
      <w:r w:rsidR="00934903">
        <w:rPr>
          <w:rFonts w:eastAsia="Times New Roman"/>
          <w:lang w:val="en-GB"/>
        </w:rPr>
        <w:t xml:space="preserve">particularly </w:t>
      </w:r>
      <w:r>
        <w:rPr>
          <w:rFonts w:eastAsia="Times New Roman"/>
          <w:lang w:val="en-GB"/>
        </w:rPr>
        <w:t>disappointed that Ofgem has rejected SSEN’s Consumer Value Proposition to support broadband to island communities through subsea cable assets. Our engagement with SSEN and as outlined in their final business plan annex S3 (pg. 54) indicated th</w:t>
      </w:r>
      <w:r w:rsidR="00934903">
        <w:rPr>
          <w:rFonts w:eastAsia="Times New Roman"/>
          <w:lang w:val="en-GB"/>
        </w:rPr>
        <w:t>at</w:t>
      </w:r>
      <w:r>
        <w:rPr>
          <w:rFonts w:eastAsia="Times New Roman"/>
          <w:lang w:val="en-GB"/>
        </w:rPr>
        <w:t xml:space="preserve"> Orkney </w:t>
      </w:r>
      <w:r w:rsidR="00934903">
        <w:rPr>
          <w:rFonts w:eastAsia="Times New Roman"/>
          <w:lang w:val="en-GB"/>
        </w:rPr>
        <w:t>c</w:t>
      </w:r>
      <w:r>
        <w:rPr>
          <w:rFonts w:eastAsia="Times New Roman"/>
          <w:lang w:val="en-GB"/>
        </w:rPr>
        <w:t>ould get a significant benefit from this proposal</w:t>
      </w:r>
      <w:r w:rsidR="00934903">
        <w:rPr>
          <w:rFonts w:eastAsia="Times New Roman"/>
          <w:lang w:val="en-GB"/>
        </w:rPr>
        <w:t xml:space="preserve"> at little or no cost</w:t>
      </w:r>
      <w:r>
        <w:rPr>
          <w:rFonts w:eastAsia="Times New Roman"/>
          <w:lang w:val="en-GB"/>
        </w:rPr>
        <w:t xml:space="preserve">. </w:t>
      </w:r>
      <w:r w:rsidR="00934903">
        <w:rPr>
          <w:rFonts w:eastAsia="Times New Roman"/>
          <w:lang w:val="en-GB"/>
        </w:rPr>
        <w:t xml:space="preserve">For a community that faces the worst broadband speeds and coverage in the UK, this shows </w:t>
      </w:r>
      <w:r w:rsidR="007709BA">
        <w:rPr>
          <w:rFonts w:eastAsia="Times New Roman"/>
          <w:lang w:val="en-GB"/>
        </w:rPr>
        <w:t xml:space="preserve">a </w:t>
      </w:r>
      <w:r w:rsidR="00934903">
        <w:rPr>
          <w:rFonts w:eastAsia="Times New Roman"/>
          <w:lang w:val="en-GB"/>
        </w:rPr>
        <w:t>somewhat blinkered approach and lack of understanding on the part of the electricity regulator</w:t>
      </w:r>
      <w:r w:rsidR="007709BA">
        <w:rPr>
          <w:rFonts w:eastAsia="Times New Roman"/>
          <w:lang w:val="en-GB"/>
        </w:rPr>
        <w:t>.</w:t>
      </w:r>
      <w:r w:rsidR="00934903">
        <w:rPr>
          <w:rFonts w:eastAsia="Times New Roman"/>
          <w:lang w:val="en-GB"/>
        </w:rPr>
        <w:t xml:space="preserve"> </w:t>
      </w:r>
    </w:p>
    <w:p w14:paraId="2B5A4CA8" w14:textId="77777777" w:rsidR="004B506D" w:rsidRDefault="004B506D" w:rsidP="004B506D">
      <w:pPr>
        <w:rPr>
          <w:lang w:val="en-GB"/>
        </w:rPr>
      </w:pPr>
    </w:p>
    <w:p w14:paraId="423B874C" w14:textId="77777777" w:rsidR="004B506D" w:rsidRDefault="004B506D" w:rsidP="004B506D">
      <w:pPr>
        <w:rPr>
          <w:b/>
          <w:bCs/>
          <w:lang w:val="en-GB"/>
        </w:rPr>
      </w:pPr>
      <w:r>
        <w:rPr>
          <w:b/>
          <w:bCs/>
          <w:lang w:val="en-GB"/>
        </w:rPr>
        <w:t>Ofgem’s proposed determination directly hinders progress to net zero, we’re calling on the regulator to think again:</w:t>
      </w:r>
    </w:p>
    <w:p w14:paraId="00C24648" w14:textId="77777777" w:rsidR="004B506D" w:rsidRDefault="004B506D" w:rsidP="004B506D">
      <w:pPr>
        <w:pStyle w:val="ListParagraph"/>
        <w:numPr>
          <w:ilvl w:val="0"/>
          <w:numId w:val="5"/>
        </w:numPr>
        <w:rPr>
          <w:rFonts w:eastAsia="Times New Roman"/>
          <w:lang w:val="en-GB"/>
        </w:rPr>
      </w:pPr>
      <w:r>
        <w:rPr>
          <w:rFonts w:eastAsia="Times New Roman"/>
          <w:lang w:val="en-GB"/>
        </w:rPr>
        <w:t>We’re asking Ofgem to rethink its decision to revert to the conservative Future Energy Scenario, System Transformation and make further cuts to baseline allowances on top of this.</w:t>
      </w:r>
    </w:p>
    <w:p w14:paraId="380ED933" w14:textId="77777777" w:rsidR="004B506D" w:rsidRDefault="004B506D" w:rsidP="004B506D">
      <w:pPr>
        <w:pStyle w:val="ListParagraph"/>
        <w:numPr>
          <w:ilvl w:val="0"/>
          <w:numId w:val="5"/>
        </w:numPr>
        <w:rPr>
          <w:rFonts w:eastAsia="Times New Roman"/>
          <w:lang w:val="en-GB"/>
        </w:rPr>
      </w:pPr>
      <w:r>
        <w:rPr>
          <w:rFonts w:eastAsia="Times New Roman"/>
          <w:lang w:val="en-GB"/>
        </w:rPr>
        <w:t>We need critical investment in electricity networks to support growth in demand and avoid falling short of the trajectory needed to reach net zero.</w:t>
      </w:r>
    </w:p>
    <w:p w14:paraId="2CAF5757" w14:textId="77777777" w:rsidR="004B506D" w:rsidRDefault="004B506D" w:rsidP="004B506D">
      <w:pPr>
        <w:pStyle w:val="ListParagraph"/>
        <w:numPr>
          <w:ilvl w:val="0"/>
          <w:numId w:val="5"/>
        </w:numPr>
        <w:rPr>
          <w:rFonts w:eastAsia="Times New Roman"/>
          <w:lang w:val="en-GB"/>
        </w:rPr>
      </w:pPr>
      <w:r>
        <w:rPr>
          <w:rFonts w:eastAsia="Times New Roman"/>
          <w:lang w:val="en-GB"/>
        </w:rPr>
        <w:t>SSEN’s analysis shows that Ofgem’s proposal would lead to a 30% reduction in the number of low carbon technologies supported compared to its original plan.</w:t>
      </w:r>
    </w:p>
    <w:p w14:paraId="5DB6736E" w14:textId="77777777" w:rsidR="004B506D" w:rsidRDefault="004B506D" w:rsidP="004B506D">
      <w:pPr>
        <w:pStyle w:val="ListParagraph"/>
        <w:numPr>
          <w:ilvl w:val="0"/>
          <w:numId w:val="5"/>
        </w:numPr>
        <w:rPr>
          <w:rFonts w:eastAsia="Times New Roman"/>
          <w:lang w:val="en-GB"/>
        </w:rPr>
      </w:pPr>
      <w:r>
        <w:rPr>
          <w:rFonts w:eastAsia="Times New Roman"/>
          <w:lang w:val="en-GB"/>
        </w:rPr>
        <w:t>While Orkney is ahead of the curve in terms of its decarbonisation story, hindering our net zero progress now is not the answer.</w:t>
      </w:r>
    </w:p>
    <w:p w14:paraId="3B772019" w14:textId="77777777" w:rsidR="004B506D" w:rsidRDefault="004B506D" w:rsidP="004B506D">
      <w:pPr>
        <w:rPr>
          <w:lang w:val="en-GB"/>
        </w:rPr>
      </w:pPr>
    </w:p>
    <w:p w14:paraId="64173074" w14:textId="132A7F1F" w:rsidR="004B506D" w:rsidRPr="007709BA" w:rsidRDefault="004B506D" w:rsidP="004B506D">
      <w:pPr>
        <w:rPr>
          <w:lang w:val="en-GB"/>
        </w:rPr>
      </w:pPr>
      <w:r w:rsidRPr="007709BA">
        <w:rPr>
          <w:lang w:val="en-GB"/>
        </w:rPr>
        <w:t>Significant investment is required in electricity networks now to support the transition to net zero</w:t>
      </w:r>
      <w:r w:rsidR="007709BA">
        <w:rPr>
          <w:lang w:val="en-GB"/>
        </w:rPr>
        <w:t>, this requires DNO’s to adopt a</w:t>
      </w:r>
      <w:r w:rsidRPr="007709BA">
        <w:rPr>
          <w:lang w:val="en-GB"/>
        </w:rPr>
        <w:t xml:space="preserve"> proactive approach to managing infrastructure and urge Ofgem to look again at the investment required in the North of Scotland ahead of its Final Determination in November.</w:t>
      </w:r>
    </w:p>
    <w:p w14:paraId="7CC0B262" w14:textId="77777777" w:rsidR="0064759D" w:rsidRDefault="0064759D"/>
    <w:sectPr w:rsidR="0064759D">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30B06" w14:textId="77777777" w:rsidR="001B7AB8" w:rsidRDefault="001B7AB8" w:rsidP="00D22E2F">
      <w:r>
        <w:separator/>
      </w:r>
    </w:p>
  </w:endnote>
  <w:endnote w:type="continuationSeparator" w:id="0">
    <w:p w14:paraId="5D5D3D23" w14:textId="77777777" w:rsidR="001B7AB8" w:rsidRDefault="001B7AB8" w:rsidP="00D22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58A03" w14:textId="636723C3" w:rsidR="00146611" w:rsidRDefault="00146611">
    <w:pPr>
      <w:pStyle w:val="Footer"/>
    </w:pPr>
    <w:r>
      <w:rPr>
        <w:noProof/>
      </w:rPr>
      <mc:AlternateContent>
        <mc:Choice Requires="wps">
          <w:drawing>
            <wp:anchor distT="0" distB="0" distL="0" distR="0" simplePos="0" relativeHeight="251659264" behindDoc="0" locked="0" layoutInCell="1" allowOverlap="1" wp14:anchorId="06D3ED46" wp14:editId="4F8B97CD">
              <wp:simplePos x="635" y="635"/>
              <wp:positionH relativeFrom="column">
                <wp:align>center</wp:align>
              </wp:positionH>
              <wp:positionV relativeFrom="paragraph">
                <wp:posOffset>635</wp:posOffset>
              </wp:positionV>
              <wp:extent cx="443865" cy="443865"/>
              <wp:effectExtent l="0" t="0" r="1270" b="16510"/>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E2EC4F" w14:textId="12909407" w:rsidR="00146611" w:rsidRPr="00146611" w:rsidRDefault="00146611">
                          <w:pPr>
                            <w:rPr>
                              <w:rFonts w:eastAsia="Calibri"/>
                              <w:noProof/>
                              <w:color w:val="000000"/>
                              <w:sz w:val="20"/>
                              <w:szCs w:val="20"/>
                            </w:rPr>
                          </w:pPr>
                          <w:r w:rsidRPr="00146611">
                            <w:rPr>
                              <w:rFonts w:eastAsia="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6D3ED46" id="_x0000_t202" coordsize="21600,21600" o:spt="202" path="m,l,21600r21600,l21600,xe">
              <v:stroke joinstyle="miter"/>
              <v:path gradientshapeok="t" o:connecttype="rect"/>
            </v:shapetype>
            <v:shape id="Text Box 3" o:spid="_x0000_s1026" type="#_x0000_t202" alt="OFFICIAL-InternalOnly"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6EE2EC4F" w14:textId="12909407" w:rsidR="00146611" w:rsidRPr="00146611" w:rsidRDefault="00146611">
                    <w:pPr>
                      <w:rPr>
                        <w:rFonts w:eastAsia="Calibri"/>
                        <w:noProof/>
                        <w:color w:val="000000"/>
                        <w:sz w:val="20"/>
                        <w:szCs w:val="20"/>
                      </w:rPr>
                    </w:pPr>
                    <w:r w:rsidRPr="00146611">
                      <w:rPr>
                        <w:rFonts w:eastAsia="Calibri"/>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E01A" w14:textId="1C2F18F0" w:rsidR="00146611" w:rsidRDefault="00146611">
    <w:pPr>
      <w:pStyle w:val="Footer"/>
    </w:pPr>
    <w:r>
      <w:rPr>
        <w:noProof/>
      </w:rPr>
      <mc:AlternateContent>
        <mc:Choice Requires="wps">
          <w:drawing>
            <wp:anchor distT="0" distB="0" distL="0" distR="0" simplePos="0" relativeHeight="251660288" behindDoc="0" locked="0" layoutInCell="1" allowOverlap="1" wp14:anchorId="55DC6D3A" wp14:editId="4CB6FE32">
              <wp:simplePos x="635" y="635"/>
              <wp:positionH relativeFrom="column">
                <wp:align>center</wp:align>
              </wp:positionH>
              <wp:positionV relativeFrom="paragraph">
                <wp:posOffset>635</wp:posOffset>
              </wp:positionV>
              <wp:extent cx="443865" cy="443865"/>
              <wp:effectExtent l="0" t="0" r="1270" b="16510"/>
              <wp:wrapSquare wrapText="bothSides"/>
              <wp:docPr id="4" name="Text Box 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B62583" w14:textId="25C9E084" w:rsidR="00146611" w:rsidRPr="00146611" w:rsidRDefault="00146611">
                          <w:pPr>
                            <w:rPr>
                              <w:rFonts w:eastAsia="Calibri"/>
                              <w:noProof/>
                              <w:color w:val="000000"/>
                              <w:sz w:val="20"/>
                              <w:szCs w:val="20"/>
                            </w:rPr>
                          </w:pPr>
                          <w:r w:rsidRPr="00146611">
                            <w:rPr>
                              <w:rFonts w:eastAsia="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5DC6D3A" id="_x0000_t202" coordsize="21600,21600" o:spt="202" path="m,l,21600r21600,l21600,xe">
              <v:stroke joinstyle="miter"/>
              <v:path gradientshapeok="t" o:connecttype="rect"/>
            </v:shapetype>
            <v:shape id="Text Box 4" o:spid="_x0000_s1027" type="#_x0000_t202" alt="OFFICIAL-InternalOnly"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4BB62583" w14:textId="25C9E084" w:rsidR="00146611" w:rsidRPr="00146611" w:rsidRDefault="00146611">
                    <w:pPr>
                      <w:rPr>
                        <w:rFonts w:eastAsia="Calibri"/>
                        <w:noProof/>
                        <w:color w:val="000000"/>
                        <w:sz w:val="20"/>
                        <w:szCs w:val="20"/>
                      </w:rPr>
                    </w:pPr>
                    <w:r w:rsidRPr="00146611">
                      <w:rPr>
                        <w:rFonts w:eastAsia="Calibri"/>
                        <w:noProof/>
                        <w:color w:val="000000"/>
                        <w:sz w:val="20"/>
                        <w:szCs w:val="20"/>
                      </w:rPr>
                      <w:t>OFFICIAL-InternalOnly</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6DD9C" w14:textId="57A80A51" w:rsidR="00146611" w:rsidRDefault="00146611">
    <w:pPr>
      <w:pStyle w:val="Footer"/>
    </w:pPr>
    <w:r>
      <w:rPr>
        <w:noProof/>
      </w:rPr>
      <mc:AlternateContent>
        <mc:Choice Requires="wps">
          <w:drawing>
            <wp:anchor distT="0" distB="0" distL="0" distR="0" simplePos="0" relativeHeight="251658240" behindDoc="0" locked="0" layoutInCell="1" allowOverlap="1" wp14:anchorId="64A0B0B9" wp14:editId="5A6EB643">
              <wp:simplePos x="635" y="635"/>
              <wp:positionH relativeFrom="column">
                <wp:align>center</wp:align>
              </wp:positionH>
              <wp:positionV relativeFrom="paragraph">
                <wp:posOffset>635</wp:posOffset>
              </wp:positionV>
              <wp:extent cx="443865" cy="443865"/>
              <wp:effectExtent l="0" t="0" r="1270" b="16510"/>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592DC9" w14:textId="3F3E772C" w:rsidR="00146611" w:rsidRPr="00146611" w:rsidRDefault="00146611">
                          <w:pPr>
                            <w:rPr>
                              <w:rFonts w:eastAsia="Calibri"/>
                              <w:noProof/>
                              <w:color w:val="000000"/>
                              <w:sz w:val="20"/>
                              <w:szCs w:val="20"/>
                            </w:rPr>
                          </w:pPr>
                          <w:r w:rsidRPr="00146611">
                            <w:rPr>
                              <w:rFonts w:eastAsia="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4A0B0B9" id="_x0000_t202" coordsize="21600,21600" o:spt="202" path="m,l,21600r21600,l21600,xe">
              <v:stroke joinstyle="miter"/>
              <v:path gradientshapeok="t" o:connecttype="rect"/>
            </v:shapetype>
            <v:shape id="Text Box 2" o:spid="_x0000_s1028" type="#_x0000_t202" alt="OFFICIAL-Internal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73592DC9" w14:textId="3F3E772C" w:rsidR="00146611" w:rsidRPr="00146611" w:rsidRDefault="00146611">
                    <w:pPr>
                      <w:rPr>
                        <w:rFonts w:eastAsia="Calibri"/>
                        <w:noProof/>
                        <w:color w:val="000000"/>
                        <w:sz w:val="20"/>
                        <w:szCs w:val="20"/>
                      </w:rPr>
                    </w:pPr>
                    <w:r w:rsidRPr="00146611">
                      <w:rPr>
                        <w:rFonts w:eastAsia="Calibri"/>
                        <w:noProof/>
                        <w:color w:val="000000"/>
                        <w:sz w:val="20"/>
                        <w:szCs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7C798" w14:textId="77777777" w:rsidR="001B7AB8" w:rsidRDefault="001B7AB8" w:rsidP="00D22E2F">
      <w:r>
        <w:separator/>
      </w:r>
    </w:p>
  </w:footnote>
  <w:footnote w:type="continuationSeparator" w:id="0">
    <w:p w14:paraId="3157D03A" w14:textId="77777777" w:rsidR="001B7AB8" w:rsidRDefault="001B7AB8" w:rsidP="00D22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9ECCA" w14:textId="77777777" w:rsidR="00146611" w:rsidRDefault="001466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BFE18" w14:textId="5EFDE826" w:rsidR="00D22E2F" w:rsidRDefault="00D22E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9C88" w14:textId="77777777" w:rsidR="00146611" w:rsidRDefault="001466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C1347"/>
    <w:multiLevelType w:val="hybridMultilevel"/>
    <w:tmpl w:val="7AF474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41E7979"/>
    <w:multiLevelType w:val="hybridMultilevel"/>
    <w:tmpl w:val="AFB4FF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21AC76DC"/>
    <w:multiLevelType w:val="hybridMultilevel"/>
    <w:tmpl w:val="0ABE70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387A4E7A"/>
    <w:multiLevelType w:val="hybridMultilevel"/>
    <w:tmpl w:val="B360DE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D8724FF"/>
    <w:multiLevelType w:val="hybridMultilevel"/>
    <w:tmpl w:val="E3223D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2007593822">
    <w:abstractNumId w:val="1"/>
  </w:num>
  <w:num w:numId="2" w16cid:durableId="467362616">
    <w:abstractNumId w:val="2"/>
  </w:num>
  <w:num w:numId="3" w16cid:durableId="1253783882">
    <w:abstractNumId w:val="0"/>
  </w:num>
  <w:num w:numId="4" w16cid:durableId="1012731181">
    <w:abstractNumId w:val="3"/>
  </w:num>
  <w:num w:numId="5" w16cid:durableId="15678848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06D"/>
    <w:rsid w:val="001103F8"/>
    <w:rsid w:val="00146611"/>
    <w:rsid w:val="001B7AB8"/>
    <w:rsid w:val="002A24B6"/>
    <w:rsid w:val="004B506D"/>
    <w:rsid w:val="0064759D"/>
    <w:rsid w:val="0068646E"/>
    <w:rsid w:val="006C575C"/>
    <w:rsid w:val="007709BA"/>
    <w:rsid w:val="008425A7"/>
    <w:rsid w:val="00934903"/>
    <w:rsid w:val="0094561F"/>
    <w:rsid w:val="00C512DB"/>
    <w:rsid w:val="00D22E2F"/>
    <w:rsid w:val="00EC78E2"/>
    <w:rsid w:val="00ED738D"/>
    <w:rsid w:val="00EF6D0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BC130"/>
  <w15:chartTrackingRefBased/>
  <w15:docId w15:val="{7CB8E1E0-E894-4CE7-8083-DF8354845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06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06D"/>
    <w:pPr>
      <w:ind w:left="720"/>
    </w:pPr>
  </w:style>
  <w:style w:type="character" w:styleId="Hyperlink">
    <w:name w:val="Hyperlink"/>
    <w:basedOn w:val="DefaultParagraphFont"/>
    <w:uiPriority w:val="99"/>
    <w:unhideWhenUsed/>
    <w:rsid w:val="004B506D"/>
    <w:rPr>
      <w:color w:val="0563C1" w:themeColor="hyperlink"/>
      <w:u w:val="single"/>
    </w:rPr>
  </w:style>
  <w:style w:type="character" w:styleId="UnresolvedMention">
    <w:name w:val="Unresolved Mention"/>
    <w:basedOn w:val="DefaultParagraphFont"/>
    <w:uiPriority w:val="99"/>
    <w:semiHidden/>
    <w:unhideWhenUsed/>
    <w:rsid w:val="004B506D"/>
    <w:rPr>
      <w:color w:val="605E5C"/>
      <w:shd w:val="clear" w:color="auto" w:fill="E1DFDD"/>
    </w:rPr>
  </w:style>
  <w:style w:type="paragraph" w:customStyle="1" w:styleId="Default">
    <w:name w:val="Default"/>
    <w:rsid w:val="00EC78E2"/>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D22E2F"/>
    <w:pPr>
      <w:tabs>
        <w:tab w:val="center" w:pos="4680"/>
        <w:tab w:val="right" w:pos="9360"/>
      </w:tabs>
    </w:pPr>
  </w:style>
  <w:style w:type="character" w:customStyle="1" w:styleId="HeaderChar">
    <w:name w:val="Header Char"/>
    <w:basedOn w:val="DefaultParagraphFont"/>
    <w:link w:val="Header"/>
    <w:uiPriority w:val="99"/>
    <w:rsid w:val="00D22E2F"/>
    <w:rPr>
      <w:rFonts w:ascii="Calibri" w:hAnsi="Calibri" w:cs="Calibri"/>
    </w:rPr>
  </w:style>
  <w:style w:type="paragraph" w:styleId="Footer">
    <w:name w:val="footer"/>
    <w:basedOn w:val="Normal"/>
    <w:link w:val="FooterChar"/>
    <w:uiPriority w:val="99"/>
    <w:unhideWhenUsed/>
    <w:rsid w:val="00D22E2F"/>
    <w:pPr>
      <w:tabs>
        <w:tab w:val="center" w:pos="4680"/>
        <w:tab w:val="right" w:pos="9360"/>
      </w:tabs>
    </w:pPr>
  </w:style>
  <w:style w:type="character" w:customStyle="1" w:styleId="FooterChar">
    <w:name w:val="Footer Char"/>
    <w:basedOn w:val="DefaultParagraphFont"/>
    <w:link w:val="Footer"/>
    <w:uiPriority w:val="99"/>
    <w:rsid w:val="00D22E2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57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IIOED2@ofgem.gov.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F3E9C4-E4CA-4D5C-BDE5-376B393E6E8E}">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2.xml><?xml version="1.0" encoding="utf-8"?>
<ds:datastoreItem xmlns:ds="http://schemas.openxmlformats.org/officeDocument/2006/customXml" ds:itemID="{83C6EB52-351B-4879-B1FE-88670F4294E0}">
  <ds:schemaRefs>
    <ds:schemaRef ds:uri="http://schemas.microsoft.com/sharepoint/v3/contenttype/forms"/>
  </ds:schemaRefs>
</ds:datastoreItem>
</file>

<file path=customXml/itemProps3.xml><?xml version="1.0" encoding="utf-8"?>
<ds:datastoreItem xmlns:ds="http://schemas.openxmlformats.org/officeDocument/2006/customXml" ds:itemID="{F8BB0F31-B16C-4B26-91F3-7A472F1FC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1085</Words>
  <Characters>6186</Characters>
  <Application>Microsoft Office Word</Application>
  <DocSecurity>0</DocSecurity>
  <Lines>51</Lines>
  <Paragraphs>14</Paragraphs>
  <ScaleCrop>false</ScaleCrop>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Croy</dc:creator>
  <cp:keywords/>
  <dc:description/>
  <cp:lastModifiedBy>Ben Pirie</cp:lastModifiedBy>
  <cp:revision>4</cp:revision>
  <dcterms:created xsi:type="dcterms:W3CDTF">2022-08-24T09:35:00Z</dcterms:created>
  <dcterms:modified xsi:type="dcterms:W3CDTF">2022-08-24T09:35:00Z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b9399c-b69b-425c-a0d6-2bb167a54764_Enabled">
    <vt:lpwstr>true</vt:lpwstr>
  </property>
  <property fmtid="{D5CDD505-2E9C-101B-9397-08002B2CF9AE}" pid="3" name="MSIP_Label_aeb9399c-b69b-425c-a0d6-2bb167a54764_SetDate">
    <vt:lpwstr>2022-08-23T09:18:23Z</vt:lpwstr>
  </property>
  <property fmtid="{D5CDD505-2E9C-101B-9397-08002B2CF9AE}" pid="4" name="MSIP_Label_aeb9399c-b69b-425c-a0d6-2bb167a54764_Method">
    <vt:lpwstr>Privileged</vt:lpwstr>
  </property>
  <property fmtid="{D5CDD505-2E9C-101B-9397-08002B2CF9AE}" pid="5" name="MSIP_Label_aeb9399c-b69b-425c-a0d6-2bb167a54764_Name">
    <vt:lpwstr>aeb9399c-b69b-425c-a0d6-2bb167a54764</vt:lpwstr>
  </property>
  <property fmtid="{D5CDD505-2E9C-101B-9397-08002B2CF9AE}" pid="6" name="MSIP_Label_aeb9399c-b69b-425c-a0d6-2bb167a54764_SiteId">
    <vt:lpwstr>225b5661-37a1-482c-928d-a1889552c67e</vt:lpwstr>
  </property>
  <property fmtid="{D5CDD505-2E9C-101B-9397-08002B2CF9AE}" pid="7" name="MSIP_Label_aeb9399c-b69b-425c-a0d6-2bb167a54764_ActionId">
    <vt:lpwstr>de003d88-d07f-4521-9740-71d770edb37c</vt:lpwstr>
  </property>
  <property fmtid="{D5CDD505-2E9C-101B-9397-08002B2CF9AE}" pid="8" name="MSIP_Label_aeb9399c-b69b-425c-a0d6-2bb167a54764_ContentBits">
    <vt:lpwstr>1</vt:lpwstr>
  </property>
  <property fmtid="{D5CDD505-2E9C-101B-9397-08002B2CF9AE}" pid="9" name="ContentTypeId">
    <vt:lpwstr>0x0101003D6E278D99252B4B99C7589ABDD35CB5</vt:lpwstr>
  </property>
  <property fmtid="{D5CDD505-2E9C-101B-9397-08002B2CF9AE}" pid="10" name="ClassificationContentMarkingFooterShapeIds">
    <vt:lpwstr>2,3,4</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2022-08-24T09:35:06Z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f9812e03-905c-46ef-91d0-b304a0393214</vt:lpwstr>
  </property>
  <property fmtid="{D5CDD505-2E9C-101B-9397-08002B2CF9AE}" pid="19" name="MSIP_Label_38144ccb-b10a-4c0f-b070-7a3b00ac7463_ContentBits">
    <vt:lpwstr>2</vt:lpwstr>
  </property>
  <property fmtid="{D5CDD505-2E9C-101B-9397-08002B2CF9AE}" pid="20" name="MediaServiceImageTags">
    <vt:lpwstr/>
  </property>
</Properties>
</file>