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5DD9B" w14:textId="77777777" w:rsidR="00CA27D4" w:rsidRDefault="00CA27D4" w:rsidP="00CA27D4">
      <w:pPr>
        <w:rPr>
          <w:rFonts w:ascii="Century Gothic" w:hAnsi="Century Gothic"/>
        </w:rPr>
      </w:pPr>
    </w:p>
    <w:p w14:paraId="376EFFB5" w14:textId="77777777" w:rsidR="001E718E" w:rsidRDefault="001E718E" w:rsidP="00CA27D4">
      <w:pPr>
        <w:rPr>
          <w:rFonts w:ascii="Century Gothic" w:hAnsi="Century Gothic"/>
        </w:rPr>
      </w:pPr>
    </w:p>
    <w:p w14:paraId="3C74A2C2" w14:textId="77777777" w:rsidR="00101FD1" w:rsidRDefault="00101FD1" w:rsidP="00101FD1">
      <w:pPr>
        <w:pStyle w:val="NoSpacing"/>
        <w:jc w:val="both"/>
        <w:rPr>
          <w:rFonts w:ascii="Century Gothic" w:hAnsi="Century Gothic"/>
        </w:rPr>
      </w:pPr>
      <w:r w:rsidRPr="00BB2268">
        <w:rPr>
          <w:rFonts w:ascii="Century Gothic" w:hAnsi="Century Gothic"/>
        </w:rPr>
        <w:t>Dear Sir / Madam,</w:t>
      </w:r>
    </w:p>
    <w:p w14:paraId="36A707A7" w14:textId="77777777" w:rsidR="00B64528" w:rsidRDefault="00B64528" w:rsidP="00101FD1">
      <w:pPr>
        <w:pStyle w:val="NoSpacing"/>
        <w:jc w:val="both"/>
        <w:rPr>
          <w:rFonts w:ascii="Century Gothic" w:hAnsi="Century Gothic"/>
        </w:rPr>
      </w:pPr>
    </w:p>
    <w:p w14:paraId="6194CFC1" w14:textId="77777777" w:rsidR="00101FD1" w:rsidRPr="00BB2268" w:rsidRDefault="00101FD1" w:rsidP="00101FD1">
      <w:pPr>
        <w:pStyle w:val="NoSpacing"/>
        <w:jc w:val="both"/>
        <w:rPr>
          <w:rFonts w:ascii="Century Gothic" w:hAnsi="Century Gothic"/>
        </w:rPr>
      </w:pPr>
    </w:p>
    <w:p w14:paraId="1C252DB3" w14:textId="367DEE42" w:rsidR="00101FD1" w:rsidRDefault="00101FD1" w:rsidP="00101FD1">
      <w:pPr>
        <w:pStyle w:val="NoSpacing"/>
        <w:jc w:val="both"/>
        <w:rPr>
          <w:rFonts w:ascii="Century Gothic" w:hAnsi="Century Gothic"/>
          <w:b/>
        </w:rPr>
      </w:pPr>
      <w:r w:rsidRPr="00BB2268">
        <w:rPr>
          <w:rFonts w:ascii="Century Gothic" w:hAnsi="Century Gothic"/>
          <w:b/>
        </w:rPr>
        <w:t xml:space="preserve">Re: Response to </w:t>
      </w:r>
      <w:r w:rsidRPr="004A0D47">
        <w:rPr>
          <w:rFonts w:ascii="Century Gothic" w:hAnsi="Century Gothic"/>
          <w:b/>
        </w:rPr>
        <w:t>RIIO-ED2 Draft Determinations Consultation</w:t>
      </w:r>
    </w:p>
    <w:p w14:paraId="5956DCBB" w14:textId="77777777" w:rsidR="00101FD1" w:rsidRDefault="00101FD1" w:rsidP="00101FD1">
      <w:pPr>
        <w:pStyle w:val="NoSpacing"/>
        <w:jc w:val="both"/>
        <w:rPr>
          <w:rFonts w:ascii="Century Gothic" w:hAnsi="Century Gothic"/>
          <w:b/>
        </w:rPr>
      </w:pPr>
    </w:p>
    <w:p w14:paraId="741DF834" w14:textId="77777777" w:rsidR="00101FD1" w:rsidRPr="00BB2268" w:rsidRDefault="00101FD1" w:rsidP="00101FD1">
      <w:pPr>
        <w:pStyle w:val="NoSpacing"/>
        <w:jc w:val="both"/>
        <w:rPr>
          <w:rFonts w:ascii="Century Gothic" w:hAnsi="Century Gothic"/>
        </w:rPr>
      </w:pPr>
    </w:p>
    <w:p w14:paraId="3CC7C99E" w14:textId="77777777" w:rsidR="00101FD1" w:rsidRPr="00BB2268" w:rsidRDefault="00101FD1" w:rsidP="004A0D47">
      <w:pPr>
        <w:pStyle w:val="NoSpacing"/>
        <w:numPr>
          <w:ilvl w:val="0"/>
          <w:numId w:val="7"/>
        </w:numPr>
        <w:ind w:firstLine="0"/>
        <w:jc w:val="both"/>
        <w:rPr>
          <w:rFonts w:ascii="Century Gothic" w:hAnsi="Century Gothic"/>
          <w:b/>
        </w:rPr>
      </w:pPr>
      <w:r w:rsidRPr="00BB2268">
        <w:rPr>
          <w:rFonts w:ascii="Century Gothic" w:hAnsi="Century Gothic"/>
          <w:b/>
        </w:rPr>
        <w:t>Introduction</w:t>
      </w:r>
    </w:p>
    <w:p w14:paraId="578E8D6F" w14:textId="77777777" w:rsidR="00101FD1" w:rsidRPr="00BB2268" w:rsidRDefault="00101FD1" w:rsidP="00101FD1">
      <w:pPr>
        <w:pStyle w:val="NoSpacing"/>
        <w:jc w:val="both"/>
        <w:rPr>
          <w:rFonts w:ascii="Century Gothic" w:hAnsi="Century Gothic"/>
        </w:rPr>
      </w:pPr>
    </w:p>
    <w:p w14:paraId="12D4CFC4" w14:textId="79E8C321" w:rsidR="00101FD1" w:rsidRPr="00BB2268" w:rsidRDefault="00101FD1" w:rsidP="00101FD1">
      <w:pPr>
        <w:pStyle w:val="NoSpacing"/>
        <w:jc w:val="both"/>
        <w:rPr>
          <w:rFonts w:ascii="Century Gothic" w:hAnsi="Century Gothic"/>
        </w:rPr>
      </w:pPr>
      <w:r w:rsidRPr="00BB2268">
        <w:rPr>
          <w:rFonts w:ascii="Century Gothic" w:hAnsi="Century Gothic"/>
        </w:rPr>
        <w:t xml:space="preserve">Thank you for the opportunity to share our thoughts and insights regarding the development of the RIIO2 </w:t>
      </w:r>
      <w:r>
        <w:rPr>
          <w:rFonts w:ascii="Century Gothic" w:hAnsi="Century Gothic"/>
        </w:rPr>
        <w:t xml:space="preserve">determinations and core methodology for </w:t>
      </w:r>
      <w:proofErr w:type="gramStart"/>
      <w:r>
        <w:rPr>
          <w:rFonts w:ascii="Century Gothic" w:hAnsi="Century Gothic"/>
        </w:rPr>
        <w:t>ED2,</w:t>
      </w:r>
      <w:r w:rsidRPr="00BB2268">
        <w:rPr>
          <w:rFonts w:ascii="Century Gothic" w:hAnsi="Century Gothic"/>
        </w:rPr>
        <w:t xml:space="preserve"> and</w:t>
      </w:r>
      <w:proofErr w:type="gramEnd"/>
      <w:r w:rsidRPr="00BB2268">
        <w:rPr>
          <w:rFonts w:ascii="Century Gothic" w:hAnsi="Century Gothic"/>
        </w:rPr>
        <w:t xml:space="preserve"> contributing to the body of knowledge which will help shape the future of the energy networks within the UK. </w:t>
      </w:r>
    </w:p>
    <w:p w14:paraId="09335006" w14:textId="77777777" w:rsidR="00101FD1" w:rsidRPr="00BB2268" w:rsidRDefault="00101FD1" w:rsidP="00101FD1">
      <w:pPr>
        <w:pStyle w:val="NoSpacing"/>
        <w:ind w:left="-851"/>
        <w:jc w:val="both"/>
        <w:rPr>
          <w:rFonts w:ascii="Century Gothic" w:hAnsi="Century Gothic"/>
        </w:rPr>
      </w:pPr>
    </w:p>
    <w:p w14:paraId="1091A40A" w14:textId="7192B8EE" w:rsidR="00101FD1" w:rsidRPr="00BB2268" w:rsidRDefault="00101FD1" w:rsidP="00101FD1">
      <w:pPr>
        <w:pStyle w:val="NoSpacing"/>
        <w:jc w:val="both"/>
        <w:rPr>
          <w:rFonts w:ascii="Century Gothic" w:hAnsi="Century Gothic"/>
        </w:rPr>
      </w:pPr>
      <w:r w:rsidRPr="00BB2268">
        <w:rPr>
          <w:rFonts w:ascii="Century Gothic" w:hAnsi="Century Gothic"/>
        </w:rPr>
        <w:t>As you know the Energy Innovation Centre (EIC), is a not-for-profit business which, for 1</w:t>
      </w:r>
      <w:r>
        <w:rPr>
          <w:rFonts w:ascii="Century Gothic" w:hAnsi="Century Gothic"/>
        </w:rPr>
        <w:t>3</w:t>
      </w:r>
      <w:r w:rsidRPr="00BB2268">
        <w:rPr>
          <w:rFonts w:ascii="Century Gothic" w:hAnsi="Century Gothic"/>
        </w:rPr>
        <w:t xml:space="preserve"> years has been bridging the gap between large utilities and small-scale SMEs. It consistently provides established routes to market for innovative ideas and technologies. The EIC has a vision which reaches far beyond the creation of improved utilities systems; our not-for-profit organisation is passionate about driving social progress, improving the quality of people’s lives, and securing a safe and affordable sustainable future for our children.</w:t>
      </w:r>
    </w:p>
    <w:p w14:paraId="3E4ECD67" w14:textId="77777777" w:rsidR="00101FD1" w:rsidRPr="00BB2268" w:rsidRDefault="00101FD1" w:rsidP="00101FD1">
      <w:pPr>
        <w:pStyle w:val="NoSpacing"/>
        <w:jc w:val="both"/>
        <w:rPr>
          <w:rFonts w:ascii="Century Gothic" w:hAnsi="Century Gothic"/>
        </w:rPr>
      </w:pPr>
    </w:p>
    <w:p w14:paraId="702AC3FA" w14:textId="5DF79FA9" w:rsidR="00101FD1" w:rsidRPr="00BB2268" w:rsidRDefault="00101FD1" w:rsidP="00101FD1">
      <w:pPr>
        <w:pStyle w:val="NoSpacing"/>
        <w:jc w:val="both"/>
        <w:rPr>
          <w:rFonts w:ascii="Century Gothic" w:hAnsi="Century Gothic"/>
        </w:rPr>
      </w:pPr>
      <w:r w:rsidRPr="00BB2268">
        <w:rPr>
          <w:rFonts w:ascii="Century Gothic" w:hAnsi="Century Gothic"/>
        </w:rPr>
        <w:t xml:space="preserve">The EIC itself exists as a direct result of the innovation funding incentive. All our outputs over the last </w:t>
      </w:r>
      <w:r>
        <w:rPr>
          <w:rFonts w:ascii="Century Gothic" w:hAnsi="Century Gothic"/>
        </w:rPr>
        <w:t>thirteen</w:t>
      </w:r>
      <w:r w:rsidRPr="00BB2268">
        <w:rPr>
          <w:rFonts w:ascii="Century Gothic" w:hAnsi="Century Gothic"/>
        </w:rPr>
        <w:t xml:space="preserve"> years have been achieved through collaboration and partnership</w:t>
      </w:r>
      <w:r>
        <w:rPr>
          <w:rFonts w:ascii="Century Gothic" w:hAnsi="Century Gothic"/>
        </w:rPr>
        <w:t>, primarily</w:t>
      </w:r>
      <w:r w:rsidRPr="00BB2268">
        <w:rPr>
          <w:rFonts w:ascii="Century Gothic" w:hAnsi="Century Gothic"/>
        </w:rPr>
        <w:t xml:space="preserve"> under the umbrella of the innovation incentive</w:t>
      </w:r>
      <w:r>
        <w:rPr>
          <w:rFonts w:ascii="Century Gothic" w:hAnsi="Century Gothic"/>
        </w:rPr>
        <w:t>s</w:t>
      </w:r>
      <w:r w:rsidRPr="00BB2268">
        <w:rPr>
          <w:rFonts w:ascii="Century Gothic" w:hAnsi="Century Gothic"/>
        </w:rPr>
        <w:t xml:space="preserve">. Part of our success is the establishment of a global innovation community which now has </w:t>
      </w:r>
      <w:r>
        <w:rPr>
          <w:rFonts w:ascii="Century Gothic" w:hAnsi="Century Gothic"/>
        </w:rPr>
        <w:t>8,000</w:t>
      </w:r>
      <w:r w:rsidRPr="00BB2268">
        <w:rPr>
          <w:rFonts w:ascii="Century Gothic" w:hAnsi="Century Gothic"/>
        </w:rPr>
        <w:t xml:space="preserve"> individual third party innovators</w:t>
      </w:r>
      <w:r>
        <w:rPr>
          <w:rFonts w:ascii="Century Gothic" w:hAnsi="Century Gothic"/>
        </w:rPr>
        <w:t xml:space="preserve"> (75% SMEs and</w:t>
      </w:r>
      <w:r w:rsidRPr="00BB2268">
        <w:rPr>
          <w:rFonts w:ascii="Century Gothic" w:hAnsi="Century Gothic"/>
        </w:rPr>
        <w:t xml:space="preserve"> </w:t>
      </w:r>
      <w:r>
        <w:rPr>
          <w:rFonts w:ascii="Century Gothic" w:hAnsi="Century Gothic"/>
        </w:rPr>
        <w:t>1</w:t>
      </w:r>
      <w:r w:rsidRPr="00BB2268">
        <w:rPr>
          <w:rFonts w:ascii="Century Gothic" w:hAnsi="Century Gothic"/>
        </w:rPr>
        <w:t>5%</w:t>
      </w:r>
      <w:r>
        <w:rPr>
          <w:rFonts w:ascii="Century Gothic" w:hAnsi="Century Gothic"/>
        </w:rPr>
        <w:t xml:space="preserve"> </w:t>
      </w:r>
      <w:r w:rsidRPr="00BB2268">
        <w:rPr>
          <w:rFonts w:ascii="Century Gothic" w:hAnsi="Century Gothic"/>
        </w:rPr>
        <w:t>international</w:t>
      </w:r>
      <w:r>
        <w:rPr>
          <w:rFonts w:ascii="Century Gothic" w:hAnsi="Century Gothic"/>
        </w:rPr>
        <w:t>).</w:t>
      </w:r>
      <w:r w:rsidRPr="00BB2268">
        <w:rPr>
          <w:rFonts w:ascii="Century Gothic" w:hAnsi="Century Gothic"/>
        </w:rPr>
        <w:t xml:space="preserve"> </w:t>
      </w:r>
      <w:r>
        <w:rPr>
          <w:rFonts w:ascii="Century Gothic" w:hAnsi="Century Gothic"/>
        </w:rPr>
        <w:t>T</w:t>
      </w:r>
      <w:r w:rsidRPr="00BB2268">
        <w:rPr>
          <w:rFonts w:ascii="Century Gothic" w:hAnsi="Century Gothic"/>
        </w:rPr>
        <w:t xml:space="preserve">his is a direct result of NIA </w:t>
      </w:r>
      <w:proofErr w:type="gramStart"/>
      <w:r w:rsidRPr="00BB2268">
        <w:rPr>
          <w:rFonts w:ascii="Century Gothic" w:hAnsi="Century Gothic"/>
        </w:rPr>
        <w:t>funding</w:t>
      </w:r>
      <w:proofErr w:type="gramEnd"/>
      <w:r>
        <w:rPr>
          <w:rFonts w:ascii="Century Gothic" w:hAnsi="Century Gothic"/>
        </w:rPr>
        <w:t xml:space="preserve"> and a</w:t>
      </w:r>
      <w:r w:rsidRPr="00BB2268">
        <w:rPr>
          <w:rFonts w:ascii="Century Gothic" w:hAnsi="Century Gothic"/>
        </w:rPr>
        <w:t>ll the third-party innovators have a single direct access into the energy networks who are partners to the EIC.</w:t>
      </w:r>
    </w:p>
    <w:p w14:paraId="33AD4CAD" w14:textId="77777777" w:rsidR="00101FD1" w:rsidRPr="00BB2268" w:rsidRDefault="00101FD1" w:rsidP="00101FD1">
      <w:pPr>
        <w:pStyle w:val="NoSpacing"/>
        <w:jc w:val="both"/>
        <w:rPr>
          <w:rFonts w:ascii="Century Gothic" w:hAnsi="Century Gothic"/>
        </w:rPr>
      </w:pPr>
    </w:p>
    <w:p w14:paraId="1A635042" w14:textId="5E2AF2B2" w:rsidR="00101FD1" w:rsidRPr="00387313" w:rsidRDefault="266BC2B9" w:rsidP="266BC2B9">
      <w:pPr>
        <w:pStyle w:val="NoSpacing"/>
        <w:jc w:val="both"/>
        <w:rPr>
          <w:rFonts w:ascii="Century Gothic" w:hAnsi="Century Gothic"/>
        </w:rPr>
      </w:pPr>
      <w:r w:rsidRPr="266BC2B9">
        <w:rPr>
          <w:rFonts w:ascii="Century Gothic" w:hAnsi="Century Gothic"/>
        </w:rPr>
        <w:t>The added value to the industry and ultimately to energy customers is evidenced by the innovation sourced and collaborative projects that have been developed in partnership with the innovation community. The energy companies that work with the EIC, will on average collaborate nearly twice as much as those who are not partners with the EIC and have together raised the bar in creating transparency in innovation by developing the Innovation Measurement Framework that will enable stakeholders to have visibility of innovation across the sector, which in turn will help in facilitating a whole systems approach to the energy transition.</w:t>
      </w:r>
    </w:p>
    <w:p w14:paraId="6F0AAB6C" w14:textId="77777777" w:rsidR="00101FD1" w:rsidRDefault="00101FD1" w:rsidP="00101FD1">
      <w:pPr>
        <w:pStyle w:val="NoSpacing"/>
        <w:jc w:val="both"/>
        <w:rPr>
          <w:rFonts w:ascii="Century Gothic" w:hAnsi="Century Gothic"/>
        </w:rPr>
      </w:pPr>
    </w:p>
    <w:p w14:paraId="075F37F6" w14:textId="219CB178" w:rsidR="00101FD1" w:rsidRDefault="266BC2B9" w:rsidP="00101FD1">
      <w:pPr>
        <w:pStyle w:val="NoSpacing"/>
        <w:jc w:val="both"/>
        <w:rPr>
          <w:rFonts w:ascii="Century Gothic" w:hAnsi="Century Gothic"/>
        </w:rPr>
      </w:pPr>
      <w:r w:rsidRPr="266BC2B9">
        <w:rPr>
          <w:rFonts w:ascii="Century Gothic" w:hAnsi="Century Gothic"/>
        </w:rPr>
        <w:t>Our partners are collaboratively working with innovators on a co-created programme, which will reduce barriers to the deployment of innovation into BAU. This level of partnership, co-ordination and transparency is industry leading.</w:t>
      </w:r>
    </w:p>
    <w:p w14:paraId="6AF2973B" w14:textId="77777777" w:rsidR="00101FD1" w:rsidRPr="00BB2268" w:rsidRDefault="00101FD1" w:rsidP="00101FD1">
      <w:pPr>
        <w:pStyle w:val="NoSpacing"/>
        <w:jc w:val="both"/>
        <w:rPr>
          <w:rFonts w:ascii="Century Gothic" w:hAnsi="Century Gothic"/>
        </w:rPr>
      </w:pPr>
    </w:p>
    <w:p w14:paraId="77A09B7B" w14:textId="0A572F10" w:rsidR="00101FD1" w:rsidRDefault="266BC2B9" w:rsidP="00101FD1">
      <w:pPr>
        <w:pStyle w:val="NoSpacing"/>
        <w:jc w:val="both"/>
        <w:rPr>
          <w:rFonts w:ascii="Century Gothic" w:hAnsi="Century Gothic"/>
        </w:rPr>
      </w:pPr>
      <w:r w:rsidRPr="266BC2B9">
        <w:rPr>
          <w:rFonts w:ascii="Century Gothic" w:hAnsi="Century Gothic"/>
        </w:rPr>
        <w:t xml:space="preserve">The responses to the questions below incorporate comments and contributions from our innovator community. The EIC has included several general observations in </w:t>
      </w:r>
      <w:r w:rsidRPr="266BC2B9">
        <w:rPr>
          <w:rFonts w:ascii="Century Gothic" w:hAnsi="Century Gothic"/>
        </w:rPr>
        <w:lastRenderedPageBreak/>
        <w:t>relation to the consultation and then goes on to address specific questions detailed within the consultation.</w:t>
      </w:r>
    </w:p>
    <w:p w14:paraId="6779B0FF" w14:textId="77777777" w:rsidR="00101FD1" w:rsidRDefault="00101FD1" w:rsidP="00101FD1">
      <w:pPr>
        <w:pStyle w:val="NoSpacing"/>
        <w:ind w:left="-851"/>
        <w:jc w:val="both"/>
        <w:rPr>
          <w:rFonts w:ascii="Century Gothic" w:hAnsi="Century Gothic"/>
        </w:rPr>
      </w:pPr>
    </w:p>
    <w:p w14:paraId="42881575" w14:textId="77777777" w:rsidR="00101FD1" w:rsidRPr="00BB2268" w:rsidRDefault="00101FD1" w:rsidP="00101FD1">
      <w:pPr>
        <w:pStyle w:val="NoSpacing"/>
        <w:ind w:left="-851"/>
        <w:jc w:val="both"/>
        <w:rPr>
          <w:rFonts w:ascii="Century Gothic" w:hAnsi="Century Gothic"/>
          <w:b/>
        </w:rPr>
      </w:pPr>
    </w:p>
    <w:p w14:paraId="79ABF5C7" w14:textId="77777777" w:rsidR="00101FD1" w:rsidRPr="00BB2268" w:rsidRDefault="266BC2B9" w:rsidP="266BC2B9">
      <w:pPr>
        <w:pStyle w:val="NoSpacing"/>
        <w:numPr>
          <w:ilvl w:val="0"/>
          <w:numId w:val="7"/>
        </w:numPr>
        <w:ind w:left="0" w:firstLine="0"/>
        <w:jc w:val="both"/>
        <w:rPr>
          <w:rFonts w:ascii="Century Gothic" w:hAnsi="Century Gothic"/>
          <w:b/>
          <w:bCs/>
        </w:rPr>
      </w:pPr>
      <w:r w:rsidRPr="266BC2B9">
        <w:rPr>
          <w:rFonts w:ascii="Century Gothic" w:hAnsi="Century Gothic"/>
          <w:b/>
          <w:bCs/>
        </w:rPr>
        <w:t>Overview</w:t>
      </w:r>
    </w:p>
    <w:p w14:paraId="5500D00C" w14:textId="77777777" w:rsidR="00101FD1" w:rsidRPr="00BB2268" w:rsidRDefault="00101FD1" w:rsidP="00101FD1">
      <w:pPr>
        <w:pStyle w:val="NoSpacing"/>
        <w:jc w:val="both"/>
        <w:rPr>
          <w:rFonts w:ascii="Century Gothic" w:hAnsi="Century Gothic"/>
        </w:rPr>
      </w:pPr>
    </w:p>
    <w:p w14:paraId="1B3A46D6" w14:textId="37EF12AE" w:rsidR="00101FD1" w:rsidRPr="00BB2268" w:rsidRDefault="266BC2B9" w:rsidP="00101FD1">
      <w:pPr>
        <w:pStyle w:val="NoSpacing"/>
        <w:jc w:val="both"/>
        <w:rPr>
          <w:rFonts w:ascii="Century Gothic" w:hAnsi="Century Gothic"/>
        </w:rPr>
      </w:pPr>
      <w:r w:rsidRPr="266BC2B9">
        <w:rPr>
          <w:rFonts w:ascii="Century Gothic" w:hAnsi="Century Gothic"/>
        </w:rPr>
        <w:t xml:space="preserve">Ofgem’s approach to innovation incentives is recognised as best practise and as being a global first, where an entire sector is incentivised to innovate where the outcomes of that activity can then be measured. However, innovation is a journey and the different price controls enable the regulator to iterate and further develop this approach, </w:t>
      </w:r>
      <w:r w:rsidRPr="266BC2B9">
        <w:rPr>
          <w:rFonts w:ascii="Century Gothic" w:hAnsi="Century Gothic"/>
          <w:b/>
          <w:bCs/>
        </w:rPr>
        <w:t xml:space="preserve">building on the strong foundations </w:t>
      </w:r>
      <w:r w:rsidRPr="266BC2B9">
        <w:rPr>
          <w:rFonts w:ascii="Century Gothic" w:hAnsi="Century Gothic"/>
        </w:rPr>
        <w:t>created by NIA which is hugely successful from an SME perspective.</w:t>
      </w:r>
    </w:p>
    <w:p w14:paraId="25BC377E" w14:textId="77777777" w:rsidR="00101FD1" w:rsidRPr="00BB2268" w:rsidRDefault="00101FD1" w:rsidP="00101FD1">
      <w:pPr>
        <w:pStyle w:val="NoSpacing"/>
        <w:jc w:val="both"/>
        <w:rPr>
          <w:rFonts w:ascii="Century Gothic" w:hAnsi="Century Gothic"/>
        </w:rPr>
      </w:pPr>
    </w:p>
    <w:p w14:paraId="68852022" w14:textId="5A7E543B" w:rsidR="00101FD1" w:rsidRPr="00BB2268" w:rsidDel="00575471" w:rsidRDefault="266BC2B9" w:rsidP="266BC2B9">
      <w:pPr>
        <w:pStyle w:val="NoSpacing"/>
        <w:jc w:val="both"/>
        <w:rPr>
          <w:rFonts w:ascii="Century Gothic" w:hAnsi="Century Gothic"/>
        </w:rPr>
      </w:pPr>
      <w:r w:rsidRPr="266BC2B9">
        <w:rPr>
          <w:rFonts w:ascii="Century Gothic" w:hAnsi="Century Gothic"/>
        </w:rPr>
        <w:t xml:space="preserve">SMEs tell us that they have seen and experienced a change in both culture and behaviours across the EIC’s Industry Partners in relation to innovation and collaboration throughout RIIO1. </w:t>
      </w:r>
    </w:p>
    <w:p w14:paraId="7F3685DD" w14:textId="115DD144" w:rsidR="00101FD1" w:rsidRPr="00BB2268" w:rsidDel="00575471" w:rsidRDefault="00101FD1" w:rsidP="266BC2B9">
      <w:pPr>
        <w:pStyle w:val="NoSpacing"/>
        <w:jc w:val="both"/>
        <w:rPr>
          <w:rFonts w:ascii="Century Gothic" w:hAnsi="Century Gothic"/>
        </w:rPr>
      </w:pPr>
    </w:p>
    <w:p w14:paraId="40A995A5" w14:textId="7ABF5191" w:rsidR="00101FD1" w:rsidRPr="00BB2268" w:rsidDel="00575471" w:rsidRDefault="266BC2B9" w:rsidP="00101FD1">
      <w:pPr>
        <w:pStyle w:val="NoSpacing"/>
        <w:jc w:val="both"/>
        <w:rPr>
          <w:rFonts w:ascii="Century Gothic" w:hAnsi="Century Gothic"/>
        </w:rPr>
      </w:pPr>
      <w:r w:rsidRPr="266BC2B9">
        <w:rPr>
          <w:rFonts w:ascii="Century Gothic" w:hAnsi="Century Gothic"/>
        </w:rPr>
        <w:t>Since the EIC’s inception the number of projects with SMEs has grown significantly, however, SMEs believe that the maturation of network business is not yet sufficiently developed to provide the motivation to innovate without an incentive. SMEs are unanimous in their positive feedback towards NIA, but believe that if the NIA didn’t exist, and all innovation is directed through SIF, then both innovation and third-party engagement would reduce dramatically.</w:t>
      </w:r>
    </w:p>
    <w:p w14:paraId="44DEAF9C" w14:textId="77777777" w:rsidR="00101FD1" w:rsidRPr="00BB2268" w:rsidDel="00575471" w:rsidRDefault="00101FD1" w:rsidP="00101FD1">
      <w:pPr>
        <w:pStyle w:val="NoSpacing"/>
        <w:jc w:val="both"/>
        <w:rPr>
          <w:rFonts w:ascii="Century Gothic" w:hAnsi="Century Gothic"/>
        </w:rPr>
      </w:pPr>
    </w:p>
    <w:p w14:paraId="39993021" w14:textId="77777777" w:rsidR="001376F0" w:rsidRDefault="266BC2B9" w:rsidP="00575471">
      <w:pPr>
        <w:pStyle w:val="NoSpacing"/>
        <w:jc w:val="both"/>
        <w:rPr>
          <w:rFonts w:ascii="Century Gothic" w:hAnsi="Century Gothic"/>
        </w:rPr>
      </w:pPr>
      <w:r w:rsidRPr="266BC2B9">
        <w:rPr>
          <w:rFonts w:ascii="Century Gothic" w:hAnsi="Century Gothic"/>
        </w:rPr>
        <w:t xml:space="preserve">For innovation to flourish, particularly with SMEs, there is a need to maintain </w:t>
      </w:r>
      <w:r w:rsidRPr="266BC2B9">
        <w:rPr>
          <w:rFonts w:ascii="Century Gothic" w:hAnsi="Century Gothic"/>
          <w:b/>
          <w:bCs/>
        </w:rPr>
        <w:t xml:space="preserve">continuity, </w:t>
      </w:r>
      <w:proofErr w:type="gramStart"/>
      <w:r w:rsidRPr="266BC2B9">
        <w:rPr>
          <w:rFonts w:ascii="Century Gothic" w:hAnsi="Century Gothic"/>
          <w:b/>
          <w:bCs/>
        </w:rPr>
        <w:t>consistency</w:t>
      </w:r>
      <w:proofErr w:type="gramEnd"/>
      <w:r w:rsidRPr="266BC2B9">
        <w:rPr>
          <w:rFonts w:ascii="Century Gothic" w:hAnsi="Century Gothic"/>
        </w:rPr>
        <w:t xml:space="preserve"> </w:t>
      </w:r>
      <w:r w:rsidRPr="266BC2B9">
        <w:rPr>
          <w:rFonts w:ascii="Century Gothic" w:hAnsi="Century Gothic"/>
          <w:b/>
          <w:bCs/>
        </w:rPr>
        <w:t>and flexibility</w:t>
      </w:r>
      <w:r w:rsidRPr="266BC2B9">
        <w:rPr>
          <w:rFonts w:ascii="Century Gothic" w:hAnsi="Century Gothic"/>
        </w:rPr>
        <w:t xml:space="preserve">. Given that innovation takes time to mature to deliver benefits (in the private sector, typically the payback period for innovation is 20 years), the sector requires such </w:t>
      </w:r>
      <w:r w:rsidRPr="266BC2B9">
        <w:rPr>
          <w:rFonts w:ascii="Century Gothic" w:hAnsi="Century Gothic"/>
          <w:b/>
          <w:bCs/>
        </w:rPr>
        <w:t>continuity,</w:t>
      </w:r>
      <w:r w:rsidRPr="266BC2B9">
        <w:rPr>
          <w:rFonts w:ascii="Century Gothic" w:hAnsi="Century Gothic"/>
        </w:rPr>
        <w:t xml:space="preserve"> </w:t>
      </w:r>
      <w:proofErr w:type="gramStart"/>
      <w:r w:rsidRPr="266BC2B9">
        <w:rPr>
          <w:rFonts w:ascii="Century Gothic" w:hAnsi="Century Gothic"/>
          <w:b/>
          <w:bCs/>
        </w:rPr>
        <w:t>consistency</w:t>
      </w:r>
      <w:proofErr w:type="gramEnd"/>
      <w:r w:rsidRPr="266BC2B9">
        <w:rPr>
          <w:rFonts w:ascii="Century Gothic" w:hAnsi="Century Gothic"/>
          <w:b/>
          <w:bCs/>
        </w:rPr>
        <w:t xml:space="preserve"> and flexibility</w:t>
      </w:r>
      <w:r w:rsidRPr="266BC2B9">
        <w:rPr>
          <w:rFonts w:ascii="Century Gothic" w:hAnsi="Century Gothic"/>
        </w:rPr>
        <w:t xml:space="preserve"> to build upon a strong foundation developed through world leading regulation. </w:t>
      </w:r>
    </w:p>
    <w:p w14:paraId="5E5D044B" w14:textId="77777777" w:rsidR="001376F0" w:rsidRDefault="001376F0" w:rsidP="00575471">
      <w:pPr>
        <w:pStyle w:val="NoSpacing"/>
        <w:jc w:val="both"/>
        <w:rPr>
          <w:rFonts w:ascii="Century Gothic" w:hAnsi="Century Gothic"/>
        </w:rPr>
      </w:pPr>
    </w:p>
    <w:p w14:paraId="033B4633" w14:textId="77DABCD8" w:rsidR="00101FD1" w:rsidRPr="009D6B88" w:rsidRDefault="266BC2B9" w:rsidP="266BC2B9">
      <w:pPr>
        <w:pStyle w:val="NoSpacing"/>
        <w:jc w:val="both"/>
        <w:rPr>
          <w:rFonts w:ascii="Century Gothic" w:eastAsia="Calibri" w:hAnsi="Century Gothic" w:cs="Times New Roman"/>
          <w:b/>
          <w:bCs/>
        </w:rPr>
      </w:pPr>
      <w:r w:rsidRPr="266BC2B9">
        <w:rPr>
          <w:rFonts w:ascii="Century Gothic" w:eastAsia="Calibri" w:hAnsi="Century Gothic" w:cs="Times New Roman"/>
          <w:b/>
          <w:bCs/>
        </w:rPr>
        <w:t>3.</w:t>
      </w:r>
      <w:r w:rsidR="001376F0">
        <w:tab/>
      </w:r>
      <w:r w:rsidRPr="266BC2B9">
        <w:rPr>
          <w:rFonts w:ascii="Century Gothic" w:eastAsia="Calibri" w:hAnsi="Century Gothic" w:cs="Times New Roman"/>
          <w:b/>
          <w:bCs/>
        </w:rPr>
        <w:t>Consultation Questions on Core Methodology</w:t>
      </w:r>
    </w:p>
    <w:p w14:paraId="31DBE463" w14:textId="77777777" w:rsidR="007D7635" w:rsidRPr="009D6B88" w:rsidRDefault="007D7635" w:rsidP="009D6B88">
      <w:pPr>
        <w:pStyle w:val="NoSpacing"/>
        <w:jc w:val="both"/>
        <w:rPr>
          <w:rFonts w:ascii="Century Gothic" w:eastAsia="Calibri" w:hAnsi="Century Gothic" w:cs="Times New Roman"/>
          <w:b/>
          <w:bCs/>
          <w:u w:val="single"/>
        </w:rPr>
      </w:pPr>
    </w:p>
    <w:p w14:paraId="1400C482" w14:textId="34B855CE" w:rsidR="00101FD1" w:rsidRPr="00BB2268" w:rsidRDefault="002F1255" w:rsidP="004A0D47">
      <w:pPr>
        <w:jc w:val="both"/>
        <w:rPr>
          <w:rFonts w:ascii="Century Gothic" w:eastAsia="Calibri" w:hAnsi="Century Gothic" w:cs="Times New Roman"/>
          <w:b/>
          <w:bCs/>
        </w:rPr>
      </w:pPr>
      <w:r w:rsidRPr="009D6B88">
        <w:rPr>
          <w:rFonts w:ascii="Century Gothic" w:eastAsia="Calibri" w:hAnsi="Century Gothic" w:cs="Times New Roman"/>
          <w:b/>
          <w:bCs/>
          <w:u w:val="single"/>
        </w:rPr>
        <w:t>Core</w:t>
      </w:r>
      <w:r w:rsidR="00B64528" w:rsidRPr="009D6B88">
        <w:rPr>
          <w:rFonts w:ascii="Century Gothic" w:eastAsia="Calibri" w:hAnsi="Century Gothic" w:cs="Times New Roman"/>
          <w:b/>
          <w:bCs/>
          <w:u w:val="single"/>
        </w:rPr>
        <w:t xml:space="preserve"> </w:t>
      </w:r>
      <w:r w:rsidR="00101FD1" w:rsidRPr="009D6B88">
        <w:rPr>
          <w:rFonts w:ascii="Century Gothic" w:eastAsia="Calibri" w:hAnsi="Century Gothic" w:cs="Times New Roman"/>
          <w:b/>
          <w:bCs/>
          <w:u w:val="single"/>
        </w:rPr>
        <w:t>Q</w:t>
      </w:r>
      <w:r w:rsidR="00B64528" w:rsidRPr="009D6B88">
        <w:rPr>
          <w:rFonts w:ascii="Century Gothic" w:eastAsia="Calibri" w:hAnsi="Century Gothic" w:cs="Times New Roman"/>
          <w:b/>
          <w:bCs/>
          <w:u w:val="single"/>
        </w:rPr>
        <w:t xml:space="preserve">uestion </w:t>
      </w:r>
      <w:r w:rsidR="00101FD1" w:rsidRPr="009D6B88">
        <w:rPr>
          <w:rFonts w:ascii="Century Gothic" w:eastAsia="Calibri" w:hAnsi="Century Gothic" w:cs="Times New Roman"/>
          <w:b/>
          <w:bCs/>
          <w:u w:val="single"/>
        </w:rPr>
        <w:t>7</w:t>
      </w:r>
      <w:r w:rsidR="00101FD1" w:rsidRPr="00BB2268">
        <w:rPr>
          <w:rFonts w:ascii="Century Gothic" w:eastAsia="Calibri" w:hAnsi="Century Gothic" w:cs="Times New Roman"/>
          <w:b/>
          <w:bCs/>
        </w:rPr>
        <w:t xml:space="preserve"> – Do you agree with our proposed approach to the value of SIF</w:t>
      </w:r>
      <w:r w:rsidR="005031CB">
        <w:rPr>
          <w:rFonts w:ascii="Century Gothic" w:eastAsia="Calibri" w:hAnsi="Century Gothic" w:cs="Times New Roman"/>
          <w:b/>
          <w:bCs/>
        </w:rPr>
        <w:t>?</w:t>
      </w:r>
    </w:p>
    <w:p w14:paraId="7C7F689F" w14:textId="77777777" w:rsidR="00101FD1" w:rsidRPr="00BB2268" w:rsidRDefault="00101FD1" w:rsidP="004A0D47">
      <w:pPr>
        <w:jc w:val="both"/>
        <w:rPr>
          <w:rFonts w:ascii="Century Gothic" w:eastAsia="Calibri" w:hAnsi="Century Gothic" w:cs="Times New Roman"/>
        </w:rPr>
      </w:pPr>
      <w:r w:rsidRPr="00BB2268">
        <w:rPr>
          <w:rFonts w:ascii="Century Gothic" w:eastAsia="Calibri" w:hAnsi="Century Gothic" w:cs="Times New Roman"/>
        </w:rPr>
        <w:t>The EIC and its Innovator Impact Panel agree with Ofgem’s approach in maintaining the existing value of the Strategic Innovation Fund at £450M. The Partnership also agrees with the criteria upon which Ofgem will review whether the fund should be increased in ED2.</w:t>
      </w:r>
    </w:p>
    <w:p w14:paraId="3EDD91D9" w14:textId="6597AC45" w:rsidR="00101FD1" w:rsidRPr="00BB2268" w:rsidRDefault="266BC2B9" w:rsidP="004A0D47">
      <w:pPr>
        <w:jc w:val="both"/>
        <w:rPr>
          <w:rFonts w:ascii="Century Gothic" w:eastAsia="Calibri" w:hAnsi="Century Gothic" w:cs="Times New Roman"/>
        </w:rPr>
      </w:pPr>
      <w:r w:rsidRPr="266BC2B9">
        <w:rPr>
          <w:rFonts w:ascii="Century Gothic" w:eastAsia="Calibri" w:hAnsi="Century Gothic" w:cs="Times New Roman"/>
        </w:rPr>
        <w:t>The overwhelming view of the Innovator Impact Panel was that “the SIF structure doesn’t really work for small businesses”. It was felt that the nature of the process doesn’t align with the operation and reality of smaller businesses. SMEs specifically highlighted the multi-phased stop start approach to developing projects and the short duration and value of the Alpha phase does not align with the resource levels of many SMEs.</w:t>
      </w:r>
    </w:p>
    <w:p w14:paraId="553115DC" w14:textId="77777777" w:rsidR="00101FD1" w:rsidRPr="00BB2268" w:rsidRDefault="00101FD1" w:rsidP="004A0D47">
      <w:pPr>
        <w:jc w:val="both"/>
        <w:rPr>
          <w:rFonts w:ascii="Century Gothic" w:eastAsia="Calibri" w:hAnsi="Century Gothic" w:cs="Times New Roman"/>
        </w:rPr>
      </w:pPr>
      <w:r w:rsidRPr="00BB2268">
        <w:rPr>
          <w:rFonts w:ascii="Century Gothic" w:eastAsia="Calibri" w:hAnsi="Century Gothic" w:cs="Times New Roman"/>
        </w:rPr>
        <w:t>The EIC will share these views directly with colleagues</w:t>
      </w:r>
      <w:r>
        <w:rPr>
          <w:rFonts w:ascii="Century Gothic" w:eastAsia="Calibri" w:hAnsi="Century Gothic" w:cs="Times New Roman"/>
        </w:rPr>
        <w:t xml:space="preserve"> at</w:t>
      </w:r>
      <w:r w:rsidRPr="00BB2268">
        <w:rPr>
          <w:rFonts w:ascii="Century Gothic" w:eastAsia="Calibri" w:hAnsi="Century Gothic" w:cs="Times New Roman"/>
        </w:rPr>
        <w:t xml:space="preserve"> UKRI for consideration to inform the SIF process as it matures and develops.</w:t>
      </w:r>
    </w:p>
    <w:p w14:paraId="57208591" w14:textId="3B68B801" w:rsidR="00101FD1" w:rsidRPr="00BB2268" w:rsidRDefault="00101FD1" w:rsidP="004A0D47">
      <w:pPr>
        <w:jc w:val="both"/>
        <w:rPr>
          <w:rFonts w:ascii="Century Gothic" w:eastAsia="Calibri" w:hAnsi="Century Gothic" w:cs="Times New Roman"/>
        </w:rPr>
      </w:pPr>
      <w:r w:rsidRPr="00BB2268">
        <w:rPr>
          <w:rFonts w:ascii="Century Gothic" w:eastAsia="Calibri" w:hAnsi="Century Gothic" w:cs="Times New Roman"/>
        </w:rPr>
        <w:t xml:space="preserve">The Innovator Community, particularly smaller Innovators are concerned that SIF may become the main innovation funding mechanism for the energy sector.  The </w:t>
      </w:r>
      <w:r w:rsidRPr="00BB2268">
        <w:rPr>
          <w:rFonts w:ascii="Century Gothic" w:eastAsia="Calibri" w:hAnsi="Century Gothic" w:cs="Times New Roman"/>
        </w:rPr>
        <w:lastRenderedPageBreak/>
        <w:t xml:space="preserve">Innovator Impact Panel are firmly of the view that </w:t>
      </w:r>
      <w:r>
        <w:rPr>
          <w:rFonts w:ascii="Century Gothic" w:eastAsia="Calibri" w:hAnsi="Century Gothic" w:cs="Times New Roman"/>
        </w:rPr>
        <w:t>th</w:t>
      </w:r>
      <w:r w:rsidRPr="00BB2268">
        <w:rPr>
          <w:rFonts w:ascii="Century Gothic" w:eastAsia="Calibri" w:hAnsi="Century Gothic" w:cs="Times New Roman"/>
        </w:rPr>
        <w:t>is will be prohibitive to smaller businesses innovating within the sector.</w:t>
      </w:r>
    </w:p>
    <w:p w14:paraId="15B0F40E" w14:textId="77777777" w:rsidR="00101FD1" w:rsidRPr="00BB2268" w:rsidRDefault="00101FD1" w:rsidP="004A0D47">
      <w:pPr>
        <w:jc w:val="both"/>
        <w:rPr>
          <w:rFonts w:ascii="Century Gothic" w:eastAsia="Calibri" w:hAnsi="Century Gothic" w:cs="Times New Roman"/>
        </w:rPr>
      </w:pPr>
    </w:p>
    <w:p w14:paraId="408F7189" w14:textId="3B67DCB3" w:rsidR="00101FD1" w:rsidRPr="00BB2268" w:rsidRDefault="00B64528" w:rsidP="004A0D47">
      <w:pPr>
        <w:jc w:val="both"/>
        <w:rPr>
          <w:rFonts w:ascii="Century Gothic" w:eastAsia="Calibri" w:hAnsi="Century Gothic" w:cs="Times New Roman"/>
          <w:b/>
          <w:bCs/>
        </w:rPr>
      </w:pPr>
      <w:r w:rsidRPr="009D6B88">
        <w:rPr>
          <w:rFonts w:ascii="Century Gothic" w:eastAsia="Calibri" w:hAnsi="Century Gothic" w:cs="Times New Roman"/>
          <w:b/>
          <w:bCs/>
          <w:u w:val="single"/>
        </w:rPr>
        <w:t xml:space="preserve">Core Question </w:t>
      </w:r>
      <w:r w:rsidR="00101FD1" w:rsidRPr="009D6B88">
        <w:rPr>
          <w:rFonts w:ascii="Century Gothic" w:eastAsia="Calibri" w:hAnsi="Century Gothic" w:cs="Times New Roman"/>
          <w:b/>
          <w:bCs/>
          <w:u w:val="single"/>
        </w:rPr>
        <w:t>8</w:t>
      </w:r>
      <w:r w:rsidR="00101FD1" w:rsidRPr="00BB2268">
        <w:rPr>
          <w:rFonts w:ascii="Century Gothic" w:eastAsia="Calibri" w:hAnsi="Century Gothic" w:cs="Times New Roman"/>
          <w:b/>
          <w:bCs/>
        </w:rPr>
        <w:t xml:space="preserve"> – Do you agree with our proposed approach to weighing SSMD criteria and benchmarking RIIO – ED2 – NIA requests against RIIO – ED1?</w:t>
      </w:r>
    </w:p>
    <w:p w14:paraId="5A03744D" w14:textId="77777777" w:rsidR="00101FD1" w:rsidRPr="00BB2268" w:rsidRDefault="00101FD1" w:rsidP="004A0D47">
      <w:pPr>
        <w:jc w:val="both"/>
        <w:rPr>
          <w:rFonts w:ascii="Century Gothic" w:eastAsia="Calibri" w:hAnsi="Century Gothic" w:cs="Times New Roman"/>
        </w:rPr>
      </w:pPr>
      <w:r w:rsidRPr="00BB2268">
        <w:rPr>
          <w:rFonts w:ascii="Century Gothic" w:eastAsia="Calibri" w:hAnsi="Century Gothic" w:cs="Times New Roman"/>
        </w:rPr>
        <w:t xml:space="preserve">The EIC and Innovators believe that NIA is an absolute necessity to ensure the continuation of innovation and engagement of small businesses within the energy sector. NIA has enabled third-party involvement in network innovation, allowing bespoke innovation solutions to be developed which will deliver benefits to UK energy consumers. </w:t>
      </w:r>
    </w:p>
    <w:p w14:paraId="51919E84" w14:textId="4ADF3CCC" w:rsidR="00101FD1" w:rsidRPr="00BB2268" w:rsidRDefault="00101FD1" w:rsidP="004A0D47">
      <w:pPr>
        <w:jc w:val="both"/>
        <w:rPr>
          <w:rFonts w:ascii="Century Gothic" w:eastAsia="Calibri" w:hAnsi="Century Gothic" w:cs="Times New Roman"/>
        </w:rPr>
      </w:pPr>
      <w:r w:rsidRPr="00BB2268">
        <w:rPr>
          <w:rFonts w:ascii="Century Gothic" w:eastAsia="Calibri" w:hAnsi="Century Gothic" w:cs="Times New Roman"/>
        </w:rPr>
        <w:t>As previously shared, SMEs believe that the NIA is one of the most effective innovation funding mechanisms available within the UK and some have said Europe. Th</w:t>
      </w:r>
      <w:r>
        <w:rPr>
          <w:rFonts w:ascii="Century Gothic" w:eastAsia="Calibri" w:hAnsi="Century Gothic" w:cs="Times New Roman"/>
        </w:rPr>
        <w:t>is</w:t>
      </w:r>
      <w:r w:rsidRPr="00BB2268">
        <w:rPr>
          <w:rFonts w:ascii="Century Gothic" w:eastAsia="Calibri" w:hAnsi="Century Gothic" w:cs="Times New Roman"/>
        </w:rPr>
        <w:t xml:space="preserve"> funding mechanism is invaluable as it brings project developer</w:t>
      </w:r>
      <w:r>
        <w:rPr>
          <w:rFonts w:ascii="Century Gothic" w:eastAsia="Calibri" w:hAnsi="Century Gothic" w:cs="Times New Roman"/>
        </w:rPr>
        <w:t>s</w:t>
      </w:r>
      <w:r w:rsidRPr="00BB2268">
        <w:rPr>
          <w:rFonts w:ascii="Century Gothic" w:eastAsia="Calibri" w:hAnsi="Century Gothic" w:cs="Times New Roman"/>
        </w:rPr>
        <w:t xml:space="preserve"> closer to customer</w:t>
      </w:r>
      <w:r>
        <w:rPr>
          <w:rFonts w:ascii="Century Gothic" w:eastAsia="Calibri" w:hAnsi="Century Gothic" w:cs="Times New Roman"/>
        </w:rPr>
        <w:t>s,</w:t>
      </w:r>
      <w:r w:rsidRPr="00BB2268">
        <w:rPr>
          <w:rFonts w:ascii="Century Gothic" w:eastAsia="Calibri" w:hAnsi="Century Gothic" w:cs="Times New Roman"/>
        </w:rPr>
        <w:t xml:space="preserve"> thereby increasing the pace of innovation and reducing the level o</w:t>
      </w:r>
      <w:r>
        <w:rPr>
          <w:rFonts w:ascii="Century Gothic" w:eastAsia="Calibri" w:hAnsi="Century Gothic" w:cs="Times New Roman"/>
        </w:rPr>
        <w:t>f</w:t>
      </w:r>
      <w:r w:rsidRPr="00BB2268">
        <w:rPr>
          <w:rFonts w:ascii="Century Gothic" w:eastAsia="Calibri" w:hAnsi="Century Gothic" w:cs="Times New Roman"/>
        </w:rPr>
        <w:t xml:space="preserve"> investment that is needed. It also increases the potential for success. Additionally, NIA is one of the few funding mechanisms that will invest in lower TRL innovations that may ultimately provide higher benefits to consumers in the longer term. This is </w:t>
      </w:r>
      <w:r>
        <w:rPr>
          <w:rFonts w:ascii="Century Gothic" w:eastAsia="Calibri" w:hAnsi="Century Gothic" w:cs="Times New Roman"/>
        </w:rPr>
        <w:t xml:space="preserve">demonstrated </w:t>
      </w:r>
      <w:r w:rsidRPr="00BB2268">
        <w:rPr>
          <w:rFonts w:ascii="Century Gothic" w:eastAsia="Calibri" w:hAnsi="Century Gothic" w:cs="Times New Roman"/>
        </w:rPr>
        <w:t xml:space="preserve">by </w:t>
      </w:r>
      <w:r>
        <w:rPr>
          <w:rFonts w:ascii="Century Gothic" w:eastAsia="Calibri" w:hAnsi="Century Gothic" w:cs="Times New Roman"/>
        </w:rPr>
        <w:t>several</w:t>
      </w:r>
      <w:r w:rsidRPr="00BB2268">
        <w:rPr>
          <w:rFonts w:ascii="Century Gothic" w:eastAsia="Calibri" w:hAnsi="Century Gothic" w:cs="Times New Roman"/>
        </w:rPr>
        <w:t xml:space="preserve"> key projects due to deliver large returns </w:t>
      </w:r>
      <w:r>
        <w:rPr>
          <w:rFonts w:ascii="Century Gothic" w:eastAsia="Calibri" w:hAnsi="Century Gothic" w:cs="Times New Roman"/>
        </w:rPr>
        <w:t xml:space="preserve">to </w:t>
      </w:r>
      <w:r w:rsidRPr="00BB2268">
        <w:rPr>
          <w:rFonts w:ascii="Century Gothic" w:eastAsia="Calibri" w:hAnsi="Century Gothic" w:cs="Times New Roman"/>
        </w:rPr>
        <w:t>network operators and energy consumers that have been developed through the EIC.</w:t>
      </w:r>
    </w:p>
    <w:p w14:paraId="5A7B010C" w14:textId="1F20E7B8" w:rsidR="00101FD1" w:rsidRPr="00BB2268" w:rsidRDefault="266BC2B9" w:rsidP="004A0D47">
      <w:pPr>
        <w:jc w:val="both"/>
        <w:rPr>
          <w:rFonts w:ascii="Century Gothic" w:eastAsia="Calibri" w:hAnsi="Century Gothic" w:cs="Times New Roman"/>
        </w:rPr>
      </w:pPr>
      <w:r w:rsidRPr="266BC2B9">
        <w:rPr>
          <w:rFonts w:ascii="Century Gothic" w:eastAsia="Calibri" w:hAnsi="Century Gothic" w:cs="Times New Roman"/>
        </w:rPr>
        <w:t xml:space="preserve">Innovators are concerned that Ofgem appears to have reduced the level of NIA funding requested by network businesses and thereby reducing their ambition and potential innovation. Innovators stated that “we are entering a period of rapid change, where so much innovation is required” and suggested that the </w:t>
      </w:r>
      <w:proofErr w:type="gramStart"/>
      <w:r w:rsidRPr="266BC2B9">
        <w:rPr>
          <w:rFonts w:ascii="Century Gothic" w:eastAsia="Calibri" w:hAnsi="Century Gothic" w:cs="Times New Roman"/>
        </w:rPr>
        <w:t>regulator  consider</w:t>
      </w:r>
      <w:proofErr w:type="gramEnd"/>
      <w:r w:rsidRPr="266BC2B9">
        <w:rPr>
          <w:rFonts w:ascii="Century Gothic" w:eastAsia="Calibri" w:hAnsi="Century Gothic" w:cs="Times New Roman"/>
        </w:rPr>
        <w:t xml:space="preserve"> increasing NIA funding and not reducing it. Innovators believe that the </w:t>
      </w:r>
      <w:proofErr w:type="spellStart"/>
      <w:r w:rsidRPr="266BC2B9">
        <w:rPr>
          <w:rFonts w:ascii="Century Gothic" w:eastAsia="Calibri" w:hAnsi="Century Gothic" w:cs="Times New Roman"/>
        </w:rPr>
        <w:t>rreduction</w:t>
      </w:r>
      <w:proofErr w:type="spellEnd"/>
      <w:r w:rsidRPr="266BC2B9">
        <w:rPr>
          <w:rFonts w:ascii="Century Gothic" w:eastAsia="Calibri" w:hAnsi="Century Gothic" w:cs="Times New Roman"/>
        </w:rPr>
        <w:t xml:space="preserve"> in NIA funding will consequently reduce the level of innovation undertaken by the industry at a time when we need to see it increasing. </w:t>
      </w:r>
    </w:p>
    <w:p w14:paraId="37E2501A" w14:textId="559D5DCD" w:rsidR="00101FD1" w:rsidRPr="00BB2268" w:rsidRDefault="00101FD1" w:rsidP="009D6B88">
      <w:pPr>
        <w:rPr>
          <w:rFonts w:ascii="Century Gothic" w:eastAsia="Calibri" w:hAnsi="Century Gothic" w:cs="Times New Roman"/>
        </w:rPr>
      </w:pPr>
      <w:r w:rsidRPr="00BB2268">
        <w:rPr>
          <w:rFonts w:ascii="Century Gothic" w:eastAsia="Calibri" w:hAnsi="Century Gothic" w:cs="Times New Roman"/>
        </w:rPr>
        <w:t>However, innovators shared Ofgem’s concern regarding the challenge to deliver innovation into BAU. Innovators fully support Ofgem’s drive to ensure that network businesses become more effective in this area, which will create positive results for energy consumers and UK</w:t>
      </w:r>
      <w:r>
        <w:rPr>
          <w:rFonts w:ascii="Century Gothic" w:eastAsia="Calibri" w:hAnsi="Century Gothic" w:cs="Times New Roman"/>
        </w:rPr>
        <w:t xml:space="preserve"> </w:t>
      </w:r>
      <w:r w:rsidRPr="00BB2268">
        <w:rPr>
          <w:rFonts w:ascii="Century Gothic" w:eastAsia="Calibri" w:hAnsi="Century Gothic" w:cs="Times New Roman"/>
        </w:rPr>
        <w:t>plc.</w:t>
      </w:r>
      <w:r w:rsidR="00B64528">
        <w:rPr>
          <w:rFonts w:ascii="Century Gothic" w:eastAsia="Calibri" w:hAnsi="Century Gothic" w:cs="Times New Roman"/>
        </w:rPr>
        <w:br/>
      </w:r>
    </w:p>
    <w:p w14:paraId="0027C852" w14:textId="2C492456" w:rsidR="00101FD1" w:rsidRPr="00BB2268" w:rsidRDefault="00B64528" w:rsidP="009D6B88">
      <w:pPr>
        <w:rPr>
          <w:rFonts w:ascii="Century Gothic" w:eastAsia="Calibri" w:hAnsi="Century Gothic" w:cs="Times New Roman"/>
          <w:b/>
          <w:bCs/>
        </w:rPr>
      </w:pPr>
      <w:r w:rsidRPr="009D6B88">
        <w:rPr>
          <w:rFonts w:ascii="Century Gothic" w:eastAsia="Calibri" w:hAnsi="Century Gothic" w:cs="Times New Roman"/>
          <w:b/>
          <w:bCs/>
          <w:u w:val="single"/>
        </w:rPr>
        <w:t>Core Question</w:t>
      </w:r>
      <w:r>
        <w:rPr>
          <w:rFonts w:ascii="Century Gothic" w:eastAsia="Calibri" w:hAnsi="Century Gothic" w:cs="Times New Roman"/>
          <w:b/>
          <w:bCs/>
        </w:rPr>
        <w:t xml:space="preserve"> </w:t>
      </w:r>
      <w:r w:rsidR="00101FD1" w:rsidRPr="00BB2268">
        <w:rPr>
          <w:rFonts w:ascii="Century Gothic" w:eastAsia="Calibri" w:hAnsi="Century Gothic" w:cs="Times New Roman"/>
          <w:b/>
          <w:bCs/>
        </w:rPr>
        <w:t>9 – Do you agree with our proposed approach to setting NIA allowances?</w:t>
      </w:r>
    </w:p>
    <w:p w14:paraId="113CA139" w14:textId="77777777" w:rsidR="00101FD1" w:rsidRPr="00BB2268" w:rsidRDefault="00101FD1" w:rsidP="004A0D47">
      <w:pPr>
        <w:jc w:val="both"/>
        <w:rPr>
          <w:rFonts w:ascii="Century Gothic" w:eastAsia="Calibri" w:hAnsi="Century Gothic" w:cs="Times New Roman"/>
        </w:rPr>
      </w:pPr>
      <w:r w:rsidRPr="00BB2268">
        <w:rPr>
          <w:rFonts w:ascii="Century Gothic" w:eastAsia="Calibri" w:hAnsi="Century Gothic" w:cs="Times New Roman"/>
        </w:rPr>
        <w:t xml:space="preserve">The EIC and its Innovator Community welcome that NIA funding will remain available for the first 3 years of ED2 and that projects may continue for the full 5 years of the price control. However, whilst the community understands Ofgem’s desire to review the allowances at 3 years to align with GD3 and T3 developments, the review highlights </w:t>
      </w:r>
      <w:proofErr w:type="gramStart"/>
      <w:r w:rsidRPr="00BB2268">
        <w:rPr>
          <w:rFonts w:ascii="Century Gothic" w:eastAsia="Calibri" w:hAnsi="Century Gothic" w:cs="Times New Roman"/>
        </w:rPr>
        <w:t>a number of</w:t>
      </w:r>
      <w:proofErr w:type="gramEnd"/>
      <w:r w:rsidRPr="00BB2268">
        <w:rPr>
          <w:rFonts w:ascii="Century Gothic" w:eastAsia="Calibri" w:hAnsi="Century Gothic" w:cs="Times New Roman"/>
        </w:rPr>
        <w:t xml:space="preserve"> concerns.</w:t>
      </w:r>
    </w:p>
    <w:p w14:paraId="5E01BA5C" w14:textId="0D03C2EC" w:rsidR="00101FD1" w:rsidRPr="00221604" w:rsidRDefault="266BC2B9" w:rsidP="004A0D47">
      <w:pPr>
        <w:jc w:val="both"/>
        <w:rPr>
          <w:rFonts w:ascii="Century Gothic" w:eastAsia="Calibri" w:hAnsi="Century Gothic" w:cs="Times New Roman"/>
        </w:rPr>
      </w:pPr>
      <w:r w:rsidRPr="266BC2B9">
        <w:rPr>
          <w:rFonts w:ascii="Century Gothic" w:eastAsia="Calibri" w:hAnsi="Century Gothic" w:cs="Times New Roman"/>
        </w:rPr>
        <w:t>Innovators are concerned that the review may be an opportunity to remove NIA and focus on SIF, which as stated earlier is seen as prohibitive to smaller innovative companies being able to contribute to the energy systems transition.</w:t>
      </w:r>
    </w:p>
    <w:p w14:paraId="03573B8A" w14:textId="35368C48" w:rsidR="00101FD1" w:rsidRPr="00BB2268" w:rsidRDefault="00101FD1" w:rsidP="004A0D47">
      <w:pPr>
        <w:jc w:val="both"/>
        <w:rPr>
          <w:rFonts w:ascii="Century Gothic" w:eastAsia="Calibri" w:hAnsi="Century Gothic" w:cs="Times New Roman"/>
        </w:rPr>
      </w:pPr>
      <w:r w:rsidRPr="00BB2268">
        <w:rPr>
          <w:rFonts w:ascii="Century Gothic" w:eastAsia="Calibri" w:hAnsi="Century Gothic" w:cs="Times New Roman"/>
        </w:rPr>
        <w:lastRenderedPageBreak/>
        <w:t xml:space="preserve">Innovators </w:t>
      </w:r>
      <w:r>
        <w:rPr>
          <w:rFonts w:ascii="Century Gothic" w:eastAsia="Calibri" w:hAnsi="Century Gothic" w:cs="Times New Roman"/>
        </w:rPr>
        <w:t xml:space="preserve">also </w:t>
      </w:r>
      <w:r w:rsidRPr="00BB2268">
        <w:rPr>
          <w:rFonts w:ascii="Century Gothic" w:eastAsia="Calibri" w:hAnsi="Century Gothic" w:cs="Times New Roman"/>
        </w:rPr>
        <w:t>highlighted that the capacity within the network businesses to undertake a full review of the Network Innovation Allowance a</w:t>
      </w:r>
      <w:r>
        <w:rPr>
          <w:rFonts w:ascii="Century Gothic" w:eastAsia="Calibri" w:hAnsi="Century Gothic" w:cs="Times New Roman"/>
        </w:rPr>
        <w:t>fter</w:t>
      </w:r>
      <w:r w:rsidRPr="00BB2268">
        <w:rPr>
          <w:rFonts w:ascii="Century Gothic" w:eastAsia="Calibri" w:hAnsi="Century Gothic" w:cs="Times New Roman"/>
        </w:rPr>
        <w:t xml:space="preserve"> 3 years, would impact on the innovation pipeline. By way of illustration, the</w:t>
      </w:r>
      <w:r>
        <w:rPr>
          <w:rFonts w:ascii="Century Gothic" w:eastAsia="Calibri" w:hAnsi="Century Gothic" w:cs="Times New Roman"/>
        </w:rPr>
        <w:t xml:space="preserve"> RIIO2</w:t>
      </w:r>
      <w:r w:rsidRPr="00BB2268">
        <w:rPr>
          <w:rFonts w:ascii="Century Gothic" w:eastAsia="Calibri" w:hAnsi="Century Gothic" w:cs="Times New Roman"/>
        </w:rPr>
        <w:t xml:space="preserve"> business planning process within network businesses diverted resources away from developing </w:t>
      </w:r>
      <w:r>
        <w:rPr>
          <w:rFonts w:ascii="Century Gothic" w:eastAsia="Calibri" w:hAnsi="Century Gothic" w:cs="Times New Roman"/>
        </w:rPr>
        <w:t xml:space="preserve">and </w:t>
      </w:r>
      <w:r w:rsidRPr="00BB2268">
        <w:rPr>
          <w:rFonts w:ascii="Century Gothic" w:eastAsia="Calibri" w:hAnsi="Century Gothic" w:cs="Times New Roman"/>
        </w:rPr>
        <w:t>transferring</w:t>
      </w:r>
      <w:r>
        <w:rPr>
          <w:rFonts w:ascii="Century Gothic" w:eastAsia="Calibri" w:hAnsi="Century Gothic" w:cs="Times New Roman"/>
        </w:rPr>
        <w:t xml:space="preserve"> innovation</w:t>
      </w:r>
      <w:r w:rsidRPr="00BB2268">
        <w:rPr>
          <w:rFonts w:ascii="Century Gothic" w:eastAsia="Calibri" w:hAnsi="Century Gothic" w:cs="Times New Roman"/>
        </w:rPr>
        <w:t xml:space="preserve"> into BAU</w:t>
      </w:r>
      <w:r>
        <w:rPr>
          <w:rFonts w:ascii="Century Gothic" w:eastAsia="Calibri" w:hAnsi="Century Gothic" w:cs="Times New Roman"/>
        </w:rPr>
        <w:t>,</w:t>
      </w:r>
      <w:r w:rsidRPr="00BB2268">
        <w:rPr>
          <w:rFonts w:ascii="Century Gothic" w:eastAsia="Calibri" w:hAnsi="Century Gothic" w:cs="Times New Roman"/>
        </w:rPr>
        <w:t xml:space="preserve"> creating delays </w:t>
      </w:r>
      <w:r>
        <w:rPr>
          <w:rFonts w:ascii="Century Gothic" w:eastAsia="Calibri" w:hAnsi="Century Gothic" w:cs="Times New Roman"/>
        </w:rPr>
        <w:t>and</w:t>
      </w:r>
      <w:r w:rsidRPr="00BB2268">
        <w:rPr>
          <w:rFonts w:ascii="Century Gothic" w:eastAsia="Calibri" w:hAnsi="Century Gothic" w:cs="Times New Roman"/>
        </w:rPr>
        <w:t xml:space="preserve"> challenge</w:t>
      </w:r>
      <w:r>
        <w:rPr>
          <w:rFonts w:ascii="Century Gothic" w:eastAsia="Calibri" w:hAnsi="Century Gothic" w:cs="Times New Roman"/>
        </w:rPr>
        <w:t>s</w:t>
      </w:r>
      <w:r w:rsidRPr="00BB2268">
        <w:rPr>
          <w:rFonts w:ascii="Century Gothic" w:eastAsia="Calibri" w:hAnsi="Century Gothic" w:cs="Times New Roman"/>
        </w:rPr>
        <w:t xml:space="preserve"> to SMEs working </w:t>
      </w:r>
      <w:r>
        <w:rPr>
          <w:rFonts w:ascii="Century Gothic" w:eastAsia="Calibri" w:hAnsi="Century Gothic" w:cs="Times New Roman"/>
        </w:rPr>
        <w:t xml:space="preserve">in </w:t>
      </w:r>
      <w:r w:rsidRPr="00BB2268">
        <w:rPr>
          <w:rFonts w:ascii="Century Gothic" w:eastAsia="Calibri" w:hAnsi="Century Gothic" w:cs="Times New Roman"/>
        </w:rPr>
        <w:t>the sector.</w:t>
      </w:r>
    </w:p>
    <w:p w14:paraId="4493DA33" w14:textId="1B2AF340" w:rsidR="00101FD1" w:rsidRPr="00BB2268" w:rsidRDefault="00101FD1" w:rsidP="004A0D47">
      <w:pPr>
        <w:jc w:val="both"/>
        <w:rPr>
          <w:rFonts w:ascii="Century Gothic" w:eastAsia="Calibri" w:hAnsi="Century Gothic" w:cs="Times New Roman"/>
        </w:rPr>
      </w:pPr>
      <w:r w:rsidRPr="00BB2268">
        <w:rPr>
          <w:rFonts w:ascii="Century Gothic" w:eastAsia="Calibri" w:hAnsi="Century Gothic" w:cs="Times New Roman"/>
        </w:rPr>
        <w:t>The Innovator Panel were unanimous in their agreement that the regulator should not reduce NIA allowances as this</w:t>
      </w:r>
      <w:r>
        <w:rPr>
          <w:rFonts w:ascii="Century Gothic" w:eastAsia="Calibri" w:hAnsi="Century Gothic" w:cs="Times New Roman"/>
        </w:rPr>
        <w:t xml:space="preserve"> would</w:t>
      </w:r>
      <w:r w:rsidRPr="00BB2268">
        <w:rPr>
          <w:rFonts w:ascii="Century Gothic" w:eastAsia="Calibri" w:hAnsi="Century Gothic" w:cs="Times New Roman"/>
        </w:rPr>
        <w:t xml:space="preserve"> impact the ambition of networks</w:t>
      </w:r>
      <w:r>
        <w:rPr>
          <w:rFonts w:ascii="Century Gothic" w:eastAsia="Calibri" w:hAnsi="Century Gothic" w:cs="Times New Roman"/>
        </w:rPr>
        <w:t>,</w:t>
      </w:r>
      <w:r w:rsidRPr="00BB2268">
        <w:rPr>
          <w:rFonts w:ascii="Century Gothic" w:eastAsia="Calibri" w:hAnsi="Century Gothic" w:cs="Times New Roman"/>
        </w:rPr>
        <w:t xml:space="preserve"> and</w:t>
      </w:r>
      <w:r>
        <w:rPr>
          <w:rFonts w:ascii="Century Gothic" w:eastAsia="Calibri" w:hAnsi="Century Gothic" w:cs="Times New Roman"/>
        </w:rPr>
        <w:t xml:space="preserve"> that energies should be focussed </w:t>
      </w:r>
      <w:r w:rsidRPr="00BB2268">
        <w:rPr>
          <w:rFonts w:ascii="Century Gothic" w:eastAsia="Calibri" w:hAnsi="Century Gothic" w:cs="Times New Roman"/>
        </w:rPr>
        <w:t>on supporting the industry in developing effective benefits</w:t>
      </w:r>
      <w:r>
        <w:rPr>
          <w:rFonts w:ascii="Century Gothic" w:eastAsia="Calibri" w:hAnsi="Century Gothic" w:cs="Times New Roman"/>
        </w:rPr>
        <w:t xml:space="preserve"> monitoring</w:t>
      </w:r>
      <w:r w:rsidRPr="00BB2268">
        <w:rPr>
          <w:rFonts w:ascii="Century Gothic" w:eastAsia="Calibri" w:hAnsi="Century Gothic" w:cs="Times New Roman"/>
        </w:rPr>
        <w:t xml:space="preserve"> and BAU roll-out process</w:t>
      </w:r>
      <w:r>
        <w:rPr>
          <w:rFonts w:ascii="Century Gothic" w:eastAsia="Calibri" w:hAnsi="Century Gothic" w:cs="Times New Roman"/>
        </w:rPr>
        <w:t>es</w:t>
      </w:r>
      <w:r w:rsidRPr="00BB2268">
        <w:rPr>
          <w:rFonts w:ascii="Century Gothic" w:eastAsia="Calibri" w:hAnsi="Century Gothic" w:cs="Times New Roman"/>
        </w:rPr>
        <w:t xml:space="preserve">. </w:t>
      </w:r>
    </w:p>
    <w:p w14:paraId="7726B1C9" w14:textId="4EA8D83D" w:rsidR="00101FD1" w:rsidRDefault="266BC2B9" w:rsidP="00101FD1">
      <w:pPr>
        <w:jc w:val="both"/>
        <w:rPr>
          <w:rFonts w:ascii="Century Gothic" w:eastAsia="Calibri" w:hAnsi="Century Gothic" w:cs="Times New Roman"/>
        </w:rPr>
      </w:pPr>
      <w:r w:rsidRPr="266BC2B9">
        <w:rPr>
          <w:rFonts w:ascii="Century Gothic" w:eastAsia="Calibri" w:hAnsi="Century Gothic" w:cs="Times New Roman"/>
        </w:rPr>
        <w:t>The overall uncertainly created by a mid-term review will impact the confidence of SMEs to work with the industry and likewise will create uncertainty within the network businesses. Experience has shown that this may have a detrimental impact on the volume and ambition of innovation. At such a critical time, the Innovator Impact Panel are asking Ofgem for certainty that the NIA funding will be available for the 5 years of price control (</w:t>
      </w:r>
      <w:proofErr w:type="gramStart"/>
      <w:r w:rsidRPr="266BC2B9">
        <w:rPr>
          <w:rFonts w:ascii="Century Gothic" w:eastAsia="Calibri" w:hAnsi="Century Gothic" w:cs="Times New Roman"/>
        </w:rPr>
        <w:t>i.e.</w:t>
      </w:r>
      <w:proofErr w:type="gramEnd"/>
      <w:r w:rsidRPr="266BC2B9">
        <w:rPr>
          <w:rFonts w:ascii="Century Gothic" w:eastAsia="Calibri" w:hAnsi="Century Gothic" w:cs="Times New Roman"/>
        </w:rPr>
        <w:t xml:space="preserve"> NIA funding also available for regulatory years 4 and 5), as this will in turn deliver greater security for network businesses and increase innovation from the Innovator Community. Clarity as this stage is key.</w:t>
      </w:r>
    </w:p>
    <w:p w14:paraId="227F755D" w14:textId="77777777" w:rsidR="00101FD1" w:rsidRPr="00BB2268" w:rsidRDefault="00101FD1" w:rsidP="004A0D47">
      <w:pPr>
        <w:jc w:val="both"/>
        <w:rPr>
          <w:rFonts w:ascii="Century Gothic" w:eastAsia="Calibri" w:hAnsi="Century Gothic" w:cs="Times New Roman"/>
        </w:rPr>
      </w:pPr>
    </w:p>
    <w:p w14:paraId="0EC648AE" w14:textId="6067F9C1" w:rsidR="00101FD1" w:rsidRPr="00BB2268" w:rsidRDefault="00B64528" w:rsidP="004A0D47">
      <w:pPr>
        <w:jc w:val="both"/>
        <w:rPr>
          <w:rFonts w:ascii="Century Gothic" w:eastAsia="Calibri" w:hAnsi="Century Gothic" w:cs="Times New Roman"/>
          <w:b/>
          <w:bCs/>
        </w:rPr>
      </w:pPr>
      <w:r w:rsidRPr="009D6B88">
        <w:rPr>
          <w:rFonts w:ascii="Century Gothic" w:eastAsia="Calibri" w:hAnsi="Century Gothic" w:cs="Times New Roman"/>
          <w:b/>
          <w:bCs/>
          <w:u w:val="single"/>
        </w:rPr>
        <w:t xml:space="preserve">Core </w:t>
      </w:r>
      <w:r w:rsidR="00101FD1" w:rsidRPr="009D6B88">
        <w:rPr>
          <w:rFonts w:ascii="Century Gothic" w:eastAsia="Calibri" w:hAnsi="Century Gothic" w:cs="Times New Roman"/>
          <w:b/>
          <w:bCs/>
          <w:u w:val="single"/>
        </w:rPr>
        <w:t>Question 10</w:t>
      </w:r>
      <w:r w:rsidR="00101FD1" w:rsidRPr="00BB2268">
        <w:rPr>
          <w:rFonts w:ascii="Century Gothic" w:eastAsia="Calibri" w:hAnsi="Century Gothic" w:cs="Times New Roman"/>
          <w:b/>
          <w:bCs/>
        </w:rPr>
        <w:t xml:space="preserve"> – Do you agree with our proposal to allow DNOs to carry over any unspent NIA funds from the final year of RIIO - EDI into the first year of RIIO – ED2?</w:t>
      </w:r>
    </w:p>
    <w:p w14:paraId="67DEF128" w14:textId="09D7773B" w:rsidR="00101FD1" w:rsidRDefault="00101FD1" w:rsidP="004A0D47">
      <w:pPr>
        <w:jc w:val="both"/>
        <w:rPr>
          <w:rFonts w:ascii="Century Gothic" w:eastAsia="Calibri" w:hAnsi="Century Gothic" w:cs="Times New Roman"/>
        </w:rPr>
      </w:pPr>
      <w:r w:rsidRPr="00BB2268">
        <w:rPr>
          <w:rFonts w:ascii="Century Gothic" w:eastAsia="Calibri" w:hAnsi="Century Gothic" w:cs="Times New Roman"/>
        </w:rPr>
        <w:t>The Innovator Impact Panel and the wider Innovator Community fully support, endorse and welcome the approach being proposed by Ofgem in allowing projects to run for a further year to enable a completion. This will ensure that in this final year of ED1 innovation will not be artificially curtailed and projects will be able to roll forward into RIIO2.</w:t>
      </w:r>
    </w:p>
    <w:p w14:paraId="2A05B73A" w14:textId="5F1BE90E" w:rsidR="009D6B88" w:rsidRDefault="009D6B88" w:rsidP="004A0D47">
      <w:pPr>
        <w:jc w:val="both"/>
        <w:rPr>
          <w:rFonts w:ascii="Century Gothic" w:eastAsia="Calibri" w:hAnsi="Century Gothic" w:cs="Times New Roman"/>
        </w:rPr>
      </w:pPr>
    </w:p>
    <w:p w14:paraId="4CC8A809" w14:textId="5D9261CA" w:rsidR="009D6B88" w:rsidRPr="009D6B88" w:rsidRDefault="266BC2B9" w:rsidP="004A0D47">
      <w:pPr>
        <w:jc w:val="both"/>
        <w:rPr>
          <w:rFonts w:ascii="Century Gothic" w:eastAsia="Calibri" w:hAnsi="Century Gothic" w:cs="Times New Roman"/>
        </w:rPr>
      </w:pPr>
      <w:r w:rsidRPr="266BC2B9">
        <w:rPr>
          <w:rFonts w:ascii="Century Gothic" w:eastAsia="Calibri" w:hAnsi="Century Gothic" w:cs="Times New Roman"/>
        </w:rPr>
        <w:t xml:space="preserve">Thank you once again for inviting the EIC and its Innovator </w:t>
      </w:r>
      <w:proofErr w:type="gramStart"/>
      <w:r w:rsidRPr="266BC2B9">
        <w:rPr>
          <w:rFonts w:ascii="Century Gothic" w:eastAsia="Calibri" w:hAnsi="Century Gothic" w:cs="Times New Roman"/>
        </w:rPr>
        <w:t>Community  to</w:t>
      </w:r>
      <w:proofErr w:type="gramEnd"/>
      <w:r w:rsidRPr="266BC2B9">
        <w:rPr>
          <w:rFonts w:ascii="Century Gothic" w:eastAsia="Calibri" w:hAnsi="Century Gothic" w:cs="Times New Roman"/>
        </w:rPr>
        <w:t xml:space="preserve"> contribute to the consultation. Should you require any further information or insight from our Innovator Community please do let me know and we would be happy to facilitate more detailed conversations and insights as required.</w:t>
      </w:r>
    </w:p>
    <w:p w14:paraId="3CADB975" w14:textId="391E8E04" w:rsidR="009D6B88" w:rsidRPr="009D6B88" w:rsidRDefault="009D6B88" w:rsidP="004A0D47">
      <w:pPr>
        <w:jc w:val="both"/>
        <w:rPr>
          <w:rFonts w:ascii="Century Gothic" w:eastAsia="Calibri" w:hAnsi="Century Gothic" w:cs="Times New Roman"/>
        </w:rPr>
      </w:pPr>
    </w:p>
    <w:p w14:paraId="643B0ADD" w14:textId="63A80E94" w:rsidR="009D6B88" w:rsidRPr="009D6B88" w:rsidRDefault="009D6B88" w:rsidP="004A0D47">
      <w:pPr>
        <w:jc w:val="both"/>
        <w:rPr>
          <w:rFonts w:ascii="Century Gothic" w:eastAsia="Calibri" w:hAnsi="Century Gothic" w:cs="Times New Roman"/>
        </w:rPr>
      </w:pPr>
      <w:r w:rsidRPr="009D6B88">
        <w:rPr>
          <w:rFonts w:ascii="Century Gothic" w:eastAsia="Calibri" w:hAnsi="Century Gothic" w:cs="Times New Roman"/>
        </w:rPr>
        <w:t>Yours sincerely</w:t>
      </w:r>
    </w:p>
    <w:p w14:paraId="41443FB2" w14:textId="1112236F" w:rsidR="009D6B88" w:rsidRPr="009D6B88" w:rsidRDefault="009D6B88" w:rsidP="004A0D47">
      <w:pPr>
        <w:jc w:val="both"/>
        <w:rPr>
          <w:rFonts w:ascii="Century Gothic" w:eastAsia="Calibri" w:hAnsi="Century Gothic" w:cs="Times New Roman"/>
        </w:rPr>
      </w:pPr>
    </w:p>
    <w:p w14:paraId="7FE60860" w14:textId="054B8A44" w:rsidR="009D6B88" w:rsidRPr="009D6B88" w:rsidRDefault="009D6B88" w:rsidP="004A0D47">
      <w:pPr>
        <w:jc w:val="both"/>
        <w:rPr>
          <w:rFonts w:ascii="Century Gothic" w:eastAsia="Calibri" w:hAnsi="Century Gothic" w:cs="Times New Roman"/>
        </w:rPr>
      </w:pPr>
      <w:r w:rsidRPr="009D6B88">
        <w:rPr>
          <w:rFonts w:ascii="Century Gothic" w:eastAsia="Calibri" w:hAnsi="Century Gothic" w:cs="Times New Roman"/>
        </w:rPr>
        <w:t xml:space="preserve">Denise Massey </w:t>
      </w:r>
    </w:p>
    <w:p w14:paraId="12ED4599" w14:textId="44539ABA" w:rsidR="009D6B88" w:rsidRPr="009D6B88" w:rsidRDefault="009D6B88" w:rsidP="004A0D47">
      <w:pPr>
        <w:jc w:val="both"/>
        <w:rPr>
          <w:rFonts w:ascii="Century Gothic" w:eastAsia="Calibri" w:hAnsi="Century Gothic" w:cs="Times New Roman"/>
        </w:rPr>
      </w:pPr>
      <w:r w:rsidRPr="009D6B88">
        <w:rPr>
          <w:rFonts w:ascii="Century Gothic" w:eastAsia="Calibri" w:hAnsi="Century Gothic" w:cs="Times New Roman"/>
        </w:rPr>
        <w:t>Managing Director Energy Innovation Centre Ltd</w:t>
      </w:r>
    </w:p>
    <w:p w14:paraId="566398AD" w14:textId="2D315BA0" w:rsidR="009D6B88" w:rsidRPr="009D6B88" w:rsidRDefault="009D6B88" w:rsidP="004A0D47">
      <w:pPr>
        <w:jc w:val="both"/>
        <w:rPr>
          <w:rFonts w:ascii="Century Gothic" w:eastAsia="Calibri" w:hAnsi="Century Gothic" w:cs="Times New Roman"/>
        </w:rPr>
      </w:pPr>
      <w:r w:rsidRPr="009D6B88">
        <w:rPr>
          <w:rFonts w:ascii="Century Gothic" w:eastAsia="Calibri" w:hAnsi="Century Gothic" w:cs="Times New Roman"/>
        </w:rPr>
        <w:t>25 August 2022</w:t>
      </w:r>
    </w:p>
    <w:p w14:paraId="6ED68357" w14:textId="04637E34" w:rsidR="00101FD1" w:rsidRPr="009D6B88" w:rsidRDefault="00101FD1" w:rsidP="004A0D47">
      <w:pPr>
        <w:ind w:left="-851"/>
        <w:rPr>
          <w:rFonts w:ascii="Franklin Gothic Book" w:hAnsi="Franklin Gothic Book"/>
        </w:rPr>
      </w:pPr>
    </w:p>
    <w:p w14:paraId="77ED55D2" w14:textId="77777777" w:rsidR="009D6B88" w:rsidRPr="009D6B88" w:rsidRDefault="009D6B88" w:rsidP="004A0D47">
      <w:pPr>
        <w:ind w:left="-851"/>
        <w:rPr>
          <w:rFonts w:ascii="Franklin Gothic Book" w:hAnsi="Franklin Gothic Book"/>
        </w:rPr>
      </w:pPr>
    </w:p>
    <w:p w14:paraId="36798B74" w14:textId="77777777" w:rsidR="00101FD1" w:rsidRDefault="00101FD1" w:rsidP="004A0D47">
      <w:pPr>
        <w:ind w:left="-851"/>
        <w:rPr>
          <w:rFonts w:ascii="Franklin Gothic Book" w:hAnsi="Franklin Gothic Book"/>
        </w:rPr>
      </w:pPr>
    </w:p>
    <w:p w14:paraId="6FE7BBE0" w14:textId="77777777" w:rsidR="00101FD1" w:rsidRDefault="00101FD1" w:rsidP="00101FD1"/>
    <w:p w14:paraId="21EE3A8C" w14:textId="77777777" w:rsidR="001E718E" w:rsidRDefault="001E718E" w:rsidP="00101FD1">
      <w:pPr>
        <w:rPr>
          <w:rFonts w:ascii="Century Gothic" w:hAnsi="Century Gothic"/>
        </w:rPr>
      </w:pPr>
    </w:p>
    <w:p w14:paraId="3760E3C4" w14:textId="77777777" w:rsidR="00757A71" w:rsidRDefault="00757A71" w:rsidP="00101FD1">
      <w:pPr>
        <w:rPr>
          <w:rFonts w:ascii="Century Gothic" w:hAnsi="Century Gothic"/>
        </w:rPr>
      </w:pPr>
    </w:p>
    <w:p w14:paraId="656F3EAB" w14:textId="1E792694" w:rsidR="00704651" w:rsidRPr="00CB2262" w:rsidRDefault="00704651" w:rsidP="00101FD1">
      <w:pPr>
        <w:rPr>
          <w:rFonts w:ascii="Century Gothic" w:hAnsi="Century Gothic"/>
        </w:rPr>
      </w:pPr>
    </w:p>
    <w:p w14:paraId="03436DF0" w14:textId="77777777" w:rsidR="00CA27D4" w:rsidRPr="00CB2262" w:rsidRDefault="00CA27D4" w:rsidP="00101FD1">
      <w:pPr>
        <w:rPr>
          <w:rFonts w:ascii="Century Gothic" w:hAnsi="Century Gothic"/>
        </w:rPr>
      </w:pPr>
    </w:p>
    <w:p w14:paraId="232545CF" w14:textId="77777777" w:rsidR="004E3F32" w:rsidRPr="00CE0156" w:rsidRDefault="004E3F32" w:rsidP="00101FD1"/>
    <w:sectPr w:rsidR="004E3F32" w:rsidRPr="00CE0156" w:rsidSect="00B32B63">
      <w:headerReference w:type="default" r:id="rId10"/>
      <w:footerReference w:type="default" r:id="rId11"/>
      <w:headerReference w:type="first" r:id="rId12"/>
      <w:footerReference w:type="firs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4D67F" w14:textId="77777777" w:rsidR="00665DE6" w:rsidRDefault="00665DE6" w:rsidP="00376FBD">
      <w:pPr>
        <w:spacing w:after="0" w:line="240" w:lineRule="auto"/>
      </w:pPr>
      <w:r>
        <w:separator/>
      </w:r>
    </w:p>
  </w:endnote>
  <w:endnote w:type="continuationSeparator" w:id="0">
    <w:p w14:paraId="40077751" w14:textId="77777777" w:rsidR="00665DE6" w:rsidRDefault="00665DE6" w:rsidP="00376FBD">
      <w:pPr>
        <w:spacing w:after="0" w:line="240" w:lineRule="auto"/>
      </w:pPr>
      <w:r>
        <w:continuationSeparator/>
      </w:r>
    </w:p>
  </w:endnote>
  <w:endnote w:type="continuationNotice" w:id="1">
    <w:p w14:paraId="3BC38B1D" w14:textId="77777777" w:rsidR="00665DE6" w:rsidRDefault="00665DE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6584151"/>
      <w:docPartObj>
        <w:docPartGallery w:val="Page Numbers (Bottom of Page)"/>
        <w:docPartUnique/>
      </w:docPartObj>
    </w:sdtPr>
    <w:sdtEndPr>
      <w:rPr>
        <w:noProof/>
      </w:rPr>
    </w:sdtEndPr>
    <w:sdtContent>
      <w:p w14:paraId="41BD266D" w14:textId="77777777" w:rsidR="00B32B63" w:rsidRPr="00B32B63" w:rsidRDefault="00B32B63" w:rsidP="00B32B63">
        <w:pPr>
          <w:pStyle w:val="Footer"/>
          <w:rPr>
            <w:rFonts w:ascii="Century Gothic" w:hAnsi="Century Gothic"/>
            <w:sz w:val="18"/>
            <w:szCs w:val="18"/>
          </w:rPr>
        </w:pPr>
        <w:r w:rsidRPr="00B32B63">
          <w:rPr>
            <w:rFonts w:ascii="Century Gothic" w:hAnsi="Century Gothic"/>
            <w:color w:val="000000"/>
            <w:sz w:val="18"/>
            <w:szCs w:val="18"/>
          </w:rPr>
          <w:t>© EIC (Energy Innovation Centre Ltd)</w:t>
        </w:r>
      </w:p>
      <w:p w14:paraId="10780C47" w14:textId="77777777" w:rsidR="00B32B63" w:rsidRPr="00B32B63" w:rsidRDefault="00B32B63" w:rsidP="00B32B63">
        <w:pPr>
          <w:pStyle w:val="Footer"/>
          <w:jc w:val="right"/>
        </w:pPr>
        <w:r w:rsidRPr="00B32B63">
          <w:rPr>
            <w:rFonts w:ascii="Century Gothic" w:hAnsi="Century Gothic"/>
            <w:noProof/>
            <w:sz w:val="18"/>
            <w:szCs w:val="18"/>
            <w:lang w:eastAsia="en-GB"/>
          </w:rPr>
          <mc:AlternateContent>
            <mc:Choice Requires="wps">
              <w:drawing>
                <wp:anchor distT="0" distB="0" distL="114300" distR="114300" simplePos="0" relativeHeight="251658244" behindDoc="0" locked="0" layoutInCell="1" allowOverlap="1" wp14:anchorId="5F160ECA" wp14:editId="591ACCCD">
                  <wp:simplePos x="0" y="0"/>
                  <wp:positionH relativeFrom="margin">
                    <wp:align>center</wp:align>
                  </wp:positionH>
                  <wp:positionV relativeFrom="paragraph">
                    <wp:posOffset>328930</wp:posOffset>
                  </wp:positionV>
                  <wp:extent cx="8473440" cy="529590"/>
                  <wp:effectExtent l="0" t="0" r="3810" b="3810"/>
                  <wp:wrapNone/>
                  <wp:docPr id="11" name="Rectangle 11"/>
                  <wp:cNvGraphicFramePr/>
                  <a:graphic xmlns:a="http://schemas.openxmlformats.org/drawingml/2006/main">
                    <a:graphicData uri="http://schemas.microsoft.com/office/word/2010/wordprocessingShape">
                      <wps:wsp>
                        <wps:cNvSpPr/>
                        <wps:spPr>
                          <a:xfrm>
                            <a:off x="0" y="0"/>
                            <a:ext cx="8473440" cy="529590"/>
                          </a:xfrm>
                          <a:prstGeom prst="rect">
                            <a:avLst/>
                          </a:prstGeom>
                          <a:solidFill>
                            <a:srgbClr val="0114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1" style="position:absolute;margin-left:0;margin-top:25.9pt;width:667.2pt;height:41.7pt;z-index:2516582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color="#011433" stroked="f" strokeweight="1pt" w14:anchorId="2216C2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">
                  <w10:wrap anchorx="margin"/>
                </v:rect>
              </w:pict>
            </mc:Fallback>
          </mc:AlternateContent>
        </w:r>
        <w:r>
          <w:fldChar w:fldCharType="begin"/>
        </w:r>
        <w:r>
          <w:instrText xml:space="preserve"> PAGE   \* MERGEFORMAT </w:instrText>
        </w:r>
        <w:r>
          <w:fldChar w:fldCharType="separate"/>
        </w:r>
        <w:r>
          <w:rPr>
            <w:noProof/>
          </w:rP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48289" w14:textId="77777777" w:rsidR="00B32B63" w:rsidRDefault="00B32B63" w:rsidP="00B32B63">
    <w:pPr>
      <w:pStyle w:val="Footer"/>
    </w:pPr>
    <w:r>
      <w:tab/>
    </w:r>
  </w:p>
  <w:p w14:paraId="68ACB0EF" w14:textId="1F823B77" w:rsidR="00B32B63" w:rsidRPr="00B32B63" w:rsidRDefault="00B32B63" w:rsidP="00130E01">
    <w:pPr>
      <w:pStyle w:val="Footer"/>
    </w:pPr>
    <w:r w:rsidRPr="00B32B63">
      <w:rPr>
        <w:rFonts w:ascii="Century Gothic" w:hAnsi="Century Gothic"/>
        <w:color w:val="000000"/>
        <w:sz w:val="18"/>
        <w:szCs w:val="18"/>
      </w:rPr>
      <w:t>© EIC (Energy Innovation Centre Ltd)</w:t>
    </w:r>
    <w:r w:rsidR="00F503D9">
      <w:rPr>
        <w:rFonts w:ascii="Century Gothic" w:hAnsi="Century Gothic"/>
        <w:color w:val="000000"/>
        <w:sz w:val="18"/>
        <w:szCs w:val="18"/>
      </w:rPr>
      <w:tab/>
    </w:r>
    <w:r w:rsidR="00F503D9">
      <w:rPr>
        <w:rFonts w:ascii="Century Gothic" w:hAnsi="Century Gothic"/>
        <w:color w:val="000000"/>
        <w:sz w:val="18"/>
        <w:szCs w:val="18"/>
      </w:rPr>
      <w:tab/>
    </w:r>
    <w:r w:rsidRPr="00B32B63">
      <w:rPr>
        <w:rFonts w:ascii="Century Gothic" w:hAnsi="Century Gothic"/>
        <w:noProof/>
        <w:sz w:val="18"/>
        <w:szCs w:val="18"/>
        <w:lang w:eastAsia="en-GB"/>
      </w:rPr>
      <mc:AlternateContent>
        <mc:Choice Requires="wps">
          <w:drawing>
            <wp:anchor distT="0" distB="0" distL="114300" distR="114300" simplePos="0" relativeHeight="251673600" behindDoc="0" locked="0" layoutInCell="1" allowOverlap="1" wp14:anchorId="4B6E908A" wp14:editId="6AC2890F">
              <wp:simplePos x="0" y="0"/>
              <wp:positionH relativeFrom="margin">
                <wp:align>center</wp:align>
              </wp:positionH>
              <wp:positionV relativeFrom="paragraph">
                <wp:posOffset>328930</wp:posOffset>
              </wp:positionV>
              <wp:extent cx="8473440" cy="529590"/>
              <wp:effectExtent l="0" t="0" r="3810" b="3810"/>
              <wp:wrapNone/>
              <wp:docPr id="12" name="Rectangle 12"/>
              <wp:cNvGraphicFramePr/>
              <a:graphic xmlns:a="http://schemas.openxmlformats.org/drawingml/2006/main">
                <a:graphicData uri="http://schemas.microsoft.com/office/word/2010/wordprocessingShape">
                  <wps:wsp>
                    <wps:cNvSpPr/>
                    <wps:spPr>
                      <a:xfrm>
                        <a:off x="0" y="0"/>
                        <a:ext cx="8473440" cy="529590"/>
                      </a:xfrm>
                      <a:prstGeom prst="rect">
                        <a:avLst/>
                      </a:prstGeom>
                      <a:solidFill>
                        <a:srgbClr val="0114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12" style="position:absolute;margin-left:0;margin-top:25.9pt;width:667.2pt;height:41.7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color="#011433" stroked="f" strokeweight="1pt" w14:anchorId="013F5B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">
              <w10:wrap anchorx="margin"/>
            </v:rect>
          </w:pict>
        </mc:Fallback>
      </mc:AlternateContent>
    </w:r>
    <w:r>
      <w:fldChar w:fldCharType="begin"/>
    </w:r>
    <w:r>
      <w:instrText xml:space="preserve"> PAGE   \* MERGEFORMAT </w:instrText>
    </w:r>
    <w:r>
      <w:fldChar w:fldCharType="separate"/>
    </w:r>
    <w:r w:rsidR="00F503D9">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BB8DD" w14:textId="77777777" w:rsidR="00665DE6" w:rsidRDefault="00665DE6" w:rsidP="00376FBD">
      <w:pPr>
        <w:spacing w:after="0" w:line="240" w:lineRule="auto"/>
      </w:pPr>
      <w:r>
        <w:separator/>
      </w:r>
    </w:p>
  </w:footnote>
  <w:footnote w:type="continuationSeparator" w:id="0">
    <w:p w14:paraId="1FBEB229" w14:textId="77777777" w:rsidR="00665DE6" w:rsidRDefault="00665DE6" w:rsidP="00376FBD">
      <w:pPr>
        <w:spacing w:after="0" w:line="240" w:lineRule="auto"/>
      </w:pPr>
      <w:r>
        <w:continuationSeparator/>
      </w:r>
    </w:p>
  </w:footnote>
  <w:footnote w:type="continuationNotice" w:id="1">
    <w:p w14:paraId="45183ACA" w14:textId="77777777" w:rsidR="00665DE6" w:rsidRDefault="00665DE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69FAE" w14:textId="77777777" w:rsidR="00376FBD" w:rsidRPr="00B32B63" w:rsidRDefault="00B32B63" w:rsidP="00B32B63">
    <w:pPr>
      <w:pStyle w:val="Header"/>
      <w:rPr>
        <w:rFonts w:ascii="Century Gothic" w:hAnsi="Century Gothic"/>
        <w:color w:val="767171" w:themeColor="background2" w:themeShade="80"/>
        <w:sz w:val="14"/>
      </w:rPr>
    </w:pPr>
    <w:r>
      <w:rPr>
        <w:noProof/>
        <w:lang w:eastAsia="en-GB"/>
      </w:rPr>
      <mc:AlternateContent>
        <mc:Choice Requires="wps">
          <w:drawing>
            <wp:anchor distT="0" distB="0" distL="114300" distR="114300" simplePos="0" relativeHeight="251658243" behindDoc="0" locked="0" layoutInCell="1" allowOverlap="1" wp14:anchorId="12F57042" wp14:editId="4410F1D8">
              <wp:simplePos x="0" y="0"/>
              <wp:positionH relativeFrom="margin">
                <wp:align>center</wp:align>
              </wp:positionH>
              <wp:positionV relativeFrom="paragraph">
                <wp:posOffset>-704850</wp:posOffset>
              </wp:positionV>
              <wp:extent cx="8473440" cy="529590"/>
              <wp:effectExtent l="0" t="0" r="3810" b="3810"/>
              <wp:wrapNone/>
              <wp:docPr id="9" name="Rectangle 9"/>
              <wp:cNvGraphicFramePr/>
              <a:graphic xmlns:a="http://schemas.openxmlformats.org/drawingml/2006/main">
                <a:graphicData uri="http://schemas.microsoft.com/office/word/2010/wordprocessingShape">
                  <wps:wsp>
                    <wps:cNvSpPr/>
                    <wps:spPr>
                      <a:xfrm>
                        <a:off x="0" y="0"/>
                        <a:ext cx="8473440" cy="529590"/>
                      </a:xfrm>
                      <a:prstGeom prst="rect">
                        <a:avLst/>
                      </a:prstGeom>
                      <a:solidFill>
                        <a:srgbClr val="0114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9" style="position:absolute;margin-left:0;margin-top:-55.5pt;width:667.2pt;height:41.7pt;z-index:251658243;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color="#011433" stroked="f" strokeweight="1pt" w14:anchorId="6CE089E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">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2029" w14:textId="4BEF03CB" w:rsidR="00B32B63" w:rsidRPr="00376FBD" w:rsidRDefault="00757A71" w:rsidP="00B32B63">
    <w:pPr>
      <w:pStyle w:val="Header"/>
      <w:ind w:left="5760"/>
      <w:rPr>
        <w:rFonts w:ascii="Century Gothic" w:hAnsi="Century Gothic"/>
        <w:color w:val="767171" w:themeColor="background2" w:themeShade="80"/>
        <w:sz w:val="14"/>
      </w:rPr>
    </w:pPr>
    <w:r>
      <w:rPr>
        <w:noProof/>
        <w:lang w:eastAsia="en-GB"/>
      </w:rPr>
      <w:drawing>
        <wp:anchor distT="0" distB="0" distL="114300" distR="114300" simplePos="0" relativeHeight="251674624" behindDoc="1" locked="0" layoutInCell="1" allowOverlap="1" wp14:anchorId="27303D7B" wp14:editId="075F311D">
          <wp:simplePos x="0" y="0"/>
          <wp:positionH relativeFrom="column">
            <wp:posOffset>-719928</wp:posOffset>
          </wp:positionH>
          <wp:positionV relativeFrom="paragraph">
            <wp:posOffset>-154305</wp:posOffset>
          </wp:positionV>
          <wp:extent cx="2095500" cy="1171575"/>
          <wp:effectExtent l="0" t="0" r="0" b="9525"/>
          <wp:wrapTight wrapText="bothSides">
            <wp:wrapPolygon edited="0">
              <wp:start x="7069" y="1756"/>
              <wp:lineTo x="982" y="2459"/>
              <wp:lineTo x="196" y="3161"/>
              <wp:lineTo x="196" y="15102"/>
              <wp:lineTo x="589" y="20722"/>
              <wp:lineTo x="1375" y="21424"/>
              <wp:lineTo x="2553" y="21424"/>
              <wp:lineTo x="4124" y="21424"/>
              <wp:lineTo x="21404" y="21073"/>
              <wp:lineTo x="21404" y="18966"/>
              <wp:lineTo x="10407" y="8078"/>
              <wp:lineTo x="15120" y="4917"/>
              <wp:lineTo x="15513" y="3161"/>
              <wp:lineTo x="13549" y="1756"/>
              <wp:lineTo x="7069" y="1756"/>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1171575"/>
                  </a:xfrm>
                  <a:prstGeom prst="rect">
                    <a:avLst/>
                  </a:prstGeom>
                  <a:noFill/>
                  <a:ln>
                    <a:noFill/>
                  </a:ln>
                </pic:spPr>
              </pic:pic>
            </a:graphicData>
          </a:graphic>
          <wp14:sizeRelH relativeFrom="page">
            <wp14:pctWidth>0</wp14:pctWidth>
          </wp14:sizeRelH>
          <wp14:sizeRelV relativeFrom="page">
            <wp14:pctHeight>0</wp14:pctHeight>
          </wp14:sizeRelV>
        </wp:anchor>
      </w:drawing>
    </w:r>
    <w:r w:rsidR="00B32B63">
      <w:rPr>
        <w:noProof/>
        <w:lang w:eastAsia="en-GB"/>
      </w:rPr>
      <mc:AlternateContent>
        <mc:Choice Requires="wps">
          <w:drawing>
            <wp:anchor distT="0" distB="0" distL="114300" distR="114300" simplePos="0" relativeHeight="251658242" behindDoc="0" locked="0" layoutInCell="1" allowOverlap="1" wp14:anchorId="742FAC70" wp14:editId="6B492022">
              <wp:simplePos x="0" y="0"/>
              <wp:positionH relativeFrom="column">
                <wp:posOffset>3509010</wp:posOffset>
              </wp:positionH>
              <wp:positionV relativeFrom="paragraph">
                <wp:posOffset>38100</wp:posOffset>
              </wp:positionV>
              <wp:extent cx="3810" cy="838200"/>
              <wp:effectExtent l="0" t="0" r="34290" b="19050"/>
              <wp:wrapNone/>
              <wp:docPr id="6" name="Straight Connector 6"/>
              <wp:cNvGraphicFramePr/>
              <a:graphic xmlns:a="http://schemas.openxmlformats.org/drawingml/2006/main">
                <a:graphicData uri="http://schemas.microsoft.com/office/word/2010/wordprocessingShape">
                  <wps:wsp>
                    <wps:cNvCnPr/>
                    <wps:spPr>
                      <a:xfrm>
                        <a:off x="0" y="0"/>
                        <a:ext cx="3810" cy="83820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line id="Straight Connector 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cfcdcd [2894]" strokeweight=".5pt" from="276.3pt,3pt" to="276.6pt,69pt" w14:anchorId="4583F0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">
              <v:stroke joinstyle="miter"/>
            </v:line>
          </w:pict>
        </mc:Fallback>
      </mc:AlternateContent>
    </w:r>
    <w:r w:rsidR="00B32B63">
      <w:rPr>
        <w:noProof/>
        <w:lang w:eastAsia="en-GB"/>
      </w:rPr>
      <mc:AlternateContent>
        <mc:Choice Requires="wps">
          <w:drawing>
            <wp:anchor distT="0" distB="0" distL="114300" distR="114300" simplePos="0" relativeHeight="251658241" behindDoc="0" locked="0" layoutInCell="1" allowOverlap="1" wp14:anchorId="1BC5227F" wp14:editId="1083665A">
              <wp:simplePos x="0" y="0"/>
              <wp:positionH relativeFrom="margin">
                <wp:align>center</wp:align>
              </wp:positionH>
              <wp:positionV relativeFrom="paragraph">
                <wp:posOffset>-704850</wp:posOffset>
              </wp:positionV>
              <wp:extent cx="8473440" cy="529590"/>
              <wp:effectExtent l="0" t="0" r="3810" b="3810"/>
              <wp:wrapNone/>
              <wp:docPr id="3" name="Rectangle 3"/>
              <wp:cNvGraphicFramePr/>
              <a:graphic xmlns:a="http://schemas.openxmlformats.org/drawingml/2006/main">
                <a:graphicData uri="http://schemas.microsoft.com/office/word/2010/wordprocessingShape">
                  <wps:wsp>
                    <wps:cNvSpPr/>
                    <wps:spPr>
                      <a:xfrm>
                        <a:off x="0" y="0"/>
                        <a:ext cx="8473440" cy="529590"/>
                      </a:xfrm>
                      <a:prstGeom prst="rect">
                        <a:avLst/>
                      </a:prstGeom>
                      <a:solidFill>
                        <a:srgbClr val="0114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tangle 3" style="position:absolute;margin-left:0;margin-top:-55.5pt;width:667.2pt;height:41.7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spid="_x0000_s1026" fillcolor="#011433" stroked="f" strokeweight="1pt" w14:anchorId="11E6C0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">
              <w10:wrap anchorx="margin"/>
            </v:rect>
          </w:pict>
        </mc:Fallback>
      </mc:AlternateContent>
    </w:r>
    <w:r w:rsidR="00B32B63" w:rsidRPr="00376FBD">
      <w:rPr>
        <w:rFonts w:ascii="Century Gothic" w:hAnsi="Century Gothic"/>
        <w:color w:val="767171" w:themeColor="background2" w:themeShade="80"/>
        <w:sz w:val="14"/>
      </w:rPr>
      <w:t>Energy Innovation Centre Ltd,</w:t>
    </w:r>
  </w:p>
  <w:p w14:paraId="16DAB6F0" w14:textId="77777777" w:rsidR="00B32B63" w:rsidRPr="00376FBD" w:rsidRDefault="00B32B63" w:rsidP="00B32B63">
    <w:pPr>
      <w:pStyle w:val="Header"/>
      <w:ind w:left="5760"/>
      <w:rPr>
        <w:rFonts w:ascii="Century Gothic" w:hAnsi="Century Gothic"/>
        <w:color w:val="767171" w:themeColor="background2" w:themeShade="80"/>
        <w:sz w:val="14"/>
      </w:rPr>
    </w:pPr>
    <w:r w:rsidRPr="00376FBD">
      <w:rPr>
        <w:rFonts w:ascii="Century Gothic" w:hAnsi="Century Gothic"/>
        <w:color w:val="767171" w:themeColor="background2" w:themeShade="80"/>
        <w:sz w:val="14"/>
      </w:rPr>
      <w:t>Suites 1 &amp; 2, The Technology Centre,</w:t>
    </w:r>
  </w:p>
  <w:p w14:paraId="5FA8DA58" w14:textId="77777777" w:rsidR="00B32B63" w:rsidRPr="00376FBD" w:rsidRDefault="00B32B63" w:rsidP="00B32B63">
    <w:pPr>
      <w:pStyle w:val="Header"/>
      <w:ind w:left="5760"/>
      <w:rPr>
        <w:rFonts w:ascii="Century Gothic" w:hAnsi="Century Gothic"/>
        <w:color w:val="767171" w:themeColor="background2" w:themeShade="80"/>
        <w:sz w:val="14"/>
      </w:rPr>
    </w:pPr>
    <w:r w:rsidRPr="00376FBD">
      <w:rPr>
        <w:rFonts w:ascii="Century Gothic" w:hAnsi="Century Gothic"/>
        <w:color w:val="767171" w:themeColor="background2" w:themeShade="80"/>
        <w:sz w:val="14"/>
      </w:rPr>
      <w:t>Inward Way, Ellesmere Port,</w:t>
    </w:r>
  </w:p>
  <w:p w14:paraId="6BCD54E8" w14:textId="77777777" w:rsidR="00B32B63" w:rsidRPr="00F41EA4" w:rsidRDefault="00B32B63" w:rsidP="00B32B63">
    <w:pPr>
      <w:pStyle w:val="Header"/>
      <w:ind w:left="5760"/>
      <w:rPr>
        <w:rFonts w:ascii="Century Gothic" w:hAnsi="Century Gothic"/>
        <w:color w:val="767171" w:themeColor="background2" w:themeShade="80"/>
        <w:sz w:val="14"/>
        <w:lang w:val="fr-FR"/>
      </w:rPr>
    </w:pPr>
    <w:r w:rsidRPr="00F41EA4">
      <w:rPr>
        <w:rFonts w:ascii="Century Gothic" w:hAnsi="Century Gothic"/>
        <w:color w:val="767171" w:themeColor="background2" w:themeShade="80"/>
        <w:sz w:val="14"/>
        <w:lang w:val="fr-FR"/>
      </w:rPr>
      <w:t>Cheshire CH65 3EN</w:t>
    </w:r>
  </w:p>
  <w:p w14:paraId="3F3F3A8C" w14:textId="77777777" w:rsidR="00B32B63" w:rsidRPr="00F41EA4" w:rsidRDefault="00B32B63" w:rsidP="00B32B63">
    <w:pPr>
      <w:pStyle w:val="Header"/>
      <w:ind w:left="5760"/>
      <w:rPr>
        <w:rFonts w:ascii="Century Gothic" w:hAnsi="Century Gothic"/>
        <w:color w:val="767171" w:themeColor="background2" w:themeShade="80"/>
        <w:sz w:val="14"/>
        <w:lang w:val="fr-FR"/>
      </w:rPr>
    </w:pPr>
  </w:p>
  <w:p w14:paraId="77B5E6D8" w14:textId="77777777" w:rsidR="00B32B63" w:rsidRPr="00F41EA4" w:rsidRDefault="00B32B63" w:rsidP="00B32B63">
    <w:pPr>
      <w:pStyle w:val="Header"/>
      <w:ind w:left="5760"/>
      <w:rPr>
        <w:rFonts w:ascii="Century Gothic" w:hAnsi="Century Gothic"/>
        <w:color w:val="767171" w:themeColor="background2" w:themeShade="80"/>
        <w:sz w:val="14"/>
        <w:lang w:val="fr-FR"/>
      </w:rPr>
    </w:pPr>
    <w:proofErr w:type="gramStart"/>
    <w:r w:rsidRPr="00F41EA4">
      <w:rPr>
        <w:rFonts w:ascii="Century Gothic" w:hAnsi="Century Gothic"/>
        <w:b/>
        <w:color w:val="009FB7"/>
        <w:sz w:val="14"/>
        <w:lang w:val="fr-FR"/>
      </w:rPr>
      <w:t>t</w:t>
    </w:r>
    <w:proofErr w:type="gramEnd"/>
    <w:r w:rsidRPr="00F41EA4">
      <w:rPr>
        <w:rFonts w:ascii="Century Gothic" w:hAnsi="Century Gothic"/>
        <w:color w:val="767171" w:themeColor="background2" w:themeShade="80"/>
        <w:sz w:val="14"/>
        <w:lang w:val="fr-FR"/>
      </w:rPr>
      <w:t xml:space="preserve"> 0151 348 8040</w:t>
    </w:r>
  </w:p>
  <w:p w14:paraId="1865F271" w14:textId="77777777" w:rsidR="00B32B63" w:rsidRPr="00F41EA4" w:rsidRDefault="00B32B63" w:rsidP="00B32B63">
    <w:pPr>
      <w:pStyle w:val="Header"/>
      <w:ind w:left="5760"/>
      <w:rPr>
        <w:rFonts w:ascii="Century Gothic" w:hAnsi="Century Gothic"/>
        <w:color w:val="767171" w:themeColor="background2" w:themeShade="80"/>
        <w:sz w:val="14"/>
        <w:lang w:val="fr-FR"/>
      </w:rPr>
    </w:pPr>
    <w:proofErr w:type="gramStart"/>
    <w:r w:rsidRPr="00F41EA4">
      <w:rPr>
        <w:rFonts w:ascii="Century Gothic" w:hAnsi="Century Gothic"/>
        <w:b/>
        <w:color w:val="009FB7"/>
        <w:sz w:val="14"/>
        <w:lang w:val="fr-FR"/>
      </w:rPr>
      <w:t>e</w:t>
    </w:r>
    <w:proofErr w:type="gramEnd"/>
    <w:r w:rsidRPr="00F41EA4">
      <w:rPr>
        <w:rFonts w:ascii="Century Gothic" w:hAnsi="Century Gothic"/>
        <w:color w:val="009FB7"/>
        <w:sz w:val="14"/>
        <w:lang w:val="fr-FR"/>
      </w:rPr>
      <w:t xml:space="preserve"> </w:t>
    </w:r>
    <w:r w:rsidRPr="00F41EA4">
      <w:rPr>
        <w:rFonts w:ascii="Century Gothic" w:hAnsi="Century Gothic"/>
        <w:color w:val="767171" w:themeColor="background2" w:themeShade="80"/>
        <w:sz w:val="14"/>
        <w:lang w:val="fr-FR"/>
      </w:rPr>
      <w:t xml:space="preserve">enquiries@energyinnovationcentre.com </w:t>
    </w:r>
  </w:p>
  <w:p w14:paraId="1A12AA33" w14:textId="545F294A" w:rsidR="00B32B63" w:rsidRDefault="00B32B63" w:rsidP="00B32B63">
    <w:pPr>
      <w:pStyle w:val="Header"/>
      <w:ind w:left="5760"/>
    </w:pPr>
    <w:r w:rsidRPr="00376FBD">
      <w:rPr>
        <w:rFonts w:ascii="Century Gothic" w:hAnsi="Century Gothic"/>
        <w:b/>
        <w:color w:val="009FB7"/>
        <w:sz w:val="14"/>
      </w:rPr>
      <w:t>w</w:t>
    </w:r>
    <w:r w:rsidRPr="00376FBD">
      <w:rPr>
        <w:rFonts w:ascii="Century Gothic" w:hAnsi="Century Gothic"/>
        <w:color w:val="767171" w:themeColor="background2" w:themeShade="80"/>
        <w:sz w:val="14"/>
      </w:rPr>
      <w:t xml:space="preserve"> www.</w:t>
    </w:r>
    <w:r w:rsidR="00AB667C">
      <w:rPr>
        <w:rFonts w:ascii="Century Gothic" w:hAnsi="Century Gothic"/>
        <w:color w:val="767171" w:themeColor="background2" w:themeShade="80"/>
        <w:sz w:val="14"/>
      </w:rPr>
      <w:t>ukeic</w:t>
    </w:r>
    <w:r w:rsidRPr="00376FBD">
      <w:rPr>
        <w:rFonts w:ascii="Century Gothic" w:hAnsi="Century Gothic"/>
        <w:color w:val="767171" w:themeColor="background2" w:themeShade="80"/>
        <w:sz w:val="14"/>
      </w:rPr>
      <w:t>.com</w:t>
    </w:r>
  </w:p>
  <w:p w14:paraId="59183580" w14:textId="77777777" w:rsidR="00B32B63" w:rsidRDefault="00B32B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A7C"/>
    <w:multiLevelType w:val="hybridMultilevel"/>
    <w:tmpl w:val="DE62E23C"/>
    <w:lvl w:ilvl="0" w:tplc="3A36A4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3402F3B"/>
    <w:multiLevelType w:val="hybridMultilevel"/>
    <w:tmpl w:val="6E345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0268F6"/>
    <w:multiLevelType w:val="hybridMultilevel"/>
    <w:tmpl w:val="4418D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885871"/>
    <w:multiLevelType w:val="hybridMultilevel"/>
    <w:tmpl w:val="494A0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991796"/>
    <w:multiLevelType w:val="hybridMultilevel"/>
    <w:tmpl w:val="34726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D897C8B"/>
    <w:multiLevelType w:val="hybridMultilevel"/>
    <w:tmpl w:val="25F2008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60F030B1"/>
    <w:multiLevelType w:val="hybridMultilevel"/>
    <w:tmpl w:val="25826AF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74425080">
    <w:abstractNumId w:val="6"/>
  </w:num>
  <w:num w:numId="2" w16cid:durableId="1454206396">
    <w:abstractNumId w:val="3"/>
  </w:num>
  <w:num w:numId="3" w16cid:durableId="469909123">
    <w:abstractNumId w:val="1"/>
  </w:num>
  <w:num w:numId="4" w16cid:durableId="146945328">
    <w:abstractNumId w:val="4"/>
  </w:num>
  <w:num w:numId="5" w16cid:durableId="1648705388">
    <w:abstractNumId w:val="2"/>
  </w:num>
  <w:num w:numId="6" w16cid:durableId="1314721446">
    <w:abstractNumId w:val="0"/>
  </w:num>
  <w:num w:numId="7" w16cid:durableId="3296067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WwMDUxMzQ0MDM0sTBS0lEKTi0uzszPAykwrAUAkHaCuSwAAAA="/>
  </w:docVars>
  <w:rsids>
    <w:rsidRoot w:val="00376FBD"/>
    <w:rsid w:val="0003285F"/>
    <w:rsid w:val="00040A50"/>
    <w:rsid w:val="000430C1"/>
    <w:rsid w:val="00091C33"/>
    <w:rsid w:val="000A0C9B"/>
    <w:rsid w:val="000E7AE1"/>
    <w:rsid w:val="000F3FFF"/>
    <w:rsid w:val="001017C4"/>
    <w:rsid w:val="00101FD1"/>
    <w:rsid w:val="00105066"/>
    <w:rsid w:val="0011431D"/>
    <w:rsid w:val="001179BD"/>
    <w:rsid w:val="00130E01"/>
    <w:rsid w:val="001376F0"/>
    <w:rsid w:val="00155AF4"/>
    <w:rsid w:val="00164BAB"/>
    <w:rsid w:val="001755D0"/>
    <w:rsid w:val="001923AA"/>
    <w:rsid w:val="00192BA0"/>
    <w:rsid w:val="001D14D7"/>
    <w:rsid w:val="001E718E"/>
    <w:rsid w:val="00203B71"/>
    <w:rsid w:val="00221F63"/>
    <w:rsid w:val="002434A4"/>
    <w:rsid w:val="002455AC"/>
    <w:rsid w:val="00257799"/>
    <w:rsid w:val="002959AE"/>
    <w:rsid w:val="002C21C7"/>
    <w:rsid w:val="002D4726"/>
    <w:rsid w:val="002E098D"/>
    <w:rsid w:val="002F1255"/>
    <w:rsid w:val="00307194"/>
    <w:rsid w:val="003150B6"/>
    <w:rsid w:val="00335A0F"/>
    <w:rsid w:val="00340689"/>
    <w:rsid w:val="00344640"/>
    <w:rsid w:val="003446AB"/>
    <w:rsid w:val="00360B97"/>
    <w:rsid w:val="003648DC"/>
    <w:rsid w:val="003737FE"/>
    <w:rsid w:val="00376FBD"/>
    <w:rsid w:val="00382269"/>
    <w:rsid w:val="00396115"/>
    <w:rsid w:val="003A5618"/>
    <w:rsid w:val="003A730F"/>
    <w:rsid w:val="003B727F"/>
    <w:rsid w:val="003D3A76"/>
    <w:rsid w:val="003E49F2"/>
    <w:rsid w:val="003F2993"/>
    <w:rsid w:val="004221EC"/>
    <w:rsid w:val="00460465"/>
    <w:rsid w:val="00460D9F"/>
    <w:rsid w:val="00477005"/>
    <w:rsid w:val="00477E26"/>
    <w:rsid w:val="00480C3D"/>
    <w:rsid w:val="00483AAA"/>
    <w:rsid w:val="004A0D47"/>
    <w:rsid w:val="004A2B7E"/>
    <w:rsid w:val="004C712B"/>
    <w:rsid w:val="004E3F32"/>
    <w:rsid w:val="004F2316"/>
    <w:rsid w:val="005031CB"/>
    <w:rsid w:val="0051248F"/>
    <w:rsid w:val="00575471"/>
    <w:rsid w:val="00584BA6"/>
    <w:rsid w:val="005D096F"/>
    <w:rsid w:val="005D3000"/>
    <w:rsid w:val="005F108F"/>
    <w:rsid w:val="005F2D64"/>
    <w:rsid w:val="0061110B"/>
    <w:rsid w:val="00627F68"/>
    <w:rsid w:val="00637D68"/>
    <w:rsid w:val="0064786F"/>
    <w:rsid w:val="00665BBD"/>
    <w:rsid w:val="00665DE6"/>
    <w:rsid w:val="00667F6D"/>
    <w:rsid w:val="006A0EB5"/>
    <w:rsid w:val="006B606E"/>
    <w:rsid w:val="00704651"/>
    <w:rsid w:val="00725940"/>
    <w:rsid w:val="00730FE5"/>
    <w:rsid w:val="00757A71"/>
    <w:rsid w:val="007674C5"/>
    <w:rsid w:val="00771502"/>
    <w:rsid w:val="007919F9"/>
    <w:rsid w:val="00796557"/>
    <w:rsid w:val="007B0848"/>
    <w:rsid w:val="007D5CB5"/>
    <w:rsid w:val="007D7635"/>
    <w:rsid w:val="00816795"/>
    <w:rsid w:val="00833C48"/>
    <w:rsid w:val="00835152"/>
    <w:rsid w:val="00837B7F"/>
    <w:rsid w:val="008E51DD"/>
    <w:rsid w:val="008F564D"/>
    <w:rsid w:val="00910148"/>
    <w:rsid w:val="009130CD"/>
    <w:rsid w:val="0093643B"/>
    <w:rsid w:val="0094506E"/>
    <w:rsid w:val="00952A97"/>
    <w:rsid w:val="0099585C"/>
    <w:rsid w:val="009A31D6"/>
    <w:rsid w:val="009D6B88"/>
    <w:rsid w:val="009D6E34"/>
    <w:rsid w:val="009E1273"/>
    <w:rsid w:val="00A31C99"/>
    <w:rsid w:val="00A33826"/>
    <w:rsid w:val="00A40BA9"/>
    <w:rsid w:val="00AB667C"/>
    <w:rsid w:val="00AC691C"/>
    <w:rsid w:val="00B044FF"/>
    <w:rsid w:val="00B117AA"/>
    <w:rsid w:val="00B32B63"/>
    <w:rsid w:val="00B34CA2"/>
    <w:rsid w:val="00B34E7C"/>
    <w:rsid w:val="00B64528"/>
    <w:rsid w:val="00BA23A5"/>
    <w:rsid w:val="00BF3ABB"/>
    <w:rsid w:val="00BF7B68"/>
    <w:rsid w:val="00C64B9F"/>
    <w:rsid w:val="00C75FA3"/>
    <w:rsid w:val="00C76372"/>
    <w:rsid w:val="00C82239"/>
    <w:rsid w:val="00CA27D4"/>
    <w:rsid w:val="00CA38DB"/>
    <w:rsid w:val="00CB33B1"/>
    <w:rsid w:val="00CB598C"/>
    <w:rsid w:val="00CB7A18"/>
    <w:rsid w:val="00CD5E2C"/>
    <w:rsid w:val="00CE0156"/>
    <w:rsid w:val="00CE57C1"/>
    <w:rsid w:val="00CF6789"/>
    <w:rsid w:val="00CF74C5"/>
    <w:rsid w:val="00D17F9F"/>
    <w:rsid w:val="00D500AB"/>
    <w:rsid w:val="00D6205E"/>
    <w:rsid w:val="00DE0B70"/>
    <w:rsid w:val="00DE1363"/>
    <w:rsid w:val="00E858CB"/>
    <w:rsid w:val="00EB33BD"/>
    <w:rsid w:val="00ED09D2"/>
    <w:rsid w:val="00F31A7D"/>
    <w:rsid w:val="00F361D5"/>
    <w:rsid w:val="00F41EA4"/>
    <w:rsid w:val="00F503D9"/>
    <w:rsid w:val="00F56B2B"/>
    <w:rsid w:val="00FC006F"/>
    <w:rsid w:val="00FC695A"/>
    <w:rsid w:val="266BC2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6E37F"/>
  <w15:docId w15:val="{A2A3199D-17A6-4CAC-8846-140B03FF7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7D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6F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6FBD"/>
  </w:style>
  <w:style w:type="paragraph" w:styleId="Footer">
    <w:name w:val="footer"/>
    <w:basedOn w:val="Normal"/>
    <w:link w:val="FooterChar"/>
    <w:uiPriority w:val="99"/>
    <w:unhideWhenUsed/>
    <w:rsid w:val="00376F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6FBD"/>
  </w:style>
  <w:style w:type="table" w:styleId="TableGrid">
    <w:name w:val="Table Grid"/>
    <w:basedOn w:val="TableNormal"/>
    <w:uiPriority w:val="59"/>
    <w:rsid w:val="00376F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21F63"/>
    <w:rPr>
      <w:color w:val="0563C1" w:themeColor="hyperlink"/>
      <w:u w:val="single"/>
    </w:rPr>
  </w:style>
  <w:style w:type="character" w:styleId="UnresolvedMention">
    <w:name w:val="Unresolved Mention"/>
    <w:basedOn w:val="DefaultParagraphFont"/>
    <w:uiPriority w:val="99"/>
    <w:semiHidden/>
    <w:unhideWhenUsed/>
    <w:rsid w:val="00221F63"/>
    <w:rPr>
      <w:color w:val="605E5C"/>
      <w:shd w:val="clear" w:color="auto" w:fill="E1DFDD"/>
    </w:rPr>
  </w:style>
  <w:style w:type="paragraph" w:styleId="ListParagraph">
    <w:name w:val="List Paragraph"/>
    <w:basedOn w:val="Normal"/>
    <w:uiPriority w:val="34"/>
    <w:qFormat/>
    <w:rsid w:val="008E51DD"/>
    <w:pPr>
      <w:ind w:left="720"/>
      <w:contextualSpacing/>
    </w:pPr>
  </w:style>
  <w:style w:type="paragraph" w:styleId="NoSpacing">
    <w:name w:val="No Spacing"/>
    <w:uiPriority w:val="1"/>
    <w:qFormat/>
    <w:rsid w:val="00101FD1"/>
    <w:pPr>
      <w:spacing w:after="0" w:line="240" w:lineRule="auto"/>
    </w:pPr>
  </w:style>
  <w:style w:type="paragraph" w:styleId="Revision">
    <w:name w:val="Revision"/>
    <w:hidden/>
    <w:uiPriority w:val="99"/>
    <w:semiHidden/>
    <w:rsid w:val="004A0D47"/>
    <w:pPr>
      <w:spacing w:after="0" w:line="240" w:lineRule="auto"/>
    </w:pPr>
  </w:style>
  <w:style w:type="character" w:styleId="CommentReference">
    <w:name w:val="annotation reference"/>
    <w:basedOn w:val="DefaultParagraphFont"/>
    <w:uiPriority w:val="99"/>
    <w:semiHidden/>
    <w:unhideWhenUsed/>
    <w:rsid w:val="00771502"/>
    <w:rPr>
      <w:sz w:val="16"/>
      <w:szCs w:val="16"/>
    </w:rPr>
  </w:style>
  <w:style w:type="paragraph" w:styleId="CommentText">
    <w:name w:val="annotation text"/>
    <w:basedOn w:val="Normal"/>
    <w:link w:val="CommentTextChar"/>
    <w:uiPriority w:val="99"/>
    <w:unhideWhenUsed/>
    <w:rsid w:val="00771502"/>
    <w:pPr>
      <w:spacing w:line="240" w:lineRule="auto"/>
    </w:pPr>
    <w:rPr>
      <w:sz w:val="20"/>
      <w:szCs w:val="20"/>
    </w:rPr>
  </w:style>
  <w:style w:type="character" w:customStyle="1" w:styleId="CommentTextChar">
    <w:name w:val="Comment Text Char"/>
    <w:basedOn w:val="DefaultParagraphFont"/>
    <w:link w:val="CommentText"/>
    <w:uiPriority w:val="99"/>
    <w:rsid w:val="00771502"/>
    <w:rPr>
      <w:sz w:val="20"/>
      <w:szCs w:val="20"/>
    </w:rPr>
  </w:style>
  <w:style w:type="paragraph" w:styleId="CommentSubject">
    <w:name w:val="annotation subject"/>
    <w:basedOn w:val="CommentText"/>
    <w:next w:val="CommentText"/>
    <w:link w:val="CommentSubjectChar"/>
    <w:uiPriority w:val="99"/>
    <w:semiHidden/>
    <w:unhideWhenUsed/>
    <w:rsid w:val="00771502"/>
    <w:rPr>
      <w:b/>
      <w:bCs/>
    </w:rPr>
  </w:style>
  <w:style w:type="character" w:customStyle="1" w:styleId="CommentSubjectChar">
    <w:name w:val="Comment Subject Char"/>
    <w:basedOn w:val="CommentTextChar"/>
    <w:link w:val="CommentSubject"/>
    <w:uiPriority w:val="99"/>
    <w:semiHidden/>
    <w:rsid w:val="0077150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EF62D857-70AB-4BA7-AAEC-D9D5C518E787}"/>
</file>

<file path=customXml/itemProps2.xml><?xml version="1.0" encoding="utf-8"?>
<ds:datastoreItem xmlns:ds="http://schemas.openxmlformats.org/officeDocument/2006/customXml" ds:itemID="{AB3CDF47-AC47-499A-BF52-CC9D35C798EB}">
  <ds:schemaRefs>
    <ds:schemaRef ds:uri="http://schemas.microsoft.com/sharepoint/v3/contenttype/forms"/>
  </ds:schemaRefs>
</ds:datastoreItem>
</file>

<file path=customXml/itemProps3.xml><?xml version="1.0" encoding="utf-8"?>
<ds:datastoreItem xmlns:ds="http://schemas.openxmlformats.org/officeDocument/2006/customXml" ds:itemID="{1366B0C2-D989-4CBE-B942-AB9027E1D4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1547</Words>
  <Characters>8820</Characters>
  <Application>Microsoft Office Word</Application>
  <DocSecurity>0</DocSecurity>
  <Lines>73</Lines>
  <Paragraphs>20</Paragraphs>
  <ScaleCrop>false</ScaleCrop>
  <Company/>
  <LinksUpToDate>false</LinksUpToDate>
  <CharactersWithSpaces>10347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Croutear</dc:creator>
  <cp:keywords/>
  <dc:description/>
  <cp:lastModifiedBy>Denise Massey</cp:lastModifiedBy>
  <cp:revision>2</cp:revision>
  <dcterms:created xsi:type="dcterms:W3CDTF">2022-08-25T12:54:00Z</dcterms:created>
  <dcterms:modified xsi:type="dcterms:W3CDTF">2022-08-25T12:54:00Z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ies>
</file>